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Indiana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Indiana Department of Education (IDOE) is the designated State Educational Agency (SEA) and includes seven (7) departments (Information Technology (IT), Child Nutrition Program, Finance &amp; Operations, Academics, Student Pathways &amp; Opportunities, External Affairs &amp; Partnerships, and Legal). The Office of Special Education (OSE) is part of the Academics Department and oversees the implementation of the Individuals with Disabilities Education Act (IDEA). The OSE is comprised of Fiscal and Monitoring &amp; Compliance sections and works in close partnership with the Office of Student Supports and Accessibility (OSSA) related to Technical Assistance and the Legal Department Dispute Resolution section. For the IDOE organizational chart, please see: https://media.doe.in.gov/news/idoe-org-chart-external-overview.pdf. The OSE structure has been developed to align with the Office of Special Education Programs (OSEP) Differentiated Monitoring and Support (DMS 2.0) Framework ensuring the eight (8) components of general supervision systems are implemented as intended.</w:t>
      </w:r>
      <w:r w:rsidRPr="00781112">
        <w:rPr>
          <w:rFonts w:cs="Arial"/>
          <w:color w:val="000000" w:themeColor="text1"/>
          <w:szCs w:val="16"/>
        </w:rPr>
        <w:br/>
        <w:t>The OSE continues to strengthen collaboration with all IDOE departments through projects such as Data Modernization (IT), Cross Department Monitoring (Student Pathways &amp; Opportunities), Stakeholder Communication (External Affairs &amp; Partnerships) and Teacher Recruitment/Retention (Education Licensing and Higher Education Prep Programs).</w:t>
      </w:r>
      <w:r w:rsidRPr="00781112">
        <w:rPr>
          <w:rFonts w:cs="Arial"/>
          <w:color w:val="000000" w:themeColor="text1"/>
          <w:szCs w:val="16"/>
        </w:rPr>
        <w:br/>
        <w:t>In addition to the internal IDOE staff assigned to programs serving students with disabilities, Indiana develops contracts with several entities comprising the Indiana Resource Network (IRN). These entities provide Technical Assistance (TA) and Professional Development (PD) under the direction of OSE and OSSA. IDOE also celebrates a long and productive relationship with our state Parent Training and Information Center (IN*SOURCE). As part of the collaboration between IDOE and IN*SOURCE, an IN*SOURCE staff member serves as the designated liaison to the OSE attending staff meetings and supporting specific projects to foster parent involvement in the general supervision system.</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IDOE has implemented the LINK Initiative (https://www.in.gov/doe/it/link-initiative/) which is a multi-year effort involving five component projects aimed at improving support for schools in order to leverage information technology to advance the vision and mission of the IDOE. As part of this initiative, Data Exchange was developed for the purpose of improving the process of data transfer and certification for student and educator level data submitted by schools and school corporations including data that specifically measures implementation of services for students with disabilities. An additional system, EdData, has recently been developed allowing for the secure release of data utilized as part of IDOE's Results Driven Accountability System (RDA) which is the Integrated Monitoring procedure for annual LEA determination. This has allowed for more accurate, timely and usable data for LEAs related to the provision of services for students with disabilities.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411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OSEP’s 8 key components for improving educational results and functional outcomes for all students with disabilities guides the structure and implementation of IDOE programming. Each of these components is reviewed individually.</w:t>
      </w:r>
      <w:r w:rsidRPr="00781112">
        <w:rPr>
          <w:rFonts w:cs="Arial"/>
          <w:color w:val="000000" w:themeColor="text1"/>
          <w:szCs w:val="16"/>
        </w:rPr>
        <w:br/>
        <w:t xml:space="preserve">1)Fiscal Management </w:t>
      </w:r>
      <w:r w:rsidRPr="00781112">
        <w:rPr>
          <w:rFonts w:cs="Arial"/>
          <w:color w:val="000000" w:themeColor="text1"/>
          <w:szCs w:val="16"/>
        </w:rPr>
        <w:br/>
        <w:t>Part B LEA allocations are calculated in accordance with 34CFR §300.705 and 34CFR §300.815 and 300.816. Once calculated, allocations are posted to IDOE’s internal online system, and LEAs complete and submit grant applications for approval. Applications are as follows: Part B 611 (budget/part one), Part B 611 (MOE/part two), Part B 619, and Part B Mandatory CCEIS.</w:t>
      </w:r>
      <w:r w:rsidRPr="00781112">
        <w:rPr>
          <w:rFonts w:cs="Arial"/>
          <w:color w:val="000000" w:themeColor="text1"/>
          <w:szCs w:val="16"/>
        </w:rPr>
        <w:br/>
        <w:t>Part B applications are uploaded by fiscal agencies to a web-based management system for initial review by a fiscal specialist. Once approved, a second fiscal specialist reviews the application. Applications are reviewed for allowable costs, proportionate share amounts, CEIS amounts, signatures, and all other IDEA requirements. Application data is entered into an internal tracking sheet by grant year. Upon approval, LEAs receive an email granting approval of funds and ability to submit for reimbursement. If an LEA requests a modification to its approved grant budget, IDOE fiscal specialists use a two-party review to ensure accuracy and allowability. The reimbursement template requires LEAs to report the number of students receiving CCEIS and the number in that category who qualify for an IEP. To ensure that funds are used in the manner approved and required by IDEA, reimbursement requests are differentiated by scope (Special Education, CCEIS, and Proportionate Share). In order for fiscal specialists to verify Part B funds were spent in the manner authorized, LEAs must submit a final expenditure report along with the final reimbursement request at the end of a grant cycle. LEAs are contacted when funds are spent in an unapproved manner and required to return funds for repayment to US Department of Education. IDOE utilizes a portion of allocated Part B funds on administrative costs and discretionary activities, including contracts with entities to provide TA and PD to LEAs.</w:t>
      </w:r>
      <w:r w:rsidRPr="00781112">
        <w:rPr>
          <w:rFonts w:cs="Arial"/>
          <w:color w:val="000000" w:themeColor="text1"/>
          <w:szCs w:val="16"/>
        </w:rPr>
        <w:br/>
        <w:t>2)Integrated Monitoring</w:t>
      </w:r>
      <w:r w:rsidRPr="00781112">
        <w:rPr>
          <w:rFonts w:cs="Arial"/>
          <w:color w:val="000000" w:themeColor="text1"/>
          <w:szCs w:val="16"/>
        </w:rPr>
        <w:br/>
        <w:t>IDOE conducts monitoring focused on improving educational results and functional outcomes for all students with disabilities, and ensuring that LEAs meet the requirements of IDEA. IDOE monitors LEAs through multiple collection methods and sources to gather information used to evaluate the performance of LEAs. One example is the State data system which allows for the collection of data for analysis and identification of programs for monitoring.</w:t>
      </w:r>
      <w:r w:rsidRPr="00781112">
        <w:rPr>
          <w:rFonts w:cs="Arial"/>
          <w:color w:val="000000" w:themeColor="text1"/>
          <w:szCs w:val="16"/>
        </w:rPr>
        <w:br/>
        <w:t xml:space="preserve">IDOE has developed the Results Driven Accountability system to make annual LEA determinations. This system includes a compliance and results index. Each of the indexes are composed of required/prioritized measures (determined with stakeholder input) utilizing data related to IDEA, Elementary and Secondary Education Act (ESEA) and other State measures. The compliance indicators are assigned a status rating and both the compliance and results indexes are assigned points and weighted as part of a calculation by which the LEA determination and differentiated support are assigned. </w:t>
      </w:r>
      <w:r w:rsidRPr="00781112">
        <w:rPr>
          <w:rFonts w:cs="Arial"/>
          <w:color w:val="000000" w:themeColor="text1"/>
          <w:szCs w:val="16"/>
        </w:rPr>
        <w:br/>
        <w:t xml:space="preserve">Following notification of determination, LEAs identified as needs assistance or intervention are required to complete root cause analysis and corrective action specific to the Indicator finding of noncompliance. LEAs identified as needing targeted or intensive support related to results outcomes are offered TA/PD to address areas of improvement. </w:t>
      </w:r>
      <w:r w:rsidRPr="00781112">
        <w:rPr>
          <w:rFonts w:cs="Arial"/>
          <w:color w:val="000000" w:themeColor="text1"/>
          <w:szCs w:val="16"/>
        </w:rPr>
        <w:br/>
        <w:t>The OSE staff is completing a systematic review process facilitated by the National Center for Systemic Improvement (NCSI) that includes engagement of a stakeholder group representing invested organizations to improve the State general supervision system. This review targeted Monitoring, Compliance, and Improvement components of the system. Improvement strategies extend to all general supervision systems.</w:t>
      </w:r>
      <w:r w:rsidRPr="00781112">
        <w:rPr>
          <w:rFonts w:cs="Arial"/>
          <w:color w:val="000000" w:themeColor="text1"/>
          <w:szCs w:val="16"/>
        </w:rPr>
        <w:br/>
        <w:t>3)Sustaining Compliance &amp; Improvement</w:t>
      </w:r>
      <w:r w:rsidRPr="00781112">
        <w:rPr>
          <w:rFonts w:cs="Arial"/>
          <w:color w:val="000000" w:themeColor="text1"/>
          <w:szCs w:val="16"/>
        </w:rPr>
        <w:br/>
      </w:r>
      <w:r w:rsidRPr="00781112">
        <w:rPr>
          <w:rFonts w:cs="Arial"/>
          <w:color w:val="000000" w:themeColor="text1"/>
          <w:szCs w:val="16"/>
        </w:rPr>
        <w:lastRenderedPageBreak/>
        <w:t>This system incorporates a two prong approach to support LEAs identified as having noncompliance. An LEA found to have noncompliance must correct individual cases of noncompliance, as appropriate and complete subsequent root cause analysis and develop a corrective action plan to demonstrate implementation of regulatory requirements. The plan must be implemented, and noncompliance corrected as soon as possible but no later than one year of the finding. If the noncompliance is not corrected within 1 year, the LEA is identified as continued noncompliance and after a second year, identified as longstanding. LEAs with multiple years of noncompliance are engaged more intensively to ensure correction and ongoing compliance with regulatory requirements.</w:t>
      </w:r>
      <w:r w:rsidRPr="00781112">
        <w:rPr>
          <w:rFonts w:cs="Arial"/>
          <w:color w:val="000000" w:themeColor="text1"/>
          <w:szCs w:val="16"/>
        </w:rPr>
        <w:br/>
        <w:t xml:space="preserve">An important component of this plan is the individual and targeted nature of the support. OSE staff serve as the point of contact for LEAs identified to need intensive support so there is ongoing review and facilitation of necessary support. This is accomplished through collaboration within IDOE offices and Indiana Resource Network (IRN) TA/PD providers. </w:t>
      </w:r>
      <w:r w:rsidRPr="00781112">
        <w:rPr>
          <w:rFonts w:cs="Arial"/>
          <w:color w:val="000000" w:themeColor="text1"/>
          <w:szCs w:val="16"/>
        </w:rPr>
        <w:br/>
        <w:t>In addition to a focus on LEAs in need of support, OSE recognizes that collaboration with LEAs identified as high-performing is also imperative. This allows OSE to incentivize LEAs through recognition, understand the use of proven/effective strategies, and is a potential resource for LEAs in need of support.</w:t>
      </w:r>
      <w:r w:rsidRPr="00781112">
        <w:rPr>
          <w:rFonts w:cs="Arial"/>
          <w:color w:val="000000" w:themeColor="text1"/>
          <w:szCs w:val="16"/>
        </w:rPr>
        <w:br/>
        <w:t>4)Dispute Resolution</w:t>
      </w:r>
      <w:r w:rsidRPr="00781112">
        <w:rPr>
          <w:rFonts w:cs="Arial"/>
          <w:color w:val="000000" w:themeColor="text1"/>
          <w:szCs w:val="16"/>
        </w:rPr>
        <w:br/>
        <w:t xml:space="preserve">IDOE encourages communication between parents and LEAs when a dispute arises. When informal efforts prove unsuccessful, IDOE makes available all IDEA’s dispute resolution mechanisms: mediation, state complaint, and due process hearing. In addition to the 3 processes identified in Article 7, IDOE also makes available Facilitated IEP services. IDOE works with LEAs and IN*SOURCE to ensure that parents receive and understand their rights and responsibilities. </w:t>
      </w:r>
      <w:r w:rsidRPr="00781112">
        <w:rPr>
          <w:rFonts w:cs="Arial"/>
          <w:color w:val="000000" w:themeColor="text1"/>
          <w:szCs w:val="16"/>
        </w:rPr>
        <w:br/>
        <w:t xml:space="preserve">5)State Performance Plan/Annual Performance Report (SPP/APR) </w:t>
      </w:r>
      <w:r w:rsidRPr="00781112">
        <w:rPr>
          <w:rFonts w:cs="Arial"/>
          <w:color w:val="000000" w:themeColor="text1"/>
          <w:szCs w:val="16"/>
        </w:rPr>
        <w:br/>
        <w:t>The SPP/APR is a multi-faceted plan that is used to evaluate the State’s efforts to implement the requirements and purposes of the IDEA and describes how the state will improve implementation. The State ensures that required actions identified by OSEP are addressed in a manner that is sustainable. The SPP/APR is communicated with stakeholders to demonstrate progress toward targets and facilitate discussion around areas in need of improvement. This is one of the mechanisms utilized to guide State policies and procedures including the collection and analysis of valid/reliable data.</w:t>
      </w:r>
      <w:r w:rsidRPr="00781112">
        <w:rPr>
          <w:rFonts w:cs="Arial"/>
          <w:color w:val="000000" w:themeColor="text1"/>
          <w:szCs w:val="16"/>
        </w:rPr>
        <w:br/>
        <w:t>6)Data</w:t>
      </w:r>
      <w:r w:rsidRPr="00781112">
        <w:rPr>
          <w:rFonts w:cs="Arial"/>
          <w:color w:val="000000" w:themeColor="text1"/>
          <w:szCs w:val="16"/>
        </w:rPr>
        <w:br/>
        <w:t>LEAs submit data regarding students, personnel, and other required information via an online data portal. Data, including 618 data, is used to inform projects in which IDOE-OSE is involved, with a focus on components of general supervision. IDOE offers training on specific data topics to support local users' understanding of data submission processes. On-demand documents have also been developed to offer an additional format. Required data is publicly posted on the IDOE special education website. Specific data requests from members of the general public, school personnel, State Board of Education, and legislators are provided following applicable confidentiality laws.</w:t>
      </w:r>
      <w:r w:rsidRPr="00781112">
        <w:rPr>
          <w:rFonts w:cs="Arial"/>
          <w:color w:val="000000" w:themeColor="text1"/>
          <w:szCs w:val="16"/>
        </w:rPr>
        <w:br/>
        <w:t>7)Implementation of Policies &amp; Procedures</w:t>
      </w:r>
      <w:r w:rsidRPr="00781112">
        <w:rPr>
          <w:rFonts w:cs="Arial"/>
          <w:color w:val="000000" w:themeColor="text1"/>
          <w:szCs w:val="16"/>
        </w:rPr>
        <w:br/>
        <w:t xml:space="preserve">Indiana’s special education rules are found in Indiana Code 511IAC 7-32 to 49. Article 7 is aligned with IDEA and implemented by LEAs. IDOE encourages LEAs to proactively seek assistance to implement state policies. A phone line/email account is monitored by staff to assist LEAs in the implementation of policies and procedures. Based on the data from inquiries, guidance resources are developed and posted on the state special education website. </w:t>
      </w:r>
      <w:r w:rsidRPr="00781112">
        <w:rPr>
          <w:rFonts w:cs="Arial"/>
          <w:color w:val="000000" w:themeColor="text1"/>
          <w:szCs w:val="16"/>
        </w:rPr>
        <w:br/>
        <w:t>The review of implementation of policies and procedures at the LEA level is incorporated into all systems. Programs found to have issues related to the implementation of policies and procedures are provided assistance as part of corrective action.</w:t>
      </w:r>
      <w:r w:rsidRPr="00781112">
        <w:rPr>
          <w:rFonts w:cs="Arial"/>
          <w:color w:val="000000" w:themeColor="text1"/>
          <w:szCs w:val="16"/>
        </w:rPr>
        <w:br/>
        <w:t>8)Technical Assistance: See next section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As noted previously, IDOE has developed the Office of Student Supports &amp; Accessibility to specifically address the IDOE's system of technical assistance and professional development. This includes the use of data informed practices based on the State priorities and the Integrated Monitoring System procedures utilized to identify noncompliance and differentiated support needs of LEAs.</w:t>
      </w:r>
      <w:r w:rsidRPr="00781112">
        <w:rPr>
          <w:rFonts w:cs="Arial"/>
          <w:color w:val="000000" w:themeColor="text1"/>
          <w:szCs w:val="16"/>
        </w:rPr>
        <w:br/>
        <w:t>For purposes of this section, TA is defined as the provision of advice and assistance in the implementation, installation and maintenance of the concepts related to improving the performance of students with disabilities. In Indiana, the provision of LEA TA and PD go hand in hand. With the implementation of Indiana’s RDA framework, the support is matched to the LEA determination and/or results indicator level, and subsequent assistance will be differentiated. Depending on the subject matter and the intensity of the need, the IDOE and IRN specialists offer various levels of TA and/or PD. TA and PD are provided based upon three levels of need: universal, targeted, and intensive.</w:t>
      </w:r>
      <w:r w:rsidRPr="00781112">
        <w:rPr>
          <w:rFonts w:cs="Arial"/>
          <w:color w:val="000000" w:themeColor="text1"/>
          <w:szCs w:val="16"/>
        </w:rPr>
        <w:br/>
        <w:t xml:space="preserve">The universal level is available to all LEAs and includes: discussion with or training by IDOE or IRN staff members; IDOE and IRN websites (https://www.in.gov/doe/students/special-education/; https://www.indianaieprc.org/; https://www.patinsproject.org/; https://insource.org/) including topic-specific communities of learning; information about state and national resources; links and contact information to relevant local, regional and state resources; written guidance about specific topics; video; webinars; and question and answer documents. </w:t>
      </w:r>
      <w:r w:rsidRPr="00781112">
        <w:rPr>
          <w:rFonts w:cs="Arial"/>
          <w:color w:val="000000" w:themeColor="text1"/>
          <w:szCs w:val="16"/>
        </w:rPr>
        <w:br/>
        <w:t xml:space="preserve">The targeted level of assistance is available to those LEAs who have identified noncompliance found through the RDA monitoring processes described elsewhere in this introduction, or if the LEA is in danger of being out of compliance if policy, procedure, and practice revisions are not addressed. The targeted level also includes those LEAs who have had personnel changes and require assistance to ensure new staff gain the knowledge of the expectations under IDEA. Assistance is provided via: webinars, conference calls, virtual meetings, and on-site or regional training opportunities that include evidence-based practices, and summits. </w:t>
      </w:r>
      <w:r w:rsidRPr="00781112">
        <w:rPr>
          <w:rFonts w:cs="Arial"/>
          <w:color w:val="000000" w:themeColor="text1"/>
          <w:szCs w:val="16"/>
        </w:rPr>
        <w:br/>
        <w:t xml:space="preserve">The intensive level of assistance focuses on LEAs identified as experiencing systemic issues and/or requiring rigorous LEA work and focused assistance by the IDOE and/or the IRN. Assistance will be individualized dependent upon the identified issue(s) and includes one-to-one consultation and/or topic-specific training provided to LEA staff by the IDOE and/or the IRN. With the implementation of RDA, there is a direct correlation between the LEA determination score and the differentiated level of TA/PD assistance provided. With respect to Results Technical Assistance levels, Level 1 LEAs are generally provided universal TA; Level 2s are targeted; Level 3s are intensive. </w:t>
      </w:r>
      <w:r w:rsidRPr="00781112">
        <w:rPr>
          <w:rFonts w:cs="Arial"/>
          <w:color w:val="000000" w:themeColor="text1"/>
          <w:szCs w:val="16"/>
        </w:rPr>
        <w:br/>
        <w:t xml:space="preserve">The IRN partners’ services are briefly described below and can be directly accessed by the LEAs in the state: </w:t>
      </w:r>
      <w:r w:rsidRPr="00781112">
        <w:rPr>
          <w:rFonts w:cs="Arial"/>
          <w:color w:val="000000" w:themeColor="text1"/>
          <w:szCs w:val="16"/>
        </w:rPr>
        <w:br/>
        <w:t xml:space="preserve">IEP TA Center (IEPTA) provides resources, professional learning opportunities, and technical assistance related to the Indiana IEP system, Article 7 compliance, IEP processes and improving local practices. </w:t>
      </w:r>
      <w:r w:rsidRPr="00781112">
        <w:rPr>
          <w:rFonts w:cs="Arial"/>
          <w:color w:val="000000" w:themeColor="text1"/>
          <w:szCs w:val="16"/>
        </w:rPr>
        <w:br/>
        <w:t xml:space="preserve">The Indiana Resource Center for Families with Special Needs, or IN*SOURCE, provides parents, families, individuals, and service providers the information necessary to assure effective educational programs and appropriate services for individuals with disabilities. </w:t>
      </w:r>
      <w:r w:rsidRPr="00781112">
        <w:rPr>
          <w:rFonts w:cs="Arial"/>
          <w:color w:val="000000" w:themeColor="text1"/>
          <w:szCs w:val="16"/>
        </w:rPr>
        <w:br/>
        <w:t xml:space="preserve">Promoting Achievement for Students with Sensory Loss (PASS) provides statewide support, technical assistance, and professional development opportunities for educators that will improve instructional quality, promote academic achievement, and foster successful post-secondary transition outcomes for students with sensory loss. </w:t>
      </w:r>
      <w:r w:rsidRPr="00781112">
        <w:rPr>
          <w:rFonts w:cs="Arial"/>
          <w:color w:val="000000" w:themeColor="text1"/>
          <w:szCs w:val="16"/>
        </w:rPr>
        <w:br/>
        <w:t xml:space="preserve">The Promoting Achievement through Technology and INstruction for all Students (PATINS) Project supports schools in creating and sustaining an equitable learning environment for every student through assistive and accessible technologies, accessible educational materials, and Universal Design for Learning. </w:t>
      </w:r>
      <w:r w:rsidRPr="00781112">
        <w:rPr>
          <w:rFonts w:cs="Arial"/>
          <w:color w:val="000000" w:themeColor="text1"/>
          <w:szCs w:val="16"/>
        </w:rPr>
        <w:br/>
        <w:t xml:space="preserve">Indiana Center for Accessible Instructional Materials (ICAM) is a managed web-based system designed to provide support to LEAs in meeting the National Instructional Materials Accessibility Standard (NIMAS) regulations of the IDEA 2004.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lastRenderedPageBreak/>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State Professional Development System is defined as the mechanisms the State has in place to ensure that service providers have the skills to effectively provide services that improve results for students with disabilities. Depending on the subject matter and the intensity of the need, IDOE offers various levels of professional development to LEAs either directly (telephone/email and on-site), virtually (both synchronous and asynchronous), indirectly via online resources, and through Indiana Resource Network (IRN) service providers.</w:t>
      </w:r>
      <w:r w:rsidRPr="00781112">
        <w:rPr>
          <w:rFonts w:cs="Arial"/>
          <w:color w:val="000000" w:themeColor="text1"/>
          <w:szCs w:val="16"/>
        </w:rPr>
        <w:br/>
        <w:t xml:space="preserve">PD is considered within the context of the procedures outlined in the TA section on the Introduction.  As individual LEA plans are developed, the decision to provide TA versus PD is outlined. </w:t>
      </w:r>
      <w:r w:rsidRPr="00781112">
        <w:rPr>
          <w:rFonts w:cs="Arial"/>
          <w:color w:val="000000" w:themeColor="text1"/>
          <w:szCs w:val="16"/>
        </w:rPr>
        <w:br/>
        <w:t>As noted previously, all IDOE sections involved in the implementation of special education consider the need for PD related to the respective areas of focus.  For example, the Monitoring &amp; Compliance section provides live sessions and on-demand resources related specifically to RDA and the Fiscal section provides live sessions and on-demand resources related to grant development and management.</w:t>
      </w:r>
      <w:r w:rsidRPr="00781112">
        <w:rPr>
          <w:rFonts w:cs="Arial"/>
          <w:color w:val="000000" w:themeColor="text1"/>
          <w:szCs w:val="16"/>
        </w:rPr>
        <w:br/>
        <w:t>IDOE staff are also committed to personal PD to support continuous improvement.  Staff regularly attend events sponsored by OSEP funding TA centers to ensure competency.</w:t>
      </w:r>
      <w:r w:rsidRPr="00781112">
        <w:rPr>
          <w:rFonts w:cs="Arial"/>
          <w:color w:val="000000" w:themeColor="text1"/>
          <w:szCs w:val="16"/>
        </w:rPr>
        <w:br/>
      </w:r>
      <w:r w:rsidRPr="00781112">
        <w:rPr>
          <w:rFonts w:cs="Arial"/>
          <w:color w:val="000000" w:themeColor="text1"/>
          <w:szCs w:val="16"/>
        </w:rPr>
        <w:br/>
        <w:t xml:space="preserve">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As part of the FFY 2020 SPP/APR submission IDOE’s Office of Special Education (OSE) initiated a series of stakeholder meetings to establish targets for the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During FFY 2021, the baseline for Indicator 3B/High School was reviewed related to a change in the assessment used to meet this requirement. Stakeholders were engaged through a survey process shared through multiple communication methods and by various agencies. The state is maintaining the targets for all other indicators established in FFY 2020 through the process described previously</w:t>
      </w:r>
      <w:r w:rsidRPr="00781112">
        <w:rPr>
          <w:rFonts w:cs="Arial"/>
          <w:color w:val="000000" w:themeColor="text1"/>
          <w:szCs w:val="16"/>
        </w:rPr>
        <w:br/>
        <w:t>In addition, IDOE’s Office of Special Education (OSE) has systematically approached stakeholder engagement through planned project-specific events and through naturally occurring opportunities for stakeholder engagement as related to the SPP/APR targets, outcomes, improvement strategies and evaluation.</w:t>
      </w:r>
      <w:r w:rsidRPr="00781112">
        <w:rPr>
          <w:rFonts w:cs="Arial"/>
          <w:color w:val="000000" w:themeColor="text1"/>
          <w:szCs w:val="16"/>
        </w:rPr>
        <w:br/>
        <w:t>Examples of planned project-specific events include the review of the General Supervision system and the State Systemic Improvement Plan (SSIP) implementation. As mentioned previously, the Monitoring &amp; Compliance section of OSE engaged the NCSI to support the Leveraging General Supervision Systems to Improve Student Outcomes Process. This process includes the engagement of a stakeholder group to explore grounding assumptions related to general supervision and from that process, establish a shared vision for the system. Following a review of mapping, comparing and planning, the stakeholders convened to review and provide additional feedback. This included a survey (https://www.jotform.com/222015791178153) sent through multiple communication outlets to reach a broad stakeholder group related to the specific Indicators and the level of priority. While this survey was primarily related to LEA annual determination, it allowed for input related to specific Indicator processes and priorities. The SSIP stakeholders have also been engaged as described within the implementation plan to effectively analyze and guide the implementation of the SSIP.</w:t>
      </w:r>
      <w:r w:rsidRPr="00781112">
        <w:rPr>
          <w:rFonts w:cs="Arial"/>
          <w:color w:val="000000" w:themeColor="text1"/>
          <w:szCs w:val="16"/>
        </w:rPr>
        <w:br/>
        <w:t>OSE has also focused on naturally occurring opportunities to engage stakeholders. For example, when notifying LEAs of correction of noncompliance, the LEA has been asked to provide feedback on the process specifically requesting feedback on what components were effective, not effective and any suggestions for improvement of the process. Given the real-time, factual nature of these discussions, this has proved to be an effective mechanism to engage stakeholders that results in meaningful, immediate implementation of improved practices.</w:t>
      </w:r>
      <w:r w:rsidRPr="00781112">
        <w:rPr>
          <w:rFonts w:cs="Arial"/>
          <w:color w:val="000000" w:themeColor="text1"/>
          <w:szCs w:val="16"/>
        </w:rPr>
        <w:br/>
        <w:t>As mentioned earlier, IDOE benefits from ongoing collaboration with the parent training center and this has resulted in frequent opportunities to engage parents as stakeholders. IDOE staff have partnered with IN*SOURCE on a regular basis to offer sessions related to specific topics (transition, early childhood transition, etc.) and during these sessions, parents are able to not only learn more about the topics but provide feedback and input.</w:t>
      </w:r>
      <w:r w:rsidRPr="00781112">
        <w:rPr>
          <w:rFonts w:cs="Arial"/>
          <w:color w:val="000000" w:themeColor="text1"/>
          <w:szCs w:val="16"/>
        </w:rPr>
        <w:br/>
        <w:t xml:space="preserve">IDOE also utilizes several recurring mechanisms to share information and request feedback from stakeholders. IDOE provides a weekly update that includes pertinent information from across the department and allows for stakeholders to reach out through email or complete specific forms created to generate feedback. This same format is also utilized through a monthly newsletter sent from the OSE. </w:t>
      </w:r>
      <w:r w:rsidRPr="00781112">
        <w:rPr>
          <w:rFonts w:cs="Arial"/>
          <w:color w:val="000000" w:themeColor="text1"/>
          <w:szCs w:val="16"/>
        </w:rPr>
        <w:br/>
        <w:t>Overall, the OSE is committed to approaching all communication as an opportunity to receive feedback and seek input from all stakeholders.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As mentioned earlier, IDOE benefits from ongoing collaboration with the parent training center and this has resulted in frequent opportunities to engage parents as stakeholders.  IDOE staff have partnered with IN*SOURCE on a regular basis to offer sessions related to specific topics (transition, early childhood transition, etc.) and during these sessions, parents are able to not only learn more about the topics but provide feedback.</w:t>
      </w:r>
      <w:r w:rsidRPr="00781112">
        <w:rPr>
          <w:color w:val="000000" w:themeColor="text1"/>
          <w:szCs w:val="16"/>
        </w:rPr>
        <w:br/>
        <w:t xml:space="preserve">IDOE also utilizes several recurring mechanisms to share information and request feedback from stakeholders.  IDOE provides a weekly update that includes pertinent information from across the department and allows parents to reach out through email or complete specific forms created to generate feedback.  This same format is also utilized through a monthly newsletter sent from the OSE. </w:t>
      </w:r>
      <w:r w:rsidRPr="00781112">
        <w:rPr>
          <w:color w:val="000000" w:themeColor="text1"/>
          <w:szCs w:val="16"/>
        </w:rPr>
        <w:br/>
        <w:t>Overall, the OSE is committed to approaching all communication as an opportunity to receive feedback from all parents.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In planning discussions with IN*SOURCE, (Indiana's Parent Training and Information Center) strategies to engage diverse stakeholders is considered. Communicating with a wide range of organizations to advertise planned events is the goal. With this, monitoring of attendance to attempt to determine the most effective means of advertising and communicating events is completed. Other methods attempted include offering varying times of the day and days of the week, advertising well in advance of the event, and requesting that other organizations communicating with families also advertise planned events. Again, this information is gathered along with feedback from participants to encourage parent involvement.</w:t>
      </w:r>
      <w:r w:rsidRPr="00781112">
        <w:rPr>
          <w:color w:val="000000" w:themeColor="text1"/>
          <w:szCs w:val="16"/>
        </w:rPr>
        <w:br/>
      </w:r>
      <w:r w:rsidRPr="00781112">
        <w:rPr>
          <w:color w:val="000000" w:themeColor="text1"/>
          <w:szCs w:val="16"/>
        </w:rPr>
        <w:lastRenderedPageBreak/>
        <w:t>Activities conducted to increase the capacity of diverse group of parents includes collaboration with IN*SOURCE, the State has provided training sessions to parents related to specific Indicator topics. Session topics include early childhood transition, post-secondary transition and other relevant topics/events. These sessions are offered at two different times (morning and evening) to offer multiple opportunities to meet the needs of families. The session format allows for presentation of relevant information from the state and the opportunity for parents to engage in discussion and offer feedback. The goal if for parents to obtain pertinent information so that they can be an informed, active participant in the special education process in the state and the local community.</w:t>
      </w:r>
      <w:r w:rsidRPr="00781112">
        <w:rPr>
          <w:color w:val="000000" w:themeColor="text1"/>
          <w:szCs w:val="16"/>
        </w:rPr>
        <w:br/>
        <w:t>In addition to engaging with the state parent training center (IN*SOURCE), parent members of the State Advisory Council have been invited to participate in all stakeholder activities and subsequently informed of the outcomes of stakeholder input.</w:t>
      </w:r>
      <w:r w:rsidRPr="00781112">
        <w:rPr>
          <w:color w:val="000000" w:themeColor="text1"/>
          <w:szCs w:val="16"/>
        </w:rPr>
        <w:br/>
        <w:t>In reviewing the outcomes of the activities discussed, there is a need to continue addressing the engagement of diverse groups of parents as participation data indicates a lack or representation consistent with state demographics. IDOE plans to seek out additional community partners to assist in reaching more diverse representation.</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mechanisms for soliciting public input are completed through advertisement via various communication outlets- IDOE weekly newsletter, OSE monthly newsletter, direct email communication and IRN partner media releases/outlets.</w:t>
      </w:r>
      <w:r w:rsidRPr="00781112">
        <w:rPr>
          <w:color w:val="000000" w:themeColor="text1"/>
          <w:szCs w:val="16"/>
        </w:rPr>
        <w:br/>
        <w:t>The timelines are based on the stakeholder plan that has been developed by IDOE and related to specific monitoring process timelines. For example, communications related to the SSIP are recurring based on the stakeholder engagement plan (email communication/reminder or upcoming event followed by a planned live (virtual) stakeholder meeting.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OSE communicates information related to the SPP/APR via the website (https://www.in.gov/doe/students/special-education/). Announcements related to postings occur within established communication outlets (as described previously) and through IRN partner outlets.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 reported the FFY 2020 performance of each LEA located in the State through public posting. The posting was made available at https://www.in.gov/doe/students/special-education/ under the heading Special Education Data. </w:t>
      </w:r>
      <w:r w:rsidRPr="00781112">
        <w:rPr>
          <w:rFonts w:cs="Arial"/>
          <w:color w:val="000000" w:themeColor="text1"/>
          <w:szCs w:val="16"/>
        </w:rPr>
        <w:br/>
        <w:t>A complete copy of Indiana's State Performance Plan/Annual Performance Report (SPP/APR) is located on the Web site at https://www.in.gov/doe/students/special-education/ under the heading State Performance Plan/Annual Performance Report.</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479B500F" w:rsidR="005E59DB" w:rsidRPr="00781112" w:rsidRDefault="005E59DB" w:rsidP="00B65C2C">
      <w:pPr>
        <w:rPr>
          <w:b/>
          <w:color w:val="000000" w:themeColor="text1"/>
        </w:rPr>
      </w:pPr>
      <w:r w:rsidRPr="00781112">
        <w:rPr>
          <w:b/>
          <w:color w:val="000000" w:themeColor="text1"/>
        </w:rPr>
        <w:t>Historical Data</w:t>
      </w:r>
      <w:r w:rsidR="00E651FE">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83.33%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76.00%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83.88%</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72.03%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70.87%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72.64%</w:t>
            </w:r>
          </w:p>
        </w:tc>
        <w:tc>
          <w:tcPr>
            <w:tcW w:w="833" w:type="pct"/>
            <w:tcBorders>
              <w:bottom w:val="single" w:sz="4" w:space="0" w:color="auto"/>
            </w:tcBorders>
            <w:shd w:val="clear" w:color="auto" w:fill="auto"/>
            <w:vAlign w:val="center"/>
          </w:tcPr>
          <w:p w14:paraId="180CBFE9" w14:textId="716A0143" w:rsidR="007F24E2" w:rsidRPr="00781112" w:rsidRDefault="002B7490" w:rsidP="00E0321D">
            <w:pPr>
              <w:jc w:val="center"/>
              <w:rPr>
                <w:rFonts w:cs="Arial"/>
                <w:color w:val="000000" w:themeColor="text1"/>
                <w:szCs w:val="16"/>
              </w:rPr>
            </w:pPr>
            <w:r w:rsidRPr="00781112">
              <w:rPr>
                <w:rFonts w:cs="Arial"/>
                <w:color w:val="000000" w:themeColor="text1"/>
                <w:szCs w:val="16"/>
              </w:rPr>
              <w:t>71.4%</w:t>
            </w:r>
            <w:r w:rsidR="00C0187A">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83.33%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84.33%</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84.88%</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85.33%</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85.88%</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86.33%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Graduation Rate. Feedback from the survey indicates the need for greater emphasis on Graduation Rate  in the Results Matrix for RDA. Based on this feedback, OSE adjusted the weight assigned to Graduation Rate scoring as part of the 2022 RDA release and will continue to seek stakeholder input related to additional changes in the 2023 RDA release.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5,305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677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659</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5,305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84.33%</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79.77%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Indiana students graduated at a rate that was 3.56% lower than FFY 2020. Based on analysis of the graduation rate data and contributing factors, it is hypothesized that slippage is due to the number of students who, in FFY 2020, were not required to complete the statewide assessment by order of the governor and the removal of an assessment proficiency requirement as a graduation requirement for this cohort. This resulted in an unsustainable increase in the number of students meeting graduation requirements who previously would not have been eligible to graduate.</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To graduate with a general (regular) diploma, students must:</w:t>
      </w:r>
      <w:r w:rsidRPr="00781112">
        <w:rPr>
          <w:rFonts w:cs="Arial"/>
          <w:color w:val="000000" w:themeColor="text1"/>
          <w:szCs w:val="16"/>
        </w:rPr>
        <w:br/>
        <w:t>1) pass 40 credits of high school instruction, including specific requirements across subject areas in English, mathematics, social studies, science, physical education, health, and college and career readiness; AND</w:t>
      </w:r>
      <w:r w:rsidRPr="00781112">
        <w:rPr>
          <w:rFonts w:cs="Arial"/>
          <w:color w:val="000000" w:themeColor="text1"/>
          <w:szCs w:val="16"/>
        </w:rPr>
        <w:br/>
        <w:t>2) either:</w:t>
      </w:r>
      <w:r w:rsidRPr="00781112">
        <w:rPr>
          <w:rFonts w:cs="Arial"/>
          <w:color w:val="000000" w:themeColor="text1"/>
          <w:szCs w:val="16"/>
        </w:rPr>
        <w:br/>
        <w:t>a) pass the graduation qualifying exam administered by the state or be granted a waiver under certain conditions if they do not pass this exam, OR</w:t>
      </w:r>
      <w:r w:rsidRPr="00781112">
        <w:rPr>
          <w:rFonts w:cs="Arial"/>
          <w:color w:val="000000" w:themeColor="text1"/>
          <w:szCs w:val="16"/>
        </w:rPr>
        <w:br/>
        <w:t xml:space="preserve">b) be certified with a graduation pathway that includes an employability skills component and a postsecondary education readiness component. </w:t>
      </w:r>
      <w:r w:rsidRPr="00781112">
        <w:rPr>
          <w:rFonts w:cs="Arial"/>
          <w:color w:val="000000" w:themeColor="text1"/>
          <w:szCs w:val="16"/>
        </w:rPr>
        <w:br/>
        <w:t xml:space="preserve">Requirements for students with disabilities are the same as students who are nondisabled. </w:t>
      </w:r>
      <w:r w:rsidRPr="00781112">
        <w:rPr>
          <w:rFonts w:cs="Arial"/>
          <w:color w:val="000000" w:themeColor="text1"/>
          <w:szCs w:val="16"/>
        </w:rPr>
        <w:br/>
        <w:t>For more information regarding Indiana graduation requirements see: https://www.in.gov/doe/files/Grad-Req-2019-2022.pdf; https://www.in.gov/doe/files/graduation-requirements.pdf)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Graduation Rate data was impacted in FFY 2020 by the COVID-19 pandemic.  Due to the waivers/flexibilities granted for the FFY 2020 graduation cohort, the graduation rate for the year was inflated.  When considering graduation rate trend data removing the FFY 2020 data, there was an 8.33% increase from FFY 2019 to FFY 2021.</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7.50%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7.51%</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7.01%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6.51%</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6.01%</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7.25%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5.90%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7.04%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7.50%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9.86%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5.44%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7.00%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6.75%</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6.50%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6.25%</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6.00%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Dropout Rate. Feedback from the survey indicates respondents believe the emphasis should continue to remain on other factors in the Results Matrix for RDA, but continue to closely monitor the data for any trends that need to be addressed related to drop out rates.</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5,305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677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659</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659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9.91%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Indiana students dropped out of school at a rate that was 4.47% higher than FFY 2020. Based on analysis of the graduation rate data and contributing factors, it is hypothesized that slippage is due to the number of students who, in FFY 2020, were not required to complete the statewide assessment by order of the governor and the removal of an assessment proficiency requirement as a graduation requirement for this cohort. This resulted in an unsustainable increase in the number of students meeting graduation requirements who previously would have not been eligible to graduate and were reported as dropping out of school.</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All students who are no longer enrolled in a school, and for whom there are not proper mobility documentation demonstrating continuing education consistent with the state's compulsory education law or documentation of receipt of a diploma or certificate of completion as specified in the student's IEP (except for those students who died during the school year or aged-out of special education services under Indiana law), are recorded as a dropout. For purposes of Indicator 2, this includes all youth aged 14 to 21. Per federal regulations, a student cannot be reported as a dropout for a school year that the student has completed. Therefore, students finishing a school year without a diploma or certificate are reported as dropouts at the beginning of the next school year if and when they do not return to school.</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Drop out data was impacted in FFY 2020 by the COVID-19 pandemic. Due to the waivers/flexibilities granted for the FFY 2020 graduation cohort, the drop out rate for the year was artificially deflated. When considering drop out rate trend data removing the FFY 2020 data, there was a .05% increase from FFY 2019 to FFY 2021.</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6904A070" w14:textId="77777777" w:rsidR="00B22055" w:rsidRPr="00781112" w:rsidRDefault="00B22055" w:rsidP="001B75FD">
      <w:pPr>
        <w:rPr>
          <w:rFonts w:cs="Arial"/>
          <w:color w:val="000000" w:themeColor="text1"/>
          <w:szCs w:val="16"/>
        </w:rPr>
      </w:pP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99.38%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99.27%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96.23%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99.33%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99.18%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96.43%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55602008" w:rsidR="00480083" w:rsidRPr="00B22055" w:rsidRDefault="00480083" w:rsidP="00B22055">
      <w:pPr>
        <w:spacing w:before="0" w:after="200" w:line="276" w:lineRule="auto"/>
        <w:rPr>
          <w:b/>
          <w:color w:val="000000" w:themeColor="text1"/>
        </w:rPr>
      </w:pPr>
      <w:r w:rsidRPr="00781112">
        <w:rPr>
          <w:b/>
          <w:color w:val="000000" w:themeColor="text1"/>
        </w:rPr>
        <w:t xml:space="preserve">Targets: Description of Stakeholder Input </w:t>
      </w:r>
      <w:r w:rsidR="00B22055">
        <w:rPr>
          <w:b/>
          <w:color w:val="000000" w:themeColor="text1"/>
        </w:rPr>
        <w:br/>
      </w:r>
      <w:r w:rsidRPr="00781112">
        <w:rPr>
          <w:rFonts w:cs="Arial"/>
          <w:color w:val="000000" w:themeColor="text1"/>
          <w:szCs w:val="16"/>
        </w:rPr>
        <w:t xml:space="preserve">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statewide assessment data. Based on feedback received, OSE adjusted the weight assigned to statewide assessment data scoring (increased weight for growth and slight decrease in weight for proficiency) as part of the 2022 RDA release and will continue to seek stakeholder input related to additional changes in the 2023 RDA release.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1F07E94A" w14:textId="77777777" w:rsidR="00B22055" w:rsidRPr="00781112" w:rsidRDefault="00B22055"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13,698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12,999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10,884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4,159</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2,469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1,215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8,723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9,257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7,987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658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940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851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05C2306D" w14:textId="77777777" w:rsidR="00B22055" w:rsidRPr="00781112" w:rsidRDefault="00B22055"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13,693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12,992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10,884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3,068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1,216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1,215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9,811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10,497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7,987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655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936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848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13,540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13,698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96.69%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98.85%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12,666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12,999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93.06%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97.44%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10,053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10,884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78.18%</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92.36%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13,534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13,693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96.60%</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98.84%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12,649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12,992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92.96%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97.36%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10,050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10,884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79.33%</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92.34%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required public reports of assessment results is located at https://www.in.gov/doe/students/special-education/. </w:t>
      </w:r>
      <w:r w:rsidRPr="00781112">
        <w:rPr>
          <w:rFonts w:cs="Arial"/>
          <w:color w:val="000000" w:themeColor="text1"/>
          <w:szCs w:val="16"/>
        </w:rPr>
        <w:br/>
      </w:r>
      <w:r w:rsidRPr="00781112">
        <w:rPr>
          <w:rFonts w:cs="Arial"/>
          <w:color w:val="000000" w:themeColor="text1"/>
          <w:szCs w:val="16"/>
        </w:rPr>
        <w:br/>
        <w:t xml:space="preserve">On the linked page, open the "Special Education Data" tab.  </w:t>
      </w:r>
      <w:r w:rsidRPr="00781112">
        <w:rPr>
          <w:rFonts w:cs="Arial"/>
          <w:color w:val="000000" w:themeColor="text1"/>
          <w:szCs w:val="16"/>
        </w:rPr>
        <w:br/>
      </w:r>
      <w:r w:rsidRPr="00781112">
        <w:rPr>
          <w:rFonts w:cs="Arial"/>
          <w:color w:val="000000" w:themeColor="text1"/>
          <w:szCs w:val="16"/>
        </w:rPr>
        <w:br/>
        <w:t>In this section, locate the heading 616/618 Reporting and see the document "Compliance/Results Indicator Data for All Corporations to Targets SY 2020-2021".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A study completed on Indiana's academic performance and recovery from the COVID-19 pandemic (https://media.doe.in.gov/news/sboe-7-13-2022.pdf?utm_content=&amp;utm_medium=email&amp;utm_name=&amp;utm_source=govdelivery&amp;utm_term=) demonstrates all students participation rates are strong, including student's  with disabilities for all state and federally-required assessments.  This is of note as high student assessment participation allows for schools to have actionable data to impact instruction and decision making necessary following the academic impacts noted related to additional assessment proficiency data for students with disabilities.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children who were provided accommodations (that did not result in an invalid score) in order to participate in those assessments, and the number of children with disabilities, if any, participating in alternate assessments based on alternate academic achievement standards, at the State level.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17.22%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12.93%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25.30%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8.62%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6.41%</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19.22%</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20.22%</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21.22%</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22.22%</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23.22%</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14.93%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15.93%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16.93%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17.93%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18.93%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15.13%</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16.13%</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17.13%</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18.13%</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19.13%</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27.30%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28.30%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29.20%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30.30%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31.30%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10.62%</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11.62%</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12.62%</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13.62%</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14.62%</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6.41%</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7.41%</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8.41%</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9.41%</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10.41%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statewide assessment data. Feedback from the survey indicates the need to change how statewide assessment data is weighted within the Results Matrix for RDA. Based on this feedback, OSE adjusted the weight assigned to statewide assessment data scoring as part of the 2022 RDA release (increase in weighting for growth and slight decrease in weighting for proficiency) and will continue to seek stakeholder input related to additional changes in the 2023 RDA release.</w:t>
      </w:r>
      <w:r w:rsidRPr="00781112">
        <w:rPr>
          <w:rFonts w:cs="Arial"/>
          <w:color w:val="000000" w:themeColor="text1"/>
          <w:szCs w:val="16"/>
        </w:rPr>
        <w:br/>
      </w:r>
      <w:r w:rsidRPr="00781112">
        <w:rPr>
          <w:rFonts w:cs="Arial"/>
          <w:color w:val="000000" w:themeColor="text1"/>
          <w:szCs w:val="16"/>
        </w:rPr>
        <w:br/>
        <w:t xml:space="preserve">Additionally, IDOE sought stakeholder input related to the baseline and targets for Group C (Grade HS) Reading and Group C (Grade HS) Math based on a change in the assessment being administered.  Stakeholder feedback was gathered from a survey which included present and historical data.  </w:t>
      </w:r>
      <w:r w:rsidRPr="00781112">
        <w:rPr>
          <w:rFonts w:cs="Arial"/>
          <w:color w:val="000000" w:themeColor="text1"/>
          <w:szCs w:val="16"/>
        </w:rPr>
        <w:lastRenderedPageBreak/>
        <w:t>Results of the survey indicated that the baseline should be adjusted to align with the current assessment results and the previously established targets for FFY 2021 through FFY 2025 should remain the same.</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12,882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11,726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9,202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1,570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759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247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419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479</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1,145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12,879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11,713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9,202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1,627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328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128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1,148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448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462</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1,989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12,882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14.55%</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19.22%</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15.44%</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1,238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11,726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10.55%</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14.93%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10.56%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1,392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9,202</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21.50%</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15.13%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15.13%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2,775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12,879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19.03%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27.30%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21.55%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776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11,713</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5.75%</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10.62%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6.63%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590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9,202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7.13%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6.41%</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6.41%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D6382E8" w14:textId="7666A4BF" w:rsidR="00497DE4" w:rsidRPr="00781112" w:rsidRDefault="00497DE4" w:rsidP="00B22055">
      <w:pPr>
        <w:spacing w:before="0" w:after="200" w:line="276" w:lineRule="auto"/>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required public reports of assessment results is located at https://www.in.gov/doe/students/special-education/. </w:t>
      </w:r>
      <w:r w:rsidRPr="00781112">
        <w:rPr>
          <w:rFonts w:cs="Arial"/>
          <w:color w:val="000000" w:themeColor="text1"/>
          <w:szCs w:val="16"/>
        </w:rPr>
        <w:br/>
      </w:r>
      <w:r w:rsidRPr="00781112">
        <w:rPr>
          <w:rFonts w:cs="Arial"/>
          <w:color w:val="000000" w:themeColor="text1"/>
          <w:szCs w:val="16"/>
        </w:rPr>
        <w:br/>
        <w:t xml:space="preserve">On the linked page, open the "Special Education Data" tab. </w:t>
      </w:r>
      <w:r w:rsidRPr="00781112">
        <w:rPr>
          <w:rFonts w:cs="Arial"/>
          <w:color w:val="000000" w:themeColor="text1"/>
          <w:szCs w:val="16"/>
        </w:rPr>
        <w:br/>
      </w:r>
      <w:r w:rsidRPr="00781112">
        <w:rPr>
          <w:rFonts w:cs="Arial"/>
          <w:color w:val="000000" w:themeColor="text1"/>
          <w:szCs w:val="16"/>
        </w:rPr>
        <w:br/>
        <w:t>In this section, locate the heading 616/618 Reporting and see the document "Compliance/Results Indicator Data for All Corporations to Targets SY 2020-2021".</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During the 2021–2022 school year, Indiana changed the statewide assessment being administered to high school students. Based on review of the data and Stakeholder input, Indiana is resetting the baseline to align with the current assessment results and the previously established targets for FFY 2021 through FFY 2025 remain the same.</w:t>
      </w:r>
      <w:r w:rsidRPr="00781112">
        <w:rPr>
          <w:rFonts w:cs="Arial"/>
          <w:color w:val="000000" w:themeColor="text1"/>
          <w:szCs w:val="16"/>
        </w:rPr>
        <w:br/>
      </w:r>
      <w:r w:rsidRPr="00781112">
        <w:rPr>
          <w:rFonts w:cs="Arial"/>
          <w:color w:val="000000" w:themeColor="text1"/>
          <w:szCs w:val="16"/>
        </w:rPr>
        <w:br/>
        <w:t>A study completed on Indiana's academic performance and recovery from the COVID-19 pandemic (https://media.doe.in.gov/news/sboe-7-13-2022.pdf?utm_content=&amp;utm_medium=email&amp;utm_name=&amp;utm_source=govdelivery&amp;utm_term=) demonstrates students with disabilities' proficiency rates increased .5% overall in English Language Arts (ELA) and 1.6% in Mathematics. The study also finds that while some grade level content area recovery is stabilizing/recovering (4th grade ELA and 4th-8th grade Math), 5th-8th grade ELA recovery is stabilizing-declining. To address these findings, IDOE is leading innovative initiatives to support LEAs as noted in the document link provided previously.</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for both Reading and Math in High School,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level.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Default="00385214" w:rsidP="00385214">
      <w:pPr>
        <w:rPr>
          <w:rFonts w:cs="Arial"/>
          <w:szCs w:val="16"/>
        </w:rPr>
      </w:pPr>
      <w:r w:rsidRPr="00781112">
        <w:rPr>
          <w:rFonts w:cs="Arial"/>
          <w:szCs w:val="16"/>
        </w:rPr>
        <w:t>of testing.</w:t>
      </w:r>
    </w:p>
    <w:p w14:paraId="54D2A084" w14:textId="77777777" w:rsidR="00B22055" w:rsidRPr="00781112" w:rsidRDefault="00B22055" w:rsidP="00385214">
      <w:pPr>
        <w:rPr>
          <w:rFonts w:cs="Arial"/>
          <w:color w:val="000000" w:themeColor="text1"/>
          <w:szCs w:val="16"/>
        </w:rPr>
      </w:pP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43.05%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47.31%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77.85%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47.30%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40.33%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54.09%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45.05%</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46.05%</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47.05%</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48.05%</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49.05%</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49.31%</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50.31%</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51.31%</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52.31%</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53.31%</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79.85%</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80.85%</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81.85%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82.85%</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83.85%</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49.30%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50.30%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51.30%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52.30%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53.30%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42.33%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43.33%</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44.33%</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45.33%</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46.33%</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56.09%</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57.09%</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58.09%</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59.09%</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60.09%</w:t>
            </w:r>
          </w:p>
        </w:tc>
      </w:tr>
    </w:tbl>
    <w:p w14:paraId="2D13F53B" w14:textId="77777777" w:rsidR="00B22055" w:rsidRDefault="00B22055" w:rsidP="00B22055">
      <w:pPr>
        <w:spacing w:before="0" w:after="200" w:line="276" w:lineRule="auto"/>
        <w:rPr>
          <w:b/>
          <w:color w:val="000000" w:themeColor="text1"/>
        </w:rPr>
      </w:pPr>
    </w:p>
    <w:p w14:paraId="2261CE05" w14:textId="116FAB48" w:rsidR="002D145D" w:rsidRPr="00B22055" w:rsidRDefault="002D145D" w:rsidP="00B22055">
      <w:pPr>
        <w:spacing w:before="0" w:after="200" w:line="276" w:lineRule="auto"/>
        <w:rPr>
          <w:b/>
          <w:color w:val="000000" w:themeColor="text1"/>
        </w:rPr>
      </w:pPr>
      <w:r w:rsidRPr="00781112">
        <w:rPr>
          <w:b/>
          <w:color w:val="000000" w:themeColor="text1"/>
        </w:rPr>
        <w:t xml:space="preserve">Targets: Description of Stakeholder Input </w:t>
      </w:r>
      <w:r w:rsidR="00B22055">
        <w:rPr>
          <w:b/>
          <w:color w:val="000000" w:themeColor="text1"/>
        </w:rPr>
        <w:br/>
      </w:r>
      <w:r w:rsidR="002B7490"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statewide assessment data. Feedback from the survey did not indicate the need to change how statewide alternate assessment  data is included within the Results Matrix for RDA (participation included as a scored measure).</w:t>
      </w:r>
    </w:p>
    <w:p w14:paraId="4A15E54A" w14:textId="77777777" w:rsidR="00B8751C" w:rsidRPr="00781112" w:rsidRDefault="00B8751C">
      <w:pPr>
        <w:rPr>
          <w:b/>
          <w:color w:val="000000" w:themeColor="text1"/>
        </w:rPr>
      </w:pPr>
    </w:p>
    <w:p w14:paraId="2A049809" w14:textId="77777777" w:rsidR="00B22055" w:rsidRDefault="00B22055">
      <w:pPr>
        <w:spacing w:before="0" w:after="200" w:line="276" w:lineRule="auto"/>
        <w:rPr>
          <w:b/>
          <w:color w:val="000000" w:themeColor="text1"/>
        </w:rPr>
      </w:pPr>
      <w:r>
        <w:rPr>
          <w:b/>
          <w:color w:val="000000" w:themeColor="text1"/>
        </w:rPr>
        <w:br w:type="page"/>
      </w:r>
    </w:p>
    <w:p w14:paraId="01651096" w14:textId="040AB669"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658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940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851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259</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431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378</w:t>
            </w:r>
          </w:p>
        </w:tc>
      </w:tr>
    </w:tbl>
    <w:p w14:paraId="47BBD6CC" w14:textId="77777777" w:rsidR="00B22055" w:rsidRDefault="00B22055" w:rsidP="00286BDF">
      <w:pPr>
        <w:rPr>
          <w:rFonts w:cs="Arial"/>
          <w:b/>
          <w:color w:val="000000" w:themeColor="text1"/>
          <w:szCs w:val="16"/>
        </w:rPr>
      </w:pPr>
    </w:p>
    <w:p w14:paraId="31899BDA" w14:textId="2F64C3E4"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1535623F" w14:textId="77777777" w:rsidR="00B22055" w:rsidRPr="00781112" w:rsidRDefault="00B22055"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655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936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848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268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437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264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259</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658</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41.00%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45.05%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39.36%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431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940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40.69%</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49.31%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45.85%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378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851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50.11%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79.85%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44.42%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Group A students participating in the alternate assessment were found to have a slight decrease of 1.64% in proficiency. </w:t>
      </w:r>
      <w:r w:rsidRPr="00781112">
        <w:rPr>
          <w:rFonts w:cs="Arial"/>
          <w:color w:val="000000" w:themeColor="text1"/>
          <w:szCs w:val="16"/>
        </w:rPr>
        <w:br/>
        <w:t>Analyzing the number of students participating in Group A, there was an increase of 36 students receiving a valid score and for whom a proficiency level was assigned for the alternate assessment from the previous year assessment (FFY 20=622; FFY 21=658). This represents a 5.79% increase in participation.</w:t>
      </w:r>
      <w:r w:rsidRPr="00781112">
        <w:rPr>
          <w:rFonts w:cs="Arial"/>
          <w:color w:val="000000" w:themeColor="text1"/>
          <w:szCs w:val="16"/>
        </w:rPr>
        <w:br/>
        <w:t>When considering proficiency results from FFY20 and FFY 21, there was an increase of 4 students scoring at of above proficient (FFY 20=255; FFY 21=259). This represents a 1.57% increase in proficiency.</w:t>
      </w:r>
      <w:r w:rsidRPr="00781112">
        <w:rPr>
          <w:rFonts w:cs="Arial"/>
          <w:color w:val="000000" w:themeColor="text1"/>
          <w:szCs w:val="16"/>
        </w:rPr>
        <w:br/>
        <w:t>With the increasing number of number of students with significant disabilities returning to school following removals for safety, the academic impact resulting from COVID-19 removals continues to slow the recovery of this student group resulting in the slippage identified in this indicator.</w:t>
      </w:r>
      <w:r w:rsidRPr="00781112">
        <w:rPr>
          <w:rFonts w:cs="Arial"/>
          <w:color w:val="000000" w:themeColor="text1"/>
          <w:szCs w:val="16"/>
        </w:rPr>
        <w:br/>
        <w:t>To address these findings, IDOE is leading innovative initiatives to support LEAs as noted in the Indiana Academic Performance and Recovery Update document (https://media.doe.in.gov/news/sboe-7-13-2022.pdf?utm_content=&amp;utm_medium=email&amp;utm_name=&amp;utm_source=govdelivery&amp;utm_term=).</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 xml:space="preserve">Group C students participating in the alternate assessment were found to have a decrease of 5.69% in proficiency. </w:t>
      </w:r>
      <w:r w:rsidRPr="00781112">
        <w:rPr>
          <w:rFonts w:cs="Arial"/>
          <w:color w:val="000000" w:themeColor="text1"/>
          <w:szCs w:val="16"/>
        </w:rPr>
        <w:br/>
        <w:t>Analyzing the number of students participating in Group C, there was an decrease of 77 students receiving a valid score and for whom a proficiency level was assigned for the alternate assessment from the previous year assessment (FFY 20=928; FFY 21=851). This represents an 8.30% decrease in participation.</w:t>
      </w:r>
      <w:r w:rsidRPr="00781112">
        <w:rPr>
          <w:rFonts w:cs="Arial"/>
          <w:color w:val="000000" w:themeColor="text1"/>
          <w:szCs w:val="16"/>
        </w:rPr>
        <w:br/>
        <w:t>When considering proficiency results from FFY20 and FFY 21, there was an decrease of 77 students scoring at of above proficient (FFY 20=465; FFY 21=378). This represents an 18.71% decrease in proficiency.</w:t>
      </w:r>
      <w:r w:rsidRPr="00781112">
        <w:rPr>
          <w:rFonts w:cs="Arial"/>
          <w:color w:val="000000" w:themeColor="text1"/>
          <w:szCs w:val="16"/>
        </w:rPr>
        <w:br/>
        <w:t>The impacts resulting from the COVID-19 pandemic appear to be most detrimental to Group C students. Data indicates less students participating and less student achieving proficiency which has resulted in the identified slippage for this indicator.  This appears to be related to the health concerns resulting in fewer students attending school and those attending having slower response to recovery efforts.</w:t>
      </w:r>
      <w:r w:rsidRPr="00781112">
        <w:rPr>
          <w:rFonts w:cs="Arial"/>
          <w:color w:val="000000" w:themeColor="text1"/>
          <w:szCs w:val="16"/>
        </w:rPr>
        <w:br/>
        <w:t>To address these findings, IDOE continues to analyze the data for this student group to identify appropriate mitigation strategies and is leading innovative initiatives to support LEAs as noted in the Indiana Academic Performance and Recovery Update document (https://media.doe.in.gov/news/sboe-7-13-2022.pdf?utm_content=&amp;utm_medium=email&amp;utm_name=&amp;utm_source=govdelivery&amp;utm_term=).</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268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655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44.46%</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49.30%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40.92%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437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936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41.56%</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42.33%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46.69%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264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848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35.50%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56.09%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31.13%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Group A students participating in the alternate assessment were found to have a decrease of 3.54% in proficiency. </w:t>
      </w:r>
      <w:r w:rsidRPr="00781112">
        <w:rPr>
          <w:rFonts w:cs="Arial"/>
          <w:color w:val="000000" w:themeColor="text1"/>
          <w:szCs w:val="16"/>
        </w:rPr>
        <w:br/>
        <w:t>Analyzing the number of students participating in Group A, there was an increase of 32 students receiving a valid score and for whom a proficiency level was assigned for the alternate assessment from the previous year assessment (FFY 20=623; FFY 21=655). This represents a 5.14% increase in participation.</w:t>
      </w:r>
      <w:r w:rsidRPr="00781112">
        <w:rPr>
          <w:rFonts w:cs="Arial"/>
          <w:color w:val="000000" w:themeColor="text1"/>
          <w:szCs w:val="16"/>
        </w:rPr>
        <w:br/>
        <w:t>When considering proficiency results from FFY20 and FFY 21, there was a decrease of 9 students scoring at of above proficient (FFY 20=277; FFY 21=268). This represents a 3.25% decrease in proficiency.</w:t>
      </w:r>
      <w:r w:rsidRPr="00781112">
        <w:rPr>
          <w:rFonts w:cs="Arial"/>
          <w:color w:val="000000" w:themeColor="text1"/>
          <w:szCs w:val="16"/>
        </w:rPr>
        <w:br/>
        <w:t xml:space="preserve">With the increasing number of number of students with significant disabilities returning to school following removals for safety, the academic impact resulting from COVID-19 removals continues to slow the recovery of this student group resulting in the slippage identified in this indicator.  </w:t>
      </w:r>
      <w:r w:rsidRPr="00781112">
        <w:rPr>
          <w:rFonts w:cs="Arial"/>
          <w:color w:val="000000" w:themeColor="text1"/>
          <w:szCs w:val="16"/>
        </w:rPr>
        <w:br/>
        <w:t>To address these findings, IDOE is leading innovative initiatives to support LEAs as noted in the Indiana Academic Performance and Recovery Update document (https://media.doe.in.gov/news/sboe-7-13-2022.pdf?utm_content=&amp;utm_medium=email&amp;utm_name=&amp;utm_source=govdelivery&amp;utm_term=).</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Group C students participating in the alternate assessment were found to have a decrease of 4.37% in proficiency. </w:t>
      </w:r>
      <w:r w:rsidRPr="00781112">
        <w:rPr>
          <w:rFonts w:cs="Arial"/>
          <w:color w:val="000000" w:themeColor="text1"/>
          <w:szCs w:val="16"/>
        </w:rPr>
        <w:br/>
        <w:t>Analyzing the number of students participating in Group C, there was an decrease of 73 students receiving a valid score and for whom a proficiency level was assigned for the alternate assessment from the previous year assessment (FFY 20=921; FFY 21=848). This represents an 7.93% decrease in participation.</w:t>
      </w:r>
      <w:r w:rsidRPr="00781112">
        <w:rPr>
          <w:rFonts w:cs="Arial"/>
          <w:color w:val="000000" w:themeColor="text1"/>
          <w:szCs w:val="16"/>
        </w:rPr>
        <w:br/>
        <w:t>When considering proficiency results from FFY20 and FFY 21, there was an decrease of 63 students scoring at of above proficient (FFY 20=327; FFY 21=264). This represents an19.27% decrease in proficiency.</w:t>
      </w:r>
      <w:r w:rsidRPr="00781112">
        <w:rPr>
          <w:rFonts w:cs="Arial"/>
          <w:color w:val="000000" w:themeColor="text1"/>
          <w:szCs w:val="16"/>
        </w:rPr>
        <w:br/>
        <w:t>The impacts resulting from the COVID-19 pandemic appear to be most detrimental to Group C students. Data indicates less students participating and less students achieving proficiency which has resulted in the identified slippage for this indicator. This appears to be related to the health concerns resulting in fewer students attending school and those attending having slower response to recovery efforts.</w:t>
      </w:r>
      <w:r w:rsidRPr="00781112">
        <w:rPr>
          <w:rFonts w:cs="Arial"/>
          <w:color w:val="000000" w:themeColor="text1"/>
          <w:szCs w:val="16"/>
        </w:rPr>
        <w:br/>
        <w:t>To address these findings, IDOE continues to analyze the data for this student group to identify appropriate mitigation strategies and is leading innovative initiatives to support LEAs as noted in the Indiana Academic Performance and Recovery Update document (https://media.doe.in.gov/news/sboe-7-13-2022.pdf?utm_content=&amp;utm_medium=email&amp;utm_name=&amp;utm_source=govdelivery&amp;utm_term=).</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required public reports of assessment results is located at https://www.in.gov/doe/students/special-education/.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On the linked page, open the "Special Education Data" tab.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In this section, locate the heading 616/618 Reporting and see the document "Compliance/Results Indicator Data for All Corporations to Targets SY 2020-2021".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While the study previously included in this report related to statewide assessment did not include students participating in the alternate assessment, the OSE has analyzed this data and finds that COVID-19 continues to impact student proficiency on statewide alternate assessment as noted within the reasons for slippage discussed previously.</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level.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27.67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36.52</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42.25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28.50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26.98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26.67</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26.17</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25.67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25.17</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24.67</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35.52</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35.02</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34.52</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34.02</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33.52</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41.25</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40.75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40.25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39.75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39.25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27.04</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26.54</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26.04</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25.54</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25.04</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27.50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26.50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25.50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25.98</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25.48</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24.98</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24.48</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23.98</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statewide assessment data. Feedback from the survey indicates the need to change how statewide assessment data is weighted within the Results Matrix for RDA. Based on this feedback, OSE adjusted the weight assigned to statewide assessment data scoring as part of the 2022 RDA release and will continue to seek stakeholder input related to additional changes in the 2023 RDA release.</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73,832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77,113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71,438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12,882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11,726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9,202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27,963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31,020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32,873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1,601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944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2,389</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1,570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759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247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419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479</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1,145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73,826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77,029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71,450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12,879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11,713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9,202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31,578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21,390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20,303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2,883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834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1,266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1,627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328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128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1,148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448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462</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15.44%</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40.04%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23.76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26.67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24.60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10.56%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41.45%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31.89</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35.52</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30.89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15.13%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49.36%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43.18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41.25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34.23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21.55%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46.68%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23.55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27.04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25.13</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6.63%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28.85%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20.95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27.50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22.23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6.41%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30.19%</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28.63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25.98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23.78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A study completed on Indiana's academic performance and recovery from the COVID-19 pandemic (https://media.doe.in.gov/news/sboe-7-13-2022.pdf?utm_content=&amp;utm_medium=email&amp;utm_name=&amp;utm_source=govdelivery&amp;utm_term=) demonstrates students with disabilities' proficiency rates increased .5% overall in English Language Arts (ELA) and 1.6% in Mathematics. The study also finds that while some grade level content area recovery is stabilizing/recovering (4th grade ELA and 4th-8th grade Math), 5th-8th grade ELA recovery is stabilizing-declining. To address these findings, IDOE is leading innovative initiatives to support LEAs as noted in the document link provided previously.</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1.75%</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0.43%</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0.33%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0.23%</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1.70%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22.22%</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1.65%</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1.60%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1.55%</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1.50%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1.45%</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While targets were not changed for this reporting year, IDOE Office of Special Education has continued to engage stakeholders related to Indicator 4 policies and procedures. IDOE completed interviews with LEAs who were identified as non compliant in the previous year(s) and had effectively corrected the noncompliance. The focus of this discussion was related to the specific corrective actions that were required by the State and LEA feedback on the impact of these actions related to changes in policies, practices and procedures and ultimate correction of non compliance. This evidence has assisted IDOE in the review of current processes related to improving outcomes for children with disabilities.</w:t>
      </w: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384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IDOE defines Indicator 4A "significant discrepancy of students with disabilities in the rates of suspensions and expulsions greater than 10 days" as a comparison of the rate ratio of all races/ethnicities of students with disabilities in the LEA to the rate ratio of all races/ethnicities of students with disabilities combined in the state. The rate ratio must be greater or equal to 2.0 for each of three consecutive years of data. IDOE has a required minimum of 15 students of all races or ethnicities with a disability suspended or expelled for more than 10 days for both the target and comparison group.</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As the state's definition includes multiple years of data, the resulting outcomes of the COVID-19 pandemic continue to impact the data reported related to Indicator 4A. As students were accessing education in alternative settings (primarily remote), a significant decrease in disciplinary incidents resulting in removal was demonstrated. The state is continuing to closely monitor discipline data following the return to in-person learning to determine any impacts and actions that will be needed to mitigate the impact.</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each LEA that the State identifies as having a significant discrepancy in the rate of suspensions or expulsions of greater than 10 days in a school year for children with IEPs, the following process was completed:</w:t>
      </w:r>
      <w:r w:rsidRPr="00781112">
        <w:rPr>
          <w:rFonts w:cs="Arial"/>
          <w:color w:val="000000" w:themeColor="text1"/>
          <w:szCs w:val="16"/>
        </w:rPr>
        <w:br/>
        <w:t>LEAs were provided written notification that the LEA had significant discrepancy in discipline (over the Indiana defined risk index threshold of 2.0 for each of three years) and the annual data analysis reflected possible noncompliance for this indicator.:</w:t>
      </w:r>
      <w:r w:rsidRPr="00781112">
        <w:rPr>
          <w:rFonts w:cs="Arial"/>
          <w:color w:val="000000" w:themeColor="text1"/>
          <w:szCs w:val="16"/>
        </w:rPr>
        <w:br/>
      </w:r>
      <w:r w:rsidRPr="00781112">
        <w:rPr>
          <w:rFonts w:cs="Arial"/>
          <w:color w:val="000000" w:themeColor="text1"/>
          <w:szCs w:val="16"/>
        </w:rPr>
        <w:br/>
        <w:t>Each LEA was required to participate in a policy and procedure review based on the State developed rubric to examine local policies. As part of this review, the LEA submitted all written policies and procedures related to disciplinary practices for students with disabilities. The SEA and an external vendor team separately reviewed the policies and procedures using the rubric. The SEA identified specific areas of noncompliance to report to the LEA.</w:t>
      </w:r>
      <w:r w:rsidRPr="00781112">
        <w:rPr>
          <w:rFonts w:cs="Arial"/>
          <w:color w:val="000000" w:themeColor="text1"/>
          <w:szCs w:val="16"/>
        </w:rPr>
        <w:br/>
      </w:r>
      <w:r w:rsidRPr="00781112">
        <w:rPr>
          <w:rFonts w:cs="Arial"/>
          <w:color w:val="000000" w:themeColor="text1"/>
          <w:szCs w:val="16"/>
        </w:rPr>
        <w:br/>
        <w:t>Each LEA was required to participate in a file review (minimum of 5 files) based on the State developed rubric to examine local practices. As part of this review, the LEA submitted 5 student files to be reviewed (unless the state had previously reviewed files resulting in fewer than 5 files available). The LEA and an external vendor team separately reviewed the files using the rubric. The SEA identified specific areas of noncompliance to report to the LEA.</w:t>
      </w:r>
      <w:r w:rsidRPr="00781112">
        <w:rPr>
          <w:rFonts w:cs="Arial"/>
          <w:color w:val="000000" w:themeColor="text1"/>
          <w:szCs w:val="16"/>
        </w:rPr>
        <w:br/>
      </w:r>
      <w:r w:rsidRPr="00781112">
        <w:rPr>
          <w:rFonts w:cs="Arial"/>
          <w:color w:val="000000" w:themeColor="text1"/>
          <w:szCs w:val="16"/>
        </w:rPr>
        <w:br/>
        <w:t>If policies, procedures and/or practices (including the use of positive behavioral interventions and supports and procedural safeguards) were determined to be inappropriate, findings of noncompliance were issued. The LEA was notified of the finding on noncompliance and required to participate in technical assistance. Technical assistance included a review of the individual cases of noncompliance identified as part of root cause analysis and development of corrective action plan. Subsequently, professional development and technical assistance were made available to the LEA based on the corrective action plan.</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lastRenderedPageBreak/>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To address the requirements in the OSEP Memo 09-02 the State verified correction of student level noncompliance which was completed as soon as possible but in no case greater than one year from the date of the issuance of the finding. As part of the verification process the LEAs were provided feedback on individual case file review results and required to complete file corrections and review/revise their policies, procedures, and practices relating to the development and implementation of IEPs and procedural safeguards to ensure that these policies, procedures, and practices comply with the IDEA. If a student was no longer within the jurisdiction of the LEA, individual correction was not made.</w:t>
      </w:r>
      <w:r w:rsidRPr="00781112">
        <w:rPr>
          <w:rFonts w:cs="Arial"/>
          <w:color w:val="000000" w:themeColor="text1"/>
          <w:szCs w:val="16"/>
        </w:rPr>
        <w:br/>
        <w:t xml:space="preserve">To verify each LEA subsequently implemented regulatory requirements correctly, the State required the LEA to develop a corrective action plan (CAP) based on the IDEA Data Center’s Success Gap Tool (SGT). The SGT provided a framework for LEAs to review specific data in regard to the file review and conduct a root cause analysis of five key focus areas (data, instruction, cultural competence, assessment and interventions) completed by the LEA team in order to inform the CAP. Technical assistance and training were provided virtually and/or on-site by IDOE and TA center staff. Progress on this Indicator was monitored through the regularly scheduled contacts between the LEA and IDOE consultant to address the specific reason(s) of noncompliance. In addition, the LEAs identified with noncompliance were informed that they could request additional technical assistance/professional development with the appropriate Indiana Resource Network provider(s). </w:t>
      </w:r>
      <w:r w:rsidRPr="00781112">
        <w:rPr>
          <w:rFonts w:cs="Arial"/>
          <w:color w:val="000000" w:themeColor="text1"/>
          <w:szCs w:val="16"/>
        </w:rPr>
        <w:br/>
        <w:t>IDOE verified the correction of all noncompliance. This process included verification of correction of each individual case of noncompliance and a review of updated policies, procedures, practices and data that had been identified previously. IDOE collected and verified the data through a review of subsequent file reviews to ensure that individual and regulatory noncompliance had been resolved.</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To verify that the source of noncompliance is correctly implementing regulatory requirements, IDOE completed a review of additional student files within the state IEP system subsequent to the finding of noncompliance and verified that the 4 LEAs identified in FFY 2020 achieved 100% compliance with the specific regulatory requirements within one year of issuing findings of noncompliance, consistent with OSEP Memorandum 09-02.</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To verify that each individual case of noncompliance was corrected, IDOE completed a subsequent review of the file file found to be noncompliant within the state IEP system and verified that the 4 LEAs identified in FFY 2020 achieved 100% compliance with the requirements within one year of issuing findings of noncompliance , unless the child was no longer within the jurisdiction of the district, consistent with OSEP Memo 09-02.</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3BB76F7F" w14:textId="77777777" w:rsidTr="00AB0D6A">
        <w:tc>
          <w:tcPr>
            <w:tcW w:w="1027" w:type="pct"/>
            <w:shd w:val="clear" w:color="auto" w:fill="auto"/>
          </w:tcPr>
          <w:p w14:paraId="3E53BDFC" w14:textId="49B50F7D" w:rsidR="000C7B90"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54" w:type="pct"/>
            <w:shd w:val="clear" w:color="auto" w:fill="auto"/>
          </w:tcPr>
          <w:p w14:paraId="2DAC4ACF" w14:textId="6DFB36C9"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45BEAE02" w14:textId="10E4F499"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3F264F27" w14:textId="46B36D97"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74BF3CD2" w14:textId="0F74368A" w:rsidR="00D5193F" w:rsidRPr="00781112" w:rsidRDefault="00D5193F" w:rsidP="004369B2">
      <w:pPr>
        <w:rPr>
          <w:rFonts w:cs="Arial"/>
          <w:b/>
          <w:bCs/>
          <w:color w:val="000000" w:themeColor="text1"/>
          <w:szCs w:val="16"/>
        </w:rPr>
      </w:pPr>
      <w:r w:rsidRPr="00781112">
        <w:rPr>
          <w:rFonts w:cs="Arial"/>
          <w:b/>
          <w:bCs/>
          <w:color w:val="000000" w:themeColor="text1"/>
          <w:szCs w:val="16"/>
        </w:rPr>
        <w:t>FFY 2019</w:t>
      </w:r>
    </w:p>
    <w:p w14:paraId="1C2A9975" w14:textId="28FF6C1E" w:rsidR="000C7B90" w:rsidRPr="00781112" w:rsidRDefault="000C7B90" w:rsidP="004369B2">
      <w:pPr>
        <w:rPr>
          <w:color w:val="000000" w:themeColor="text1"/>
        </w:rPr>
      </w:pPr>
      <w:r w:rsidRPr="00781112">
        <w:rPr>
          <w:b/>
          <w:color w:val="000000" w:themeColor="text1"/>
        </w:rPr>
        <w:t>Findings of Noncompliance Verified as Corrected</w:t>
      </w:r>
    </w:p>
    <w:p w14:paraId="294DE42A"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F179ACD" w14:textId="5A69585C" w:rsidR="002D57DA" w:rsidRPr="00781112" w:rsidRDefault="002B7490" w:rsidP="000C7B90">
      <w:pPr>
        <w:rPr>
          <w:rFonts w:cs="Arial"/>
          <w:color w:val="000000" w:themeColor="text1"/>
          <w:szCs w:val="16"/>
        </w:rPr>
      </w:pPr>
      <w:r w:rsidRPr="00781112">
        <w:rPr>
          <w:rFonts w:cs="Arial"/>
          <w:color w:val="000000" w:themeColor="text1"/>
          <w:szCs w:val="16"/>
        </w:rPr>
        <w:t>The State has verified that the LEA with noncompliance identified in FFY 2019 is correctly implementing the specific regulatory requirements (achieved 100% compliance) based on a review of updated data (file review) collected through the State data system consistent with OSEP Memo 09-02.</w:t>
      </w:r>
    </w:p>
    <w:p w14:paraId="3F279C69" w14:textId="41576744"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00DD3830"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F4BD0E9" w14:textId="38A4E6A4" w:rsidR="002D57DA" w:rsidRPr="00781112" w:rsidRDefault="002B7490" w:rsidP="000C7B90">
      <w:pPr>
        <w:rPr>
          <w:rFonts w:cs="Arial"/>
          <w:color w:val="000000" w:themeColor="text1"/>
          <w:szCs w:val="16"/>
        </w:rPr>
      </w:pPr>
      <w:r w:rsidRPr="00781112">
        <w:rPr>
          <w:rFonts w:cs="Arial"/>
          <w:color w:val="000000" w:themeColor="text1"/>
          <w:szCs w:val="16"/>
        </w:rPr>
        <w:t>The State has verified through file review that the LEA with noncompliance identified in FFY 2019 has corrected each individual case of noncompliance, unless the child is no longer within the jurisdiction of the LEA consistent with OSEP Memo 09-02.</w:t>
      </w:r>
    </w:p>
    <w:p w14:paraId="378AB43A" w14:textId="705ED3F0" w:rsidR="00D5193F" w:rsidRPr="00781112" w:rsidRDefault="00D5193F" w:rsidP="00D5193F">
      <w:pPr>
        <w:rPr>
          <w:rFonts w:cs="Arial"/>
          <w:b/>
          <w:bCs/>
          <w:color w:val="000000" w:themeColor="text1"/>
          <w:szCs w:val="16"/>
        </w:rPr>
      </w:pPr>
      <w:r w:rsidRPr="00781112">
        <w:rPr>
          <w:rFonts w:cs="Arial"/>
          <w:b/>
          <w:bCs/>
          <w:color w:val="000000" w:themeColor="text1"/>
          <w:szCs w:val="16"/>
        </w:rPr>
        <w:t>FFY 2018</w:t>
      </w:r>
    </w:p>
    <w:p w14:paraId="70DB4EC3" w14:textId="160168EB" w:rsidR="000C7B90" w:rsidRPr="00781112" w:rsidRDefault="000C7B90" w:rsidP="004369B2">
      <w:pPr>
        <w:rPr>
          <w:color w:val="000000" w:themeColor="text1"/>
        </w:rPr>
      </w:pPr>
      <w:r w:rsidRPr="00781112">
        <w:rPr>
          <w:b/>
          <w:color w:val="000000" w:themeColor="text1"/>
        </w:rPr>
        <w:t>Findings of Noncompliance Verified as Corrected</w:t>
      </w:r>
    </w:p>
    <w:p w14:paraId="28697352" w14:textId="1584A642"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00DD3830" w:rsidRPr="00781112">
        <w:rPr>
          <w:rFonts w:cs="Arial"/>
          <w:b/>
          <w:i/>
          <w:color w:val="000000" w:themeColor="text1"/>
          <w:szCs w:val="16"/>
        </w:rPr>
        <w:t>regulatory requirements</w:t>
      </w:r>
    </w:p>
    <w:p w14:paraId="6EF127D5" w14:textId="0028AC89" w:rsidR="002D57DA" w:rsidRPr="00781112" w:rsidRDefault="002B7490" w:rsidP="000C7B90">
      <w:pPr>
        <w:rPr>
          <w:rFonts w:cs="Arial"/>
          <w:color w:val="000000" w:themeColor="text1"/>
          <w:szCs w:val="16"/>
        </w:rPr>
      </w:pPr>
      <w:r w:rsidRPr="00781112">
        <w:rPr>
          <w:rFonts w:cs="Arial"/>
          <w:color w:val="000000" w:themeColor="text1"/>
          <w:szCs w:val="16"/>
        </w:rPr>
        <w:t>The State has verified that the LEA with noncompliance identified in FFY 2018 is correctly implementing the specific regulatory requirements (achieved 100% compliance) based on a review of updated data (file review) collected through the State data system consistent with OSEP Memo 09-02.</w:t>
      </w:r>
    </w:p>
    <w:p w14:paraId="2C091DAF" w14:textId="40C1FA4E"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6F7AAF" w14:textId="2C1030DF" w:rsidR="002D57DA" w:rsidRPr="00781112" w:rsidRDefault="002B7490" w:rsidP="000C7B90">
      <w:pPr>
        <w:rPr>
          <w:rFonts w:cs="Arial"/>
          <w:color w:val="000000" w:themeColor="text1"/>
          <w:szCs w:val="16"/>
        </w:rPr>
      </w:pPr>
      <w:r w:rsidRPr="00781112">
        <w:rPr>
          <w:rFonts w:cs="Arial"/>
          <w:color w:val="000000" w:themeColor="text1"/>
          <w:szCs w:val="16"/>
        </w:rPr>
        <w:t>The State has verified through file review that the LEA with noncompliance identified in FFY 2018 has corrected each individual case of noncompliance, unless the child is no longer within the jurisdiction of the LEA consistent with OSEP Memo 09-02.</w:t>
      </w: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 xml:space="preserve">The State reported that noncompliance identified in FFY 2019 and FFY 2018 as a result of the review it conducted pursuant to 34 C.F.R. § 300.170(b) </w:t>
      </w:r>
      <w:r w:rsidRPr="00781112">
        <w:rPr>
          <w:rFonts w:cs="Arial"/>
          <w:color w:val="000000" w:themeColor="text1"/>
          <w:szCs w:val="16"/>
        </w:rPr>
        <w:lastRenderedPageBreak/>
        <w:t>was not corrected. When reporting on the correction of this noncompliance, the State must demonstrate, in the FFY 2021 SPP/APR, that it has verified that each district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The State has verified that 4 LEAs found noncompliant in FFY 2020 are correctly implementing the specific regulatory requirements and has corrected each individual case of noncompliance unless the child was no longer within the jurisdiction of the district based on a review of updated data collected through the State data systems and the Indiana IEP student record reporting system.</w:t>
      </w:r>
      <w:r w:rsidRPr="00781112">
        <w:rPr>
          <w:rFonts w:cs="Arial"/>
          <w:color w:val="000000" w:themeColor="text1"/>
          <w:szCs w:val="16"/>
        </w:rPr>
        <w:br/>
      </w:r>
      <w:r w:rsidRPr="00781112">
        <w:rPr>
          <w:rFonts w:cs="Arial"/>
          <w:color w:val="000000" w:themeColor="text1"/>
          <w:szCs w:val="16"/>
        </w:rPr>
        <w:br/>
        <w:t>The State has also verified that the 2 LEAs that had not corrected in FFY 2019 and FFY 2018 are correctly implementing the specific regulatory requirements and has corrected each individual case of noncompliance unless the child was no longer within the jurisdiction of the district based on a review of updated data collected through the State data systems and the Indiana IEP student record reporting system.</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"As the state's definition includes multiple years of data, the resulting outcomes of the COVID-19 pandemic continue to impact the data reported related to Indicator 4A. As students were accessing education in alternative settings (primarily remote), a significant decrease in disciplinary incidents resulting in removal was demonstrated."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2022 SPP/APR, on the correction of noncompliance that the State identified in FFY 2021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6A1DC351" w14:textId="77777777" w:rsidR="00B22055" w:rsidRPr="00781112" w:rsidRDefault="00B22055"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7338A1E7" w14:textId="77777777" w:rsidR="00B22055" w:rsidRPr="00781112" w:rsidRDefault="00B22055"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386</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IDOE's definition identifies significant discrepancy of racial and ethnic groups (American Indian or Alaska Native, Asian, Native Hawaiian or other Pacific Islander, Hispanic/Latino, Black or African American, White, and Multiracial) as the rate ratio for a given racial/ethnic group in the LEA compared with the rate ratio for all students with disabilities in the state. The rate ratio must be greater than 2.0 for each of three consecutive years. IDOE has a required minimum of 15 students with a disability in a racial/ethnic group suspended or expelled for more than 10 days for the target group and has a required minimum of 15 students of all races or ethnicities with a disability suspended or expelled for more than 10 days for the comparison group.</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As the state's definition includes 3 years of data, the resulting outcomes from the COVID-19 pandemic continue to impact the data related to this Indicator. As most students were accessing education in alternate settings (primarily remote), there was a decrease in the number of disciplinary actions and subsequent removals.  The state is continuing to closely monitor discipline data following the return to in-person learning to determine any impacts and actions that will be needed to mitigate the impact.</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each LEA that the State identifies as having a significant discrepancy in the rate of suspensions or expulsions of greater than 10 days in a school year for children with IEPs, the following process was completed:</w:t>
      </w:r>
      <w:r w:rsidRPr="00781112">
        <w:rPr>
          <w:rFonts w:cs="Arial"/>
          <w:color w:val="000000" w:themeColor="text1"/>
          <w:szCs w:val="16"/>
        </w:rPr>
        <w:br/>
        <w:t>LEAs were provided written notification that the LEA had significant discrepancy in discipline (over the Indiana defined risk index threshold of 2.0 for each of three years) and the annual data analysis reflected possible noncompliance for this indicator.:</w:t>
      </w:r>
      <w:r w:rsidRPr="00781112">
        <w:rPr>
          <w:rFonts w:cs="Arial"/>
          <w:color w:val="000000" w:themeColor="text1"/>
          <w:szCs w:val="16"/>
        </w:rPr>
        <w:br/>
      </w:r>
      <w:r w:rsidRPr="00781112">
        <w:rPr>
          <w:rFonts w:cs="Arial"/>
          <w:color w:val="000000" w:themeColor="text1"/>
          <w:szCs w:val="16"/>
        </w:rPr>
        <w:br/>
        <w:t>Each LEA was required to participate in a policy and procedure review based on the State developed rubric to examine local policies. As part of this review, the LEA submitted all written policies and procedures related to disciplinary practices for students with disabilities. The SEA and an external vendor team separately reviewed the policies and procedures using the rubric. The SEA identified specific areas of noncompliance to report to the LEA.</w:t>
      </w:r>
      <w:r w:rsidRPr="00781112">
        <w:rPr>
          <w:rFonts w:cs="Arial"/>
          <w:color w:val="000000" w:themeColor="text1"/>
          <w:szCs w:val="16"/>
        </w:rPr>
        <w:br/>
      </w:r>
      <w:r w:rsidRPr="00781112">
        <w:rPr>
          <w:rFonts w:cs="Arial"/>
          <w:color w:val="000000" w:themeColor="text1"/>
          <w:szCs w:val="16"/>
        </w:rPr>
        <w:br/>
        <w:t xml:space="preserve">Each LEA was required to participate in a file review (minimum of 5 files) based on the State developed rubric to examine local practices. As part of this review, the LEA submitted 5 student files to be reviewed (unless the state had previously reviewed files resulting in fewer than 5 files available). The LEA </w:t>
      </w:r>
      <w:r w:rsidRPr="00781112">
        <w:rPr>
          <w:rFonts w:cs="Arial"/>
          <w:color w:val="000000" w:themeColor="text1"/>
          <w:szCs w:val="16"/>
        </w:rPr>
        <w:lastRenderedPageBreak/>
        <w:t>and an external vendor team separately reviewed the files using the rubric. The SEA identified specific areas of noncompliance to report to the LEA.</w:t>
      </w:r>
      <w:r w:rsidRPr="00781112">
        <w:rPr>
          <w:rFonts w:cs="Arial"/>
          <w:color w:val="000000" w:themeColor="text1"/>
          <w:szCs w:val="16"/>
        </w:rPr>
        <w:br/>
      </w:r>
      <w:r w:rsidRPr="00781112">
        <w:rPr>
          <w:rFonts w:cs="Arial"/>
          <w:color w:val="000000" w:themeColor="text1"/>
          <w:szCs w:val="16"/>
        </w:rPr>
        <w:br/>
        <w:t>If policies, procedures and/or practices (including the use of positive behavioral interventions and supports and procedural safeguards) were determined to be inappropriate, findings of noncompliance were issued. The LEA was notified of the finding on noncompliance and required to participate in technical assistance. Technical assistance included a review of the individual cases of noncompliance identified as part of root cause analysis and development of corrective action plan. Subsequently, professional development and technical assistance were made available to the LEA based on the corrective action plan.</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To verify that the source of noncompliance is correctly implementing regulatory requirements, IDOE completed a review of additional student files within the state IEP system subsequent to the finding of noncompliance and verified that the 2 LEAs identified in FFY 2020 achieved 100% compliance with the specific regulatory requirements within one year of issuing findings of noncompliance, consistent with OSEP Memorandum 09-02.</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To verify that each individual case of noncompliance was corrected, IDOE completed a review of the updated student file found to be noncompliant within the state IEP system subsequent to the finding of noncompliance and verified that the 2 LEAs identified in FFY 2020 achieved 100% compliance with the requirements within one year of issuing findings of noncompliance , unless the child was no longer within the jurisdiction of the district, consistent with OSEP Memo 09-02.</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In addition, the State must demonstrate, in the FFY 2021 SPP/APR, that the remaining one uncorrected finding of noncompliance identified in FFY 2018, two uncorrected findings of noncompliance identified in FFY 2017, and one uncorrected finding of noncompliance identified in FFY 2014 were corrected.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The State has verified that the 2 LEAs found noncompliant in FFY 2020 are correctly implementing the specific regulatory requirements and have corrected each individual case of noncompliance unless the child was no longer within the jurisdiction of the district based on a review of updated data collected through the State data systems and the Indiana IEP student record reporting system.</w:t>
      </w:r>
      <w:r w:rsidRPr="00781112">
        <w:rPr>
          <w:rFonts w:cs="Arial"/>
          <w:color w:val="000000" w:themeColor="text1"/>
          <w:szCs w:val="16"/>
        </w:rPr>
        <w:br/>
      </w:r>
      <w:r w:rsidRPr="00781112">
        <w:rPr>
          <w:rFonts w:cs="Arial"/>
          <w:color w:val="000000" w:themeColor="text1"/>
          <w:szCs w:val="16"/>
        </w:rPr>
        <w:br/>
        <w:t>While the specific data was not able to be submitted in the Section 4B Indicator Data section of the report (due to technical issues within the system not allowing data entry), the State has verified that the LEAs with noncompliance identified in FFY 2018, FFY 2017 and FFY 2014 are correctly implementing the specific regulatory requirements (achieved 100% compliance) based on a review of updated data (file review) collected through the State data system. The State has also verified through file review that the LEAs with noncompliance identified in FFY 2018, FFY 2017 and FFY 2014 have corrected each individual case of noncompliance, unless the child is no longer within the jurisdiction of the LEA consistent with memo 09-02.</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"As the state's definition includes 3 years of data, the resulting outcomes from the COVID-19 pandemic continue to impact the data related to this Indicator. As most students were accessing education in alternate settings (primarily remote), there was a decrease in the number of disciplinary actions and subsequent removals."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lastRenderedPageBreak/>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77.45%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72.62%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76.21%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77.45%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7.97%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7.97%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1.65%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1.65%</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77.70%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77.95%</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78.20%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78.45%</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78.70%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7.87%</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7.77%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7.67%</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7.57%</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7.47%</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1.55%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1.45%</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1.34%</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1.24%</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1.14%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Least Restrictive Environment (LRE). Feedback from the survey indicates the need for greater emphasis on LRE Parts B and C in the Results Matrix for RDA and continuing current inclusion of Part A. Based on this feedback, OSE adjusted the weight assigned to LRE Part A scoring as part of the 2022 RDA release and will continue to seek stakeholder input related to additional changes (such as including LRE Part B and/or C as a scored item) in the 2023 RDA release.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 xml:space="preserve">SY 2021-22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lastRenderedPageBreak/>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169,801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132,228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13,379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1,418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432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1,036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132,228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169,801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77.70%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77.87%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13,379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169,801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7.87%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7.88%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2,886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169,801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41.50%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27.22%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38.12%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39.98%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39.38%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27.22%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32.70%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32.60%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32.60%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39.15%</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33.71%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32.56%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32.35%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31.54%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39.15%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Preschool Environments. Feedback from the survey indicates the need for greater emphasis on Preschool Environments. Based on this feedback, OSE is identifying high performing LEAs for collaboration in the development of infrastructure resources. IDOE will continue to seek stakeholder input related to additional updates to support establishing targets related to Preschool Environments.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27.22%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0.61%</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27.72%</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28.22%</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28.72%</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29.22%</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29.72%</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38.90%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38.65%</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38.40%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38.15%</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37.90%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0.59%</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0.58%</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0.57%</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0.56%</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4,247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5,762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2,686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12,695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944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1,828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947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3,719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1,891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2,019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784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4,694</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64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39</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171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3,719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12,695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27.22%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27.72%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29.29%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lastRenderedPageBreak/>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4,870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12,695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39.15%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38.90%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38.36%</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12,695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0.61%</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0.60%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0.43%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75.25%</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75.41%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75.41%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58.93%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19.36%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17.29%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19.36%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26.03%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82.25%</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60.24%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16.50%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11.75%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8.29%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10.15%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17.85%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84.25%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84.27%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82.66%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18.50%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13.00%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9.85%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11.38%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17.35%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75.50%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75.75%</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76.00%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76.25%</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76.50%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22.00%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23.00%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24.00%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25.00%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26.00%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82.50%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82.75%</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83.00%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83.25%</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83.50%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12.50%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13.25%</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14.00%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14.75%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15.50%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84.50%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84.75%</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85.25%</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85.50%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14.00%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15.00%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16.00%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17.00%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18.00%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As discussed in the introduction, IDOE completed a review process related to the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Preschool Outcomes. Based on feedback related to recent changes in the assessment system, IDOE moved this indicator to a non-scored component of the annual determination. IDOE does intend to address stakeholder concerns and include the indicator as a scored measure in subsequent year determinations.</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667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7.95%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252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37.78%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164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24.59%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9.90%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132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19.79%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r w:rsidRPr="00781112">
              <w:rPr>
                <w:rFonts w:cs="Arial"/>
                <w:color w:val="000000" w:themeColor="text1"/>
                <w:szCs w:val="16"/>
              </w:rPr>
              <w:lastRenderedPageBreak/>
              <w:t xml:space="preserve">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230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535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58.93%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42.99%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198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667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26.03%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22.00%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29.69%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6.45%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34.48%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25.19%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9.15%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24.74%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502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60.24%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45.62%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226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667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17.85%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33.88%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9.60%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26.84%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9.15%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6.15%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322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48.28%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102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345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29.57%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363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667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17.35%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54.42%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In analyzing the data related to preschool outcomes, several issues have been identified that contributed to the slippage.</w:t>
            </w:r>
            <w:r w:rsidRPr="00781112">
              <w:rPr>
                <w:rFonts w:cs="Arial"/>
                <w:color w:val="000000" w:themeColor="text1"/>
                <w:szCs w:val="16"/>
              </w:rPr>
              <w:br/>
              <w:t xml:space="preserve">The assessment utilized to report preschool outcomes has transitioned from ISTAR-KR to the ISPROUT assessment (see the following section related to instruments used to gather data for additional information) . This year represents the first year that entry and exit data are available based solely on ISPROUT. With this change, there has been a significant drop in the number of assessments reported to the State by local programs related to entrance/exit reporting errors resulting in the lack of complete assessments which excludes the assessment from inclusion in reporting. </w:t>
            </w:r>
            <w:r w:rsidRPr="00781112">
              <w:rPr>
                <w:rFonts w:cs="Arial"/>
                <w:color w:val="000000" w:themeColor="text1"/>
                <w:szCs w:val="16"/>
              </w:rPr>
              <w:br/>
              <w:t>Another issue identified is related to reporting within the ISPROUT system. As discussed previously, the system is organized into assessment windows and when the window time period ends, the data entered is recorded as final. An issue has been identified in that when a student enters the program near the end of an assessment window and the necessary assessment items are not entered to meet the criteria of a complete assessment, this assessment is excluded as incomplete. The test administrator can complete the assessment for progress monitoring purposes but this is then not reported as part of the entrance assessment.</w:t>
            </w:r>
            <w:r w:rsidRPr="00781112">
              <w:rPr>
                <w:rFonts w:cs="Arial"/>
                <w:color w:val="000000" w:themeColor="text1"/>
                <w:szCs w:val="16"/>
              </w:rPr>
              <w:br/>
              <w:t xml:space="preserve">The decrease in the number of assessments reported has resulted in changes to the numerator/denominator rates and contributed to slippage. </w:t>
            </w:r>
            <w:r w:rsidRPr="00781112">
              <w:rPr>
                <w:rFonts w:cs="Arial"/>
                <w:color w:val="000000" w:themeColor="text1"/>
                <w:szCs w:val="16"/>
              </w:rPr>
              <w:br/>
              <w:t>IDOE is working with the vendor to fully analyze the current data and develop updates to the system to address all concerns being identified. Additional training related to reporting is also being provided to LEAs. IDOE has also implemented additional monitoring tools and tasks to support LEAs implementation when expected data results are not reported.</w:t>
            </w:r>
            <w:r w:rsidRPr="00781112">
              <w:rPr>
                <w:rFonts w:cs="Arial"/>
                <w:color w:val="000000" w:themeColor="text1"/>
                <w:szCs w:val="16"/>
              </w:rPr>
              <w:br/>
              <w:t>Slippage can also be related to the slight increase in A2 outcomes which results in a decrease in A1.</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In analyzing the data related to preschool outcomes, several issues have been identified that contributed to the slippage.</w:t>
            </w:r>
            <w:r w:rsidRPr="00781112">
              <w:rPr>
                <w:rFonts w:cs="Arial"/>
                <w:color w:val="000000" w:themeColor="text1"/>
                <w:szCs w:val="16"/>
              </w:rPr>
              <w:br/>
              <w:t xml:space="preserve">As noted previously, the assessment utilized to report preschool outcomes has transitioned from ISTAR-KR to the ISPROUT assessment (see the following section related to instruments used to gather data for additional information). This year represents the first year that entry and exit data are available based solely on ISPROUT. With this change, there has been a significant drop in the number of assessments reported to the State by local programs related to entrance/exit reporting errors resulting in the lack of complete assessments which excludes the assessment from inclusion in reporting. </w:t>
            </w:r>
            <w:r w:rsidRPr="00781112">
              <w:rPr>
                <w:rFonts w:cs="Arial"/>
                <w:color w:val="000000" w:themeColor="text1"/>
                <w:szCs w:val="16"/>
              </w:rPr>
              <w:br/>
              <w:t>Another issue identified is related to reporting within the ISPROUT system. As discussed previously, the system is organized into assessment windows and when the window time period ends, the data entered is recorded as final. An issue has been identified in that when a student enters the program near the end of an assessment window and the necessary assessment items are not entered to meet the criteria of a complete assessment, this assessment is excluded as incomplete. The test administrator can complete the assessment for progress monitoring purposes but this is then not reported as part of the entrance assessment.</w:t>
            </w:r>
            <w:r w:rsidRPr="00781112">
              <w:rPr>
                <w:rFonts w:cs="Arial"/>
                <w:color w:val="000000" w:themeColor="text1"/>
                <w:szCs w:val="16"/>
              </w:rPr>
              <w:br/>
              <w:t xml:space="preserve">The decrease in the number of assessments reported has resulted in changes to the numerator/denominator rates and contributed to slippage. </w:t>
            </w:r>
            <w:r w:rsidRPr="00781112">
              <w:rPr>
                <w:rFonts w:cs="Arial"/>
                <w:color w:val="000000" w:themeColor="text1"/>
                <w:szCs w:val="16"/>
              </w:rPr>
              <w:br/>
              <w:t>IDOE is working with the vendor to fully analyze the current data and develop updates to the system to address all concerns being identified. Additional training related to reporting is also being provided to LEAs. IDOE has also implemented additional monitoring tools and tasks to support LEAs implementation when expected data results are not reported.</w:t>
            </w:r>
            <w:r w:rsidRPr="00781112">
              <w:rPr>
                <w:rFonts w:cs="Arial"/>
                <w:color w:val="000000" w:themeColor="text1"/>
                <w:szCs w:val="16"/>
              </w:rPr>
              <w:br/>
              <w:t>Slippage can also be related to the slight increase in B2 outcomes which results in a decrease in B1.</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In analyzing the data related to preschool outcomes, several issues have been identified that contributed to the slippage.</w:t>
            </w:r>
            <w:r w:rsidRPr="00781112">
              <w:rPr>
                <w:rFonts w:cs="Arial"/>
                <w:color w:val="000000" w:themeColor="text1"/>
                <w:szCs w:val="16"/>
              </w:rPr>
              <w:br/>
              <w:t xml:space="preserve">As noted previously, the assessment utilized to report preschool outcomes has transitioned from ISTAR-KR to the ISPROUT assessment (see the following section related to instruments used to gather data for additional information). This year represents the first year that entry and exit data are available based solely on ISPROUT. With this change, there has been a significant drop in the number of assessments reported to the State by local programs related to entrance/exit reporting errors resulting in the lack of complete assessments which excludes the assessment from inclusion in reporting. </w:t>
            </w:r>
            <w:r w:rsidRPr="00781112">
              <w:rPr>
                <w:rFonts w:cs="Arial"/>
                <w:color w:val="000000" w:themeColor="text1"/>
                <w:szCs w:val="16"/>
              </w:rPr>
              <w:br/>
              <w:t>Another issue identified is related to reporting within the ISPROUT system. As discussed previously, the system is organized into assessment windows and when the window time period ends, the data entered is recorded as final. An issue has been identified in that when a student enters the program near the end of an assessment window and the necessary assessment items are not entered to meet the criteria of a complete assessment, this assessment is excluded as incomplete. The test administrator can complete the assessment for progress monitoring purposes but this is then not reported as part of the entrance assessment.</w:t>
            </w:r>
            <w:r w:rsidRPr="00781112">
              <w:rPr>
                <w:rFonts w:cs="Arial"/>
                <w:color w:val="000000" w:themeColor="text1"/>
                <w:szCs w:val="16"/>
              </w:rPr>
              <w:br/>
              <w:t xml:space="preserve">The decrease in the number of assessments reported has resulted in changes to the numerator/denominator rates and contributed to slippage. </w:t>
            </w:r>
            <w:r w:rsidRPr="00781112">
              <w:rPr>
                <w:rFonts w:cs="Arial"/>
                <w:color w:val="000000" w:themeColor="text1"/>
                <w:szCs w:val="16"/>
              </w:rPr>
              <w:br/>
            </w:r>
            <w:r w:rsidRPr="00781112">
              <w:rPr>
                <w:rFonts w:cs="Arial"/>
                <w:color w:val="000000" w:themeColor="text1"/>
                <w:szCs w:val="16"/>
              </w:rPr>
              <w:lastRenderedPageBreak/>
              <w:t>IDOE is working with the vendor to fully analyze the current data and develop updates to the system to address all concerns being identified. Additional training related to reporting is also being provided to LEAs. IDOE has also implemented additional monitoring tools and tasks to support LEAs implementation when expected data results are not reported.</w:t>
            </w:r>
            <w:r w:rsidRPr="00781112">
              <w:rPr>
                <w:rFonts w:cs="Arial"/>
                <w:color w:val="000000" w:themeColor="text1"/>
                <w:szCs w:val="16"/>
              </w:rPr>
              <w:br/>
              <w:t xml:space="preserve">The decrease in the number of assessments reported has resulted in changes to the numerator/denominator rates and contributed to slippage. </w:t>
            </w:r>
            <w:r w:rsidRPr="00781112">
              <w:rPr>
                <w:rFonts w:cs="Arial"/>
                <w:color w:val="000000" w:themeColor="text1"/>
                <w:szCs w:val="16"/>
              </w:rPr>
              <w:br/>
              <w:t>IDOE is working with the vendor to fully analyze the current data and develop updates to the system to address all concerns being identified. Additional training related to reporting is also being provided to LEAs. IDOE has also implemented additional monitoring tools and tasks to support LEAs implementation when expected data results are not reported.</w:t>
            </w:r>
            <w:r w:rsidRPr="00781112">
              <w:rPr>
                <w:rFonts w:cs="Arial"/>
                <w:color w:val="000000" w:themeColor="text1"/>
                <w:szCs w:val="16"/>
              </w:rPr>
              <w:br/>
              <w:t>Slippage can also be related to the slight increase in C2 outcomes which results in a decrease in C1.</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IDOE utilizes the Indiana Student Performance Readiness and Observation of Understanding Tool (ISPROUT) assessment tool. This tool is a derivative of the Foundations to the Indiana Academic Standards and are aligned to the Indiana Standards for Kindergarten in the areas of mathematics, English/language arts and three functional areas, including physical skills, personal care skills and social-emotional skills. Teachers or speech language pathologists (SLPs) complete the assessment at the entrance and exit of the program. The initial entrance and final exit scores are used to assess growth. Based on the student data, a score that is equal to or above the expected score would be considered evidence of achievement at a level that is "comparable to same-age peers."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As noted previously, ISPROUT is the assessment used by educators to: a) identify student skills, knowledge, and behaviors; and b) monitor growth through daily observations and activities.</w:t>
      </w:r>
      <w:r w:rsidRPr="00781112">
        <w:rPr>
          <w:rFonts w:cs="Arial"/>
          <w:color w:val="000000" w:themeColor="text1"/>
          <w:szCs w:val="16"/>
        </w:rPr>
        <w:br/>
        <w:t>ISPROUT is required for all preschool-aged students eligible for special education. Students are required to be observed by ISPROUT-certified special education teachers or SLPs. The students are rated during their first six weeks of receiving services and within the final six weeks prior to exiting special education services or exiting to kindergarten. To assist in monitoring of the assessment data, the system organizes information being submitted into 4 assessment windows.</w:t>
      </w:r>
      <w:r w:rsidRPr="00781112">
        <w:rPr>
          <w:rFonts w:cs="Arial"/>
          <w:color w:val="000000" w:themeColor="text1"/>
          <w:szCs w:val="16"/>
        </w:rPr>
        <w:br/>
        <w:t>(https://www.in.gov/doe/files/ISPROUT-Overview.docx.pdf).</w:t>
      </w:r>
      <w:r w:rsidRPr="00781112">
        <w:rPr>
          <w:rFonts w:cs="Arial"/>
          <w:color w:val="000000" w:themeColor="text1"/>
          <w:szCs w:val="16"/>
        </w:rPr>
        <w:br/>
        <w:t>IDOE previously utilized the Indiana Standards Tool for Alternate Reporting- Kindergarten Readiness (ISTAR-KR). With this, for the last several years, a student's entrance assessment was based on scores from ISTAR-KR and the exit assessment was based on ISPROUT. This reporting year is the first year that ISPROUT has been the entrance and the exit assessment.</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As part of the analysis of Indicator 7 data, it has been noted that there continues to be impacts related to the COVID-19 pandemic. Indiana schools experienced numerous closures both during the initial pandemic closure and during the following years when quarantines were required based on positive cases of COVID-19 and resulting close contacts. While schools were closed, teachers were unable to complete entrance and exit assessments as the ISPROUT assessment cannot be administered virtually. The teacher may have completed the assessment during a later assessment window when the student was in person, but the assessment was excluded as it did not meet the requirement of being completed within the first 6 weeks of entry to programming or exit programming. This has impacted the number of assessments reported by the state.</w:t>
      </w:r>
      <w:r w:rsidRPr="00781112">
        <w:rPr>
          <w:rFonts w:cs="Arial"/>
          <w:color w:val="000000" w:themeColor="text1"/>
          <w:szCs w:val="16"/>
        </w:rPr>
        <w:br/>
        <w:t>To mitigate this issue, Early Intervention Programs were encouraged to completed the data and continue to utilize the ISPROUT assessment system as progress monitoring and to locally analyze student outcomes.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Parent Involvement. Feedback from stakeholders indicates the need for greater emphasis on Parent Involvement in the Results Matrix for RDA. Based on this feedback, OSE will continue to seek stakeholder input related to the inclusion of Parent Involvement outcomes within the general supervision system and as a scored measure within RDA.</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93.67%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94.67%</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97.11%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79.92%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94.44%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93.67%</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95.67%</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96.67%</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97.67%</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98.67%</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99.67%</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4,101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4,399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95.67%</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93.23%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questions included in the Indiana Parent Survey are designed to be applicable across the range of school-aged and preschool-aged students. Parents are given the option to answer "not applicable" on questions that may not address particular areas of their child's program. Additionally, the findings of facilitation are generated by a multivariate measure that incorporates multiple aspects of the child's educational program, regardless of setting. Please note that respondents were representative of the overall population according to the grade of the child, as discussed in the next section of this report.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182,609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2.41%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2.41%</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Strategies being utilized to increase response rate include: </w:t>
      </w:r>
      <w:r w:rsidRPr="0061205F">
        <w:rPr>
          <w:rFonts w:cs="Arial"/>
          <w:bCs/>
          <w:color w:val="000000" w:themeColor="text1"/>
          <w:szCs w:val="16"/>
        </w:rPr>
        <w:br/>
        <w:t>1) Including reminders for special education staff in the Office of Special Education monthly newsletter and Indiana Department of Education (IDOE) weekly update to complete the parent survey as part of the Annual Case Review.</w:t>
      </w:r>
      <w:r w:rsidRPr="0061205F">
        <w:rPr>
          <w:rFonts w:cs="Arial"/>
          <w:bCs/>
          <w:color w:val="000000" w:themeColor="text1"/>
          <w:szCs w:val="16"/>
        </w:rPr>
        <w:br/>
        <w:t>2) Encouraging local special education administrators to review response rate data available on the IDOE website and to contact IDOE with any questions related to the data results.</w:t>
      </w:r>
      <w:r w:rsidRPr="0061205F">
        <w:rPr>
          <w:rFonts w:cs="Arial"/>
          <w:bCs/>
          <w:color w:val="000000" w:themeColor="text1"/>
          <w:szCs w:val="16"/>
        </w:rPr>
        <w:br/>
        <w:t xml:space="preserve">3) In fall 2022, IDOE, in partnership with the state Parent Training Center (INSOURCE), hosted a webinar for parents and families of students with disabilities to discuss the purpose and importance of the parent survey; </w:t>
      </w:r>
      <w:r w:rsidRPr="0061205F">
        <w:rPr>
          <w:rFonts w:cs="Arial"/>
          <w:bCs/>
          <w:color w:val="000000" w:themeColor="text1"/>
          <w:szCs w:val="16"/>
        </w:rPr>
        <w:br/>
        <w:t xml:space="preserve">4) The survey has been translated into additional languages. Languages were selected based on data from the statewide IEP system which indicated what the top three home languages were (English, Spanish, and Burmese). </w:t>
      </w:r>
      <w:r w:rsidRPr="0061205F">
        <w:rPr>
          <w:rFonts w:cs="Arial"/>
          <w:bCs/>
          <w:color w:val="000000" w:themeColor="text1"/>
          <w:szCs w:val="16"/>
        </w:rPr>
        <w:br/>
      </w:r>
      <w:r w:rsidRPr="0061205F">
        <w:rPr>
          <w:rFonts w:cs="Arial"/>
          <w:bCs/>
          <w:color w:val="000000" w:themeColor="text1"/>
          <w:szCs w:val="16"/>
        </w:rPr>
        <w:br/>
        <w:t>Based on stakeholder feedback, IDOE redesigned the survey to make it more user friendly, with the goal of increasing participation and making the data collected more meaningful for local education agencies and other stakeholders. The survey redesign included use of less jargon in the questions being asked, allowing respondents more opportunities to provide comments, and reducing the total number of questions. The updated survey deployed in July 2022. IDOE continues to seek stakeholder input related to including parent survey outcomes as part of LEA annual determinations.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response rate for the Indicator 8 survey has more than doubled from 1.14% to 2.41%. </w:t>
      </w:r>
      <w:r>
        <w:rPr>
          <w:rFonts w:cs="Arial"/>
          <w:szCs w:val="16"/>
        </w:rPr>
        <w:br/>
        <w:t xml:space="preserve">Analysis for nonresponse bias indicates nonresponse bias in three areas: Black/African American, Hispanic Latino, and Other Health Impairment. </w:t>
      </w:r>
      <w:r>
        <w:rPr>
          <w:rFonts w:cs="Arial"/>
          <w:szCs w:val="16"/>
        </w:rPr>
        <w:br/>
        <w:t xml:space="preserve">When examining the number of parents reporting that they were involved by the LEA in the IEP process, there was no significant difference across all population subgroups (race/ethnicity, grade level, disability status) in the percentage answering in the affirmative. </w:t>
      </w:r>
      <w:r>
        <w:rPr>
          <w:rFonts w:cs="Arial"/>
          <w:szCs w:val="16"/>
        </w:rPr>
        <w:br/>
        <w:t xml:space="preserve">IDOE is taking the following steps to reduce identified bias and promote responses from a broad cross section of parents of children with disabilities: </w:t>
      </w:r>
      <w:r>
        <w:rPr>
          <w:rFonts w:cs="Arial"/>
          <w:szCs w:val="16"/>
        </w:rPr>
        <w:br/>
        <w:t xml:space="preserve">1) Track survey responses geographically and target support/professional development for areas not represented. </w:t>
      </w:r>
      <w:r>
        <w:rPr>
          <w:rFonts w:cs="Arial"/>
          <w:szCs w:val="16"/>
        </w:rPr>
        <w:br/>
        <w:t xml:space="preserve">2) Provide the survey in a variety of formats (for example, online or paper) to encourage participation. </w:t>
      </w:r>
      <w:r>
        <w:rPr>
          <w:rFonts w:cs="Arial"/>
          <w:szCs w:val="16"/>
        </w:rPr>
        <w:br/>
        <w:t xml:space="preserve">3) Provide the survey in the three most prevalent languages used in Indiana (English, Spanish, and Burmese).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IDOE identified the following racial and ethnic groups to be underrepresented: </w:t>
      </w:r>
      <w:r w:rsidRPr="000A2B9F">
        <w:rPr>
          <w:bCs/>
          <w:color w:val="000000" w:themeColor="text1"/>
        </w:rPr>
        <w:br/>
        <w:t xml:space="preserve">1) Black/African American students were underrepresented by five raw percentage points from their percentage within the targeted population. </w:t>
      </w:r>
      <w:r w:rsidRPr="000A2B9F">
        <w:rPr>
          <w:bCs/>
          <w:color w:val="000000" w:themeColor="text1"/>
        </w:rPr>
        <w:br/>
        <w:t xml:space="preserve">2) Hispanic/Latino were underrepresented by four raw percentage points from their percentage within the targeted population. </w:t>
      </w:r>
      <w:r w:rsidRPr="000A2B9F">
        <w:rPr>
          <w:bCs/>
          <w:color w:val="000000" w:themeColor="text1"/>
        </w:rPr>
        <w:br/>
        <w:t xml:space="preserve">3) Students with a primary disability category of Other Health Impairment (5%) were underrepresented by five raw percentage points from their percentage within the targeted population. </w:t>
      </w:r>
      <w:r w:rsidRPr="000A2B9F">
        <w:rPr>
          <w:bCs/>
          <w:color w:val="000000" w:themeColor="text1"/>
        </w:rPr>
        <w:br/>
      </w:r>
      <w:r w:rsidRPr="000A2B9F">
        <w:rPr>
          <w:bCs/>
          <w:color w:val="000000" w:themeColor="text1"/>
        </w:rPr>
        <w:br/>
        <w:t xml:space="preserve">Grade level data is representative of the state population. </w:t>
      </w:r>
    </w:p>
    <w:p w14:paraId="524817D1" w14:textId="77777777" w:rsidR="000762B0" w:rsidRPr="000762B0" w:rsidRDefault="000762B0" w:rsidP="000762B0">
      <w:pPr>
        <w:pStyle w:val="Subhed"/>
        <w:rPr>
          <w:bCs/>
        </w:rPr>
      </w:pPr>
      <w:r w:rsidRPr="000762B0">
        <w:rPr>
          <w:bCs/>
        </w:rPr>
        <w:lastRenderedPageBreak/>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Strategies that will be utilized to increase response rate include: </w:t>
      </w:r>
      <w:r w:rsidRPr="000A2B9F">
        <w:rPr>
          <w:b w:val="0"/>
          <w:bCs/>
          <w:color w:val="000000" w:themeColor="text1"/>
        </w:rPr>
        <w:br/>
        <w:t xml:space="preserve">1) Including reminders for special education staff in the Office of Special Education monthly newsletter and Indiana Department of Education (IDOE) weekly update to complete the parent survey as part of the Annual Case Review; </w:t>
      </w:r>
      <w:r w:rsidRPr="000A2B9F">
        <w:rPr>
          <w:b w:val="0"/>
          <w:bCs/>
          <w:color w:val="000000" w:themeColor="text1"/>
        </w:rPr>
        <w:br/>
        <w:t xml:space="preserve">2) Encouraging local special education administrators to contact IDOE requesting response rate data for the LEA; </w:t>
      </w:r>
      <w:r w:rsidRPr="000A2B9F">
        <w:rPr>
          <w:b w:val="0"/>
          <w:bCs/>
          <w:color w:val="000000" w:themeColor="text1"/>
        </w:rPr>
        <w:br/>
        <w:t xml:space="preserve">3) In fall 2022, IDOE, in partnership with the state Parent Training Center (INSOURCE), hosted a webinar for parents and families of students with disabilities to discuss the purpose and importance of the parent survey; additional webinars and collaboration with INSOURCE will occur in 2023; </w:t>
      </w:r>
      <w:r w:rsidRPr="000A2B9F">
        <w:rPr>
          <w:b w:val="0"/>
          <w:bCs/>
          <w:color w:val="000000" w:themeColor="text1"/>
        </w:rPr>
        <w:br/>
        <w:t xml:space="preserve">4) The survey has been translated into additional languages (previously offered in English and Spanish and now translated into Burmese). </w:t>
      </w:r>
      <w:r w:rsidRPr="000A2B9F">
        <w:rPr>
          <w:b w:val="0"/>
          <w:bCs/>
          <w:color w:val="000000" w:themeColor="text1"/>
        </w:rPr>
        <w:br/>
      </w:r>
      <w:r w:rsidRPr="000A2B9F">
        <w:rPr>
          <w:b w:val="0"/>
          <w:bCs/>
          <w:color w:val="000000" w:themeColor="text1"/>
        </w:rPr>
        <w:br/>
        <w:t>Based on stakeholder feedback, IDOE redesigned the survey to make it more user friendly (removing jargon, providing more space for comments, and reduction of the number of questions), with the goal of increasing participation and making the data collected more meaningful for local education agencies and other stakeholders. The updated survey deployed in July 2022. IDOE continues to seek stakeholder input related to including parent survey outcomes as part of LEA annual determinations.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Values are considered not representative if they are not within +/- 3 percentage points of the population distribution and not within +/- ten percentage points of the expected value based on population parameters.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In the original APR submission, the survey question related to a new or revised survey was indicated as "Yes".  A new survey has been developed, but was not deployed in FFY 2021, and will be included in the FFY 2022 APR.</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State has reported on the response group representativeness and analysis within the Indicator 8 Data description including the actions to be taken to address underrepresented groups.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0.79%</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0.29%</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0.28%</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0.79%</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382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0.79%</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0.52%</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Did not meet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IDOE defines disproportionate representation as the ratio of the risk index of students identified with a disability in a particular racial/ethnic category within an LEA compared to the risk index of students with a disability of all other racial/ethnic categories identified within that LEA. The risk ratio must be greater than 2.0 for each of three consecutive years. IDOE has a required minimum of 15 students with a disability in a particular racial/ethnic category, as well as a minimum of 15 students of all other race/ethnicities with disabilities.</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LEAs identified as disproportionate based on the state definition were notified by IDOE. This notification included a request to submit policies and procedures and to participate in a file review process. A minimum of five files were identified for review based on state developed rubric designed to demonstrate LEA practices. Files from the 2021-2022 school year, including evaluations, Response to Intervention (RTI) progress data, conference summaries, and eligibility determinations were monitored. Following the review, if policies, procedures, and/or practices were determined to be inappropriate the LEA was notified of a finding of noncompliance being issued.</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Please note that there were 411 LEAs in Indiana during FFY2021 (see updated description in Introduction)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19A59357" w:rsidR="009A755E" w:rsidRPr="00781112" w:rsidRDefault="00450F98" w:rsidP="004369B2">
      <w:pPr>
        <w:rPr>
          <w:color w:val="000000" w:themeColor="text1"/>
        </w:rPr>
      </w:pPr>
      <w:r>
        <w:rPr>
          <w:b/>
          <w:color w:val="000000" w:themeColor="text1"/>
        </w:rPr>
        <w:t>FFY 2020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t>To verify that the source of noncompliance is correctly implementing regulatory requirements, IDOE completed a review of additional student files within the state IEP system subsequent to the finding of noncompliance and verified that the 3 LEAs identified in FFY 2020 achieved 100% compliance with the specific regulatory requirements within one year of issuing findings of noncompliance, consistent with OSEP Memorandum 09-02.</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6BFFD39" w14:textId="39551ED5" w:rsidR="009B37A2" w:rsidRPr="00781112" w:rsidRDefault="002B7490" w:rsidP="009A755E">
      <w:pPr>
        <w:rPr>
          <w:rFonts w:cs="Arial"/>
          <w:color w:val="000000" w:themeColor="text1"/>
          <w:szCs w:val="16"/>
        </w:rPr>
      </w:pPr>
      <w:r w:rsidRPr="00781112">
        <w:rPr>
          <w:rFonts w:cs="Arial"/>
          <w:color w:val="000000" w:themeColor="text1"/>
          <w:szCs w:val="16"/>
        </w:rPr>
        <w:t>To verify that each individual case of noncompliance was corrected, IDOE completed a review of the updated student files found to be noncompliant within the state IEP system subsequent to the finding of noncompliance and verified that the 3 LEAs identified in FFY 2020 achieved 100% compliance with the requirements within one year of issuing findings of noncompliance , unless the child was no longer within the jurisdiction of the district, consistent with OSEP Memo 09-02.</w:t>
      </w:r>
    </w:p>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three </w:t>
      </w:r>
      <w:r w:rsidRPr="00781112">
        <w:rPr>
          <w:rFonts w:cs="Arial"/>
          <w:color w:val="000000" w:themeColor="text1"/>
          <w:szCs w:val="16"/>
        </w:rPr>
        <w:lastRenderedPageBreak/>
        <w:t>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IDOE identified three instances of noncompliance in FFY2020 and has verified that each of them has been corrected and are correctly implementing all regulatory requirements and have achieved 100% compliance. These corrections were verified using a combination file reviews and updated data subsequently collected through the school information system and statewide Indiana Individual Education Plan (IIEP) system.</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greater than 0% actual target data for this indicator for FFY 2021, the State must report on the status of correction of noncompliance identified in FFY 2021 for this indicator. The State must demonstrate, in the FFY 2022 SPP/APR, that the two districts identified in FFY 2021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greater than 0% actual target data for this indicator, provide an explanation of why the State did not identify any findings of noncompliance in FFY 2021.</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064DA2E" w14:textId="77777777" w:rsidR="00B22055" w:rsidRPr="00781112" w:rsidRDefault="00B22055"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3.30%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2.78%</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3.11%</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1.11%</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3.30%</w:t>
            </w:r>
          </w:p>
        </w:tc>
      </w:tr>
      <w:bookmarkEnd w:id="56"/>
      <w:bookmarkEnd w:id="57"/>
    </w:tbl>
    <w:p w14:paraId="1840A66A" w14:textId="77777777" w:rsidR="00BA687C" w:rsidRDefault="00BA687C" w:rsidP="004369B2">
      <w:pPr>
        <w:rPr>
          <w:color w:val="000000" w:themeColor="text1"/>
        </w:rPr>
      </w:pPr>
    </w:p>
    <w:p w14:paraId="05D6BA74" w14:textId="77777777" w:rsidR="00B22055" w:rsidRPr="00781112" w:rsidRDefault="00B22055"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345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3.30%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1.16%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IDOE defines disproportionate representation risk ratio of racial and ethnic groups (American Indian or Alaskan Native, Asian, Native Hawaiian or Other Pacific Islander, Hispanic or Latino, Black or African American, White, Multiracial) in specific disability categories (Cognitive Disability, Specific Learning Disability, Emotional Disability, Language or Speech Impairment, Other Health Impairment, and Autism Spectrum Disorder) by calculating a ratio of the risk index of students identified with a disability in a particular racial/ethnic category and particular disability category within an LEA to the risk index of students with a disability of all other racial/ethnic categories identified for that disability category within that LEA. The risk ratio must be greater than 2.0 for each of three consecutive years. IDOE has a required minimum cell size of 15 students with a particular disability in each racial/ethnic category, as well as a minimum of 15 students in all other racial/ethnic categories.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LEAs identified as disproportionate based on the state definition were notified by IDOE. This notification included a request to submit policies and procedures and to participate in a file review process. A minimum of five files were identified for review based on state developed rubric designed to demonstrate LEA practices. Files from the 2021-2022 school year, including evaluations, Response to Intervention (RTI) progress data, conference summaries, and eligibility determinations were monitored. Following the review, if policies, procedures, and/or practices were determined to be inappropriate the LEA was notified of a finding of noncompliance being issued.</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Please note there were 411 LEAs in Indiana during FFY2021.</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To verify that the source of noncompliance is correctly implementing regulatory requirements, IDOE completed a review of additional student files within the state IEP system subsequent to the finding of noncompliance and verified that 10 of the 11 LEAs identified in FFY 2020 achieved 100% compliance with the specific regulatory requirements within one year of issuing findings of noncompliance, consistent with OSEP Memorandum 09-02.</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To verify that each individual case of noncompliance was corrected, IDOE completed a review of  updated student files found to be noncompliant within the state IEP system subsequent to the finding of noncompliance and verified that 10 LEAs identified in FFY 2020 achieved 100% compliance with the requirements within one year of issuing findings of noncompliance , unless the child was no longer within the jurisdiction of the district, consistent with OSEP Memo 09-02.</w:t>
      </w:r>
    </w:p>
    <w:p w14:paraId="1C1CF9D4" w14:textId="7C502AE8" w:rsidR="009A755E" w:rsidRPr="00781112" w:rsidRDefault="00450F98" w:rsidP="004369B2">
      <w:pPr>
        <w:rPr>
          <w:color w:val="000000" w:themeColor="text1"/>
        </w:rPr>
      </w:pPr>
      <w:r>
        <w:rPr>
          <w:b/>
          <w:color w:val="000000" w:themeColor="text1"/>
        </w:rPr>
        <w:t>FFY 2020 Findings of Noncompliance Not Yet Verified as Corrected</w:t>
      </w:r>
    </w:p>
    <w:p w14:paraId="1EA90698"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C7D1E40" w14:textId="4ECD9906" w:rsidR="00481536" w:rsidRPr="00781112" w:rsidRDefault="002B7490" w:rsidP="009A755E">
      <w:pPr>
        <w:rPr>
          <w:rFonts w:cs="Arial"/>
          <w:color w:val="000000" w:themeColor="text1"/>
          <w:szCs w:val="16"/>
        </w:rPr>
      </w:pPr>
      <w:r w:rsidRPr="00781112">
        <w:rPr>
          <w:rFonts w:cs="Arial"/>
          <w:color w:val="000000" w:themeColor="text1"/>
          <w:szCs w:val="16"/>
        </w:rPr>
        <w:lastRenderedPageBreak/>
        <w:t>The LEA identified as noncompliant and not yet verified as corrected based on review of updated data (student file) is required to complete root cause analysis and develop a Corrective Action Plan (CAP) related to the identified disproportionality during FFY2020. Additional monitoring and data submissions are required as a part of the CAP.</w:t>
      </w:r>
      <w:r w:rsidRPr="00781112">
        <w:rPr>
          <w:rFonts w:cs="Arial"/>
          <w:color w:val="000000" w:themeColor="text1"/>
          <w:szCs w:val="16"/>
        </w:rPr>
        <w:br/>
      </w:r>
      <w:r w:rsidRPr="00781112">
        <w:rPr>
          <w:rFonts w:cs="Arial"/>
          <w:color w:val="000000" w:themeColor="text1"/>
          <w:szCs w:val="16"/>
        </w:rPr>
        <w:br/>
        <w:t>IDOE and technical assistance center staff continue working with the LEA to facilitate root cause analysis and address the issues identified that are continuing to impact the identified disproportionality. This includes on-site/virtual monitoring visits to assist in the development of practices and procedures designed to impact the identified disproportionality. Pursuant to OSEP Memorandum 09-02, IDOE will continue to monitor the LEA to verify the correct implementation of the regulatory requirements.</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545" w:type="pct"/>
            <w:shd w:val="clear" w:color="auto" w:fill="auto"/>
          </w:tcPr>
          <w:p w14:paraId="2A5CC6A6" w14:textId="3962DD57"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271" w:type="pct"/>
            <w:shd w:val="clear" w:color="auto" w:fill="auto"/>
          </w:tcPr>
          <w:p w14:paraId="443DA9B8" w14:textId="5BA02353"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09" w:type="pct"/>
            <w:shd w:val="clear" w:color="auto" w:fill="auto"/>
          </w:tcPr>
          <w:p w14:paraId="0CA4C267" w14:textId="5E5F97F2"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21AB92FA" w14:textId="77777777" w:rsidTr="00690A61">
        <w:tc>
          <w:tcPr>
            <w:tcW w:w="875" w:type="pct"/>
            <w:shd w:val="clear" w:color="auto" w:fill="auto"/>
          </w:tcPr>
          <w:p w14:paraId="6E800094" w14:textId="1F782081"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545" w:type="pct"/>
            <w:shd w:val="clear" w:color="auto" w:fill="auto"/>
          </w:tcPr>
          <w:p w14:paraId="3FA322A7" w14:textId="2543A74B"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71" w:type="pct"/>
            <w:shd w:val="clear" w:color="auto" w:fill="auto"/>
          </w:tcPr>
          <w:p w14:paraId="7075484B" w14:textId="56719905"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9" w:type="pct"/>
            <w:shd w:val="clear" w:color="auto" w:fill="auto"/>
          </w:tcPr>
          <w:p w14:paraId="5E63471A" w14:textId="5230E0A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57ACE7BC" w14:textId="77777777" w:rsidTr="00690A61">
        <w:tc>
          <w:tcPr>
            <w:tcW w:w="875" w:type="pct"/>
            <w:shd w:val="clear" w:color="auto" w:fill="auto"/>
          </w:tcPr>
          <w:p w14:paraId="4E325530" w14:textId="03DA8FEF" w:rsidR="009A755E"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545" w:type="pct"/>
            <w:shd w:val="clear" w:color="auto" w:fill="auto"/>
          </w:tcPr>
          <w:p w14:paraId="7BFB0081" w14:textId="12B35F6B"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71" w:type="pct"/>
            <w:shd w:val="clear" w:color="auto" w:fill="auto"/>
          </w:tcPr>
          <w:p w14:paraId="674F4E8B" w14:textId="257F6F9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9" w:type="pct"/>
            <w:shd w:val="clear" w:color="auto" w:fill="auto"/>
          </w:tcPr>
          <w:p w14:paraId="68852A19" w14:textId="65403F00"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1C2D5FB0" w14:textId="77777777"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1F42EB4B" w14:textId="6CBDCF32" w:rsidR="009A755E" w:rsidRPr="00781112" w:rsidRDefault="009A755E" w:rsidP="004369B2">
      <w:pPr>
        <w:rPr>
          <w:color w:val="000000" w:themeColor="text1"/>
        </w:rPr>
      </w:pPr>
      <w:r w:rsidRPr="00781112">
        <w:rPr>
          <w:b/>
          <w:color w:val="000000" w:themeColor="text1"/>
        </w:rPr>
        <w:t>Findings of Noncompliance Verified as Corrected</w:t>
      </w:r>
    </w:p>
    <w:p w14:paraId="65496779" w14:textId="38A6A2C9" w:rsidR="009A755E" w:rsidRPr="00781112" w:rsidRDefault="009A755E" w:rsidP="009A755E">
      <w:pPr>
        <w:rPr>
          <w:rFonts w:cs="Arial"/>
          <w:b/>
          <w:i/>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3A96D339" w14:textId="48C29618" w:rsidR="00481536" w:rsidRPr="00781112" w:rsidRDefault="002B7490" w:rsidP="009A755E">
      <w:pPr>
        <w:rPr>
          <w:rFonts w:cs="Arial"/>
          <w:color w:val="000000" w:themeColor="text1"/>
          <w:szCs w:val="16"/>
        </w:rPr>
      </w:pPr>
      <w:r w:rsidRPr="00781112">
        <w:rPr>
          <w:rFonts w:cs="Arial"/>
          <w:color w:val="000000" w:themeColor="text1"/>
          <w:szCs w:val="16"/>
        </w:rPr>
        <w:t>To verify that the source of noncompliance is correctly implementing regulatory requirements, IDOE completed a review of additional student files within the state IEP system subsequent to the finding of noncompliance and has verified that 3 LEAs with noncompliance identified in FFY 2019 have achieved 100% compliance with the regulatory requirements, consistent with OSEP Memorandum 09-02.</w:t>
      </w:r>
    </w:p>
    <w:p w14:paraId="0DDEA27E" w14:textId="6BBFD5D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01DA212" w14:textId="63A6F856" w:rsidR="00596F83" w:rsidRPr="00781112" w:rsidRDefault="00596F83" w:rsidP="009A755E">
      <w:pPr>
        <w:rPr>
          <w:rFonts w:cs="Arial"/>
          <w:color w:val="000000" w:themeColor="text1"/>
          <w:szCs w:val="16"/>
        </w:rPr>
      </w:pPr>
      <w:r w:rsidRPr="00781112">
        <w:rPr>
          <w:rFonts w:cs="Arial"/>
          <w:color w:val="000000" w:themeColor="text1"/>
          <w:szCs w:val="16"/>
        </w:rPr>
        <w:t>To verify that each individual case of noncompliance was corrected, IDOE completed a review of the updated student file found to be noncompliant within the state IEP system subsequent to the finding of noncompliance and has verified that 3 LEAs with noncompliance identified in FFY 2019 have corrected each individual case of noncompliance, unless the child was no longer within the jurisdiction of the district, consistent with OSEP Memo 09-02.</w:t>
      </w:r>
    </w:p>
    <w:p w14:paraId="67DB59AE"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60911246" w14:textId="1185BA3D" w:rsidR="009A755E" w:rsidRPr="00781112" w:rsidRDefault="009A755E" w:rsidP="004369B2">
      <w:pPr>
        <w:rPr>
          <w:color w:val="000000" w:themeColor="text1"/>
        </w:rPr>
      </w:pPr>
      <w:r w:rsidRPr="00781112">
        <w:rPr>
          <w:b/>
          <w:color w:val="000000" w:themeColor="text1"/>
        </w:rPr>
        <w:t>Findings of Noncompliance Not Yet Verified as Corrected</w:t>
      </w:r>
    </w:p>
    <w:p w14:paraId="3876EF35"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45D0304" w14:textId="52466584" w:rsidR="00481536" w:rsidRPr="00781112" w:rsidRDefault="002B7490" w:rsidP="009A755E">
      <w:pPr>
        <w:rPr>
          <w:rFonts w:cs="Arial"/>
          <w:color w:val="000000" w:themeColor="text1"/>
          <w:szCs w:val="16"/>
        </w:rPr>
      </w:pPr>
      <w:r w:rsidRPr="00781112">
        <w:rPr>
          <w:rFonts w:cs="Arial"/>
          <w:color w:val="000000" w:themeColor="text1"/>
          <w:szCs w:val="16"/>
        </w:rPr>
        <w:t>The LEA identified as noncompliant and not yet verified as corrected based on review of updated data (student file) is required to complete root cause analysis and revise the previously developed Corrective Action Plan (CAP) related to the identified disproportionality during FFY2019. Additional monitoring and data submissions are required as a part of the CAP.</w:t>
      </w:r>
      <w:r w:rsidRPr="00781112">
        <w:rPr>
          <w:rFonts w:cs="Arial"/>
          <w:color w:val="000000" w:themeColor="text1"/>
          <w:szCs w:val="16"/>
        </w:rPr>
        <w:br/>
      </w:r>
      <w:r w:rsidRPr="00781112">
        <w:rPr>
          <w:rFonts w:cs="Arial"/>
          <w:color w:val="000000" w:themeColor="text1"/>
          <w:szCs w:val="16"/>
        </w:rPr>
        <w:br/>
        <w:t>IDOE and technical assistance center staff continue working with the LEA to facilitate root cause analysis and address the issues identified that are continuing to impact the identified disproportionality. This includes on-site/virtual monitoring visits to assist in the development of practices and procedures designed to impact the identified disproportionality. Pursuant to OSEP Memorandum 09-02, IDOE will continue to monitor the LEA to verify the correct implementation of the regulatory requirements.</w:t>
      </w:r>
    </w:p>
    <w:p w14:paraId="2293BB4B" w14:textId="3EE332B9"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1DCECFAA" w14:textId="71B14AFF" w:rsidR="009A755E" w:rsidRPr="00781112" w:rsidRDefault="009A755E" w:rsidP="004369B2">
      <w:pPr>
        <w:rPr>
          <w:color w:val="000000" w:themeColor="text1"/>
        </w:rPr>
      </w:pPr>
      <w:r w:rsidRPr="00781112">
        <w:rPr>
          <w:b/>
          <w:color w:val="000000" w:themeColor="text1"/>
        </w:rPr>
        <w:t>Findings of Noncompliance Verified as Corrected</w:t>
      </w:r>
    </w:p>
    <w:p w14:paraId="220175D1" w14:textId="67421362"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615726A" w14:textId="63B67013" w:rsidR="00596F83" w:rsidRPr="00781112" w:rsidRDefault="00596F83" w:rsidP="00596F83">
      <w:pPr>
        <w:rPr>
          <w:rFonts w:cs="Arial"/>
          <w:color w:val="000000" w:themeColor="text1"/>
          <w:szCs w:val="16"/>
        </w:rPr>
      </w:pPr>
      <w:r w:rsidRPr="00781112">
        <w:rPr>
          <w:rFonts w:cs="Arial"/>
          <w:color w:val="000000" w:themeColor="text1"/>
          <w:szCs w:val="16"/>
        </w:rPr>
        <w:t>To verify that the source of noncompliance is correctly implementing regulatory requirements, IDOE completed a review of additional student files within the state IEP system subsequent to the finding of noncompliance and verified that the LEA identified in FFY 2018 achieved 100% compliance with the regulatory requirements, consistent with OSEP Memorandum 09-02.</w:t>
      </w:r>
    </w:p>
    <w:p w14:paraId="6AB1372B" w14:textId="6CEE81B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71C620DE" w14:textId="20158E1D" w:rsidR="00596F83" w:rsidRPr="00781112" w:rsidRDefault="00596F83" w:rsidP="009A755E">
      <w:pPr>
        <w:rPr>
          <w:rFonts w:cs="Arial"/>
          <w:color w:val="000000" w:themeColor="text1"/>
          <w:szCs w:val="16"/>
        </w:rPr>
      </w:pPr>
      <w:r w:rsidRPr="00781112">
        <w:rPr>
          <w:rFonts w:cs="Arial"/>
          <w:color w:val="000000" w:themeColor="text1"/>
          <w:szCs w:val="16"/>
        </w:rPr>
        <w:t>To verify that each individual case of noncompliance was corrected, IDOE completed a review of the updated student file found to be noncompliant within the state IEP system subsequent to the finding of noncompliance and verified that the 4 LEAs identified in FFY 2018 achieved 100% compliance with the requirements within one year of issuing findings of noncompliance , unless the child was no longer within the jurisdiction of the district, consistent with OSEP Memo 09-02.</w:t>
      </w:r>
    </w:p>
    <w:p w14:paraId="6E3C786E" w14:textId="0ED625EC"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423D296B" w14:textId="4A0898BD" w:rsidR="009A755E" w:rsidRPr="00781112" w:rsidRDefault="009A755E" w:rsidP="004369B2">
      <w:pPr>
        <w:rPr>
          <w:color w:val="000000" w:themeColor="text1"/>
        </w:rPr>
      </w:pPr>
      <w:r w:rsidRPr="00781112">
        <w:rPr>
          <w:b/>
          <w:color w:val="000000" w:themeColor="text1"/>
        </w:rPr>
        <w:t>Findings of Noncompliance Verified as Corrected</w:t>
      </w:r>
    </w:p>
    <w:p w14:paraId="3F6AC2C4" w14:textId="14F472DA" w:rsidR="009A755E" w:rsidRPr="00781112" w:rsidRDefault="009A755E" w:rsidP="009A755E">
      <w:pPr>
        <w:rPr>
          <w:rFonts w:cs="Arial"/>
          <w:b/>
          <w:i/>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D928C39" w14:textId="49C5E06C" w:rsidR="00596F83" w:rsidRPr="00781112" w:rsidRDefault="00596F83" w:rsidP="00596F83">
      <w:pPr>
        <w:rPr>
          <w:rFonts w:cs="Arial"/>
          <w:color w:val="000000" w:themeColor="text1"/>
          <w:szCs w:val="16"/>
        </w:rPr>
      </w:pPr>
      <w:r w:rsidRPr="00781112">
        <w:rPr>
          <w:rFonts w:cs="Arial"/>
          <w:color w:val="000000" w:themeColor="text1"/>
          <w:szCs w:val="16"/>
        </w:rPr>
        <w:t>To verify that each individual case of noncompliance was corrected, IDOE completed a review of the updated student file found to be noncompliant within the state IEP system subsequent to the finding of noncompliance and verified that the LEA identified in FFY 2017 achieved 100% compliance with the requirements within one year of issuing findings of noncompliance , unless the child was no longer within the jurisdiction of the district, consistent with OSEP Memo 09-02.</w:t>
      </w:r>
    </w:p>
    <w:p w14:paraId="489EA4D9" w14:textId="00E6CF6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80C7091" w14:textId="331AE82C" w:rsidR="00596F83" w:rsidRPr="00781112" w:rsidRDefault="00596F83" w:rsidP="009A755E">
      <w:pPr>
        <w:rPr>
          <w:rFonts w:cs="Arial"/>
          <w:color w:val="000000" w:themeColor="text1"/>
          <w:szCs w:val="16"/>
        </w:rPr>
      </w:pPr>
      <w:r w:rsidRPr="00781112">
        <w:rPr>
          <w:rFonts w:cs="Arial"/>
          <w:color w:val="000000" w:themeColor="text1"/>
          <w:szCs w:val="16"/>
        </w:rPr>
        <w:t>To verify that each individual case of noncompliance was corrected, IDOE completed a review of the updated student file found to be noncompliant within the state IEP system subsequent to the finding of noncompliance and verified that the LEA identified in FFY 2017 achieved 100% compliance with the requirements within one year of issuing findings of noncompliance , unless the child was no longer within the jurisdiction of the district, consistent with OSEP Memo 09-02.</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did not revise the baseline as required in the FFY 2020 Measurement Table which requires all States to provide racial/ethnic disproportionality for all children aged 5 who are enrolled in kindergarten in addition to those aged 6 through 21 served under IDEA, aggregated across all disability categories. The State must, in the FFY 2021 SPP/APR, revise the baseline using FFY 2020 data. </w:t>
      </w:r>
      <w:r w:rsidRPr="00781112">
        <w:rPr>
          <w:rFonts w:cs="Arial"/>
          <w:color w:val="000000" w:themeColor="text1"/>
          <w:szCs w:val="16"/>
        </w:rPr>
        <w:br/>
      </w:r>
      <w:r w:rsidRPr="00781112">
        <w:rPr>
          <w:rFonts w:cs="Arial"/>
          <w:color w:val="000000" w:themeColor="text1"/>
          <w:szCs w:val="16"/>
        </w:rPr>
        <w:br/>
        <w:t xml:space="preserve">Because the State reported less than 100% compliance for FFY 2020 (greater than 0% actual target data for this indicator), the State must report on the </w:t>
      </w:r>
      <w:r w:rsidRPr="00781112">
        <w:rPr>
          <w:rFonts w:cs="Arial"/>
          <w:color w:val="000000" w:themeColor="text1"/>
          <w:szCs w:val="16"/>
        </w:rPr>
        <w:lastRenderedPageBreak/>
        <w:t xml:space="preserve">status of correction of noncompliance identified in FFY 2020 for this indicator. The State must demonstrate, in the FFY 2021 SPP/APR, that the 11 districts identified in FFY 2020 with disproportionate representation of racial and ethnic groups in specific disability categories that was the result of inappropriate identification are in compliance with the requirements in 34 C.F.R. §§ 300.111, 300.201, and 300.301 through 300.311.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Further, the State must demonstrate, in the FFY 2021 SPP/APR, that the remaining four districts identified in FFY 2019, one district identified in FFY 2018, one district identified in FFY 2017 and one district identified in FFY 2013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2019, FFY 2018, FFY 2017, and FFY 2013, the State must report, in the FFY 2021 SPP/APR, that the State verified that each district with noncompliance identified in FFY 2020 and each LEA with remaining noncompliance identified in FFY 2019, FFY 2018, FFY 2017, and FFY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The State revised the baseline to reflect FFY 2020 data.</w:t>
      </w:r>
      <w:r w:rsidRPr="00781112">
        <w:rPr>
          <w:rFonts w:cs="Arial"/>
          <w:color w:val="000000" w:themeColor="text1"/>
          <w:szCs w:val="16"/>
        </w:rPr>
        <w:br/>
      </w:r>
      <w:r w:rsidRPr="00781112">
        <w:rPr>
          <w:rFonts w:cs="Arial"/>
          <w:color w:val="000000" w:themeColor="text1"/>
          <w:szCs w:val="16"/>
        </w:rPr>
        <w:br/>
        <w:t xml:space="preserve">Of the 11 LEAs identified in FFY2020, 10 of the 11 have been verified as corrected and are correctly implementing specific regulatory requirements and have achieved 100% compliance. To verify implementation of regulatory requirements, a district's revised policies, practices, and procedures are evaluated and correction of individual files are verified using a combination of file reviews and updated data subsequently collected through the school information system and statewide Indiana Individual Education Plan (IIEP) system. </w:t>
      </w:r>
      <w:r w:rsidRPr="00781112">
        <w:rPr>
          <w:rFonts w:cs="Arial"/>
          <w:color w:val="000000" w:themeColor="text1"/>
          <w:szCs w:val="16"/>
        </w:rPr>
        <w:br/>
      </w:r>
      <w:r w:rsidRPr="00781112">
        <w:rPr>
          <w:rFonts w:cs="Arial"/>
          <w:color w:val="000000" w:themeColor="text1"/>
          <w:szCs w:val="16"/>
        </w:rPr>
        <w:br/>
        <w:t xml:space="preserve">The remaining district that is noncompliant from FFY2019, FFY2018, and FFY2017 is the same district that remains noncompliant in both FFY2021 and FFY2020. The district identified as noncompliant was required to complete root cause analysis and develop a Corrective Action Plan (CAP) related to the identified disproportionality during FFY2020. Additional monitoring and data submissions were required as a part of the CAP. </w:t>
      </w:r>
      <w:r w:rsidRPr="00781112">
        <w:rPr>
          <w:rFonts w:cs="Arial"/>
          <w:color w:val="000000" w:themeColor="text1"/>
          <w:szCs w:val="16"/>
        </w:rPr>
        <w:br/>
      </w:r>
      <w:r w:rsidRPr="00781112">
        <w:rPr>
          <w:rFonts w:cs="Arial"/>
          <w:color w:val="000000" w:themeColor="text1"/>
          <w:szCs w:val="16"/>
        </w:rPr>
        <w:br/>
        <w:t>IDOE and technical assistance center staff continued working with the LEA to facilitate root cause analysis and address the issues identified that are continuing to impact the identified disproportionality. This includes on-site/virtual monitoring visits to assist in the development of practices and procedures designed to impact the identified disproportionality. Pursuant to OSEP Memorandum 09-02, IDOE will continue to monitor the LEA to verify the correct implementation of the regulatory requirements.</w:t>
      </w:r>
      <w:r w:rsidRPr="00781112">
        <w:rPr>
          <w:rFonts w:cs="Arial"/>
          <w:color w:val="000000" w:themeColor="text1"/>
          <w:szCs w:val="16"/>
        </w:rPr>
        <w:br/>
      </w:r>
      <w:r w:rsidRPr="00781112">
        <w:rPr>
          <w:rFonts w:cs="Arial"/>
          <w:color w:val="000000" w:themeColor="text1"/>
          <w:szCs w:val="16"/>
        </w:rPr>
        <w:br/>
        <w:t>The district identified in FFY 2013 has been verified as implementing the specific regulatory requirements and have achieved 100% compliance based on a review of updated data collected through the school information system and statewide Indiana Individual Education Plan (IIEP) system.</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four districts identified in FFY 2021 with disproportionate representation of racial and ethnic groups in specific disability categories that was the result of inappropriate identification are in compliance with the requirements in 34 C.F.R. §§ 300.111, 300.201, and 300.301 through 300.311.   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 Further, the State must demonstrate, in the FFY 2022 SPP/APR, that the remaining one district identified in FFY 2020, and one district identified in FFY 2019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2021, FFY 2020 and FFY 2019, the State must report, in the FFY 2022 SPP/APR, that the State verified that each district with noncompliance identified in FFY 2021 and each district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95.96%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98.46%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98.72%</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98.34%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96.14%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95.96%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5378C6C1" w14:textId="77777777" w:rsidR="00B22055" w:rsidRDefault="00B22055">
      <w:pPr>
        <w:spacing w:before="0" w:after="200" w:line="276" w:lineRule="auto"/>
        <w:rPr>
          <w:b/>
          <w:color w:val="000000" w:themeColor="text1"/>
        </w:rPr>
      </w:pPr>
      <w:r>
        <w:rPr>
          <w:b/>
          <w:color w:val="000000" w:themeColor="text1"/>
        </w:rPr>
        <w:br w:type="page"/>
      </w:r>
    </w:p>
    <w:p w14:paraId="3FAEB3AB" w14:textId="7EAD2531"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24,780</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24,107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95.96%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97.28%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673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For children included in (a) but not included in (b), the range of days beyond the timeline when the evaluation was completed is listed below:</w:t>
      </w:r>
      <w:r w:rsidRPr="00781112">
        <w:rPr>
          <w:color w:val="000000" w:themeColor="text1"/>
        </w:rPr>
        <w:br/>
        <w:t>1-5 days: 127</w:t>
      </w:r>
      <w:r w:rsidRPr="00781112">
        <w:rPr>
          <w:color w:val="000000" w:themeColor="text1"/>
        </w:rPr>
        <w:br/>
        <w:t>6-10 days: 103</w:t>
      </w:r>
      <w:r w:rsidRPr="00781112">
        <w:rPr>
          <w:color w:val="000000" w:themeColor="text1"/>
        </w:rPr>
        <w:br/>
        <w:t>11-15 days: 64</w:t>
      </w:r>
      <w:r w:rsidRPr="00781112">
        <w:rPr>
          <w:color w:val="000000" w:themeColor="text1"/>
        </w:rPr>
        <w:br/>
        <w:t>Over 15 or did not complete that school year: 379</w:t>
      </w:r>
      <w:r w:rsidRPr="00781112">
        <w:rPr>
          <w:color w:val="000000" w:themeColor="text1"/>
        </w:rPr>
        <w:br/>
        <w:t>Total 673</w:t>
      </w:r>
      <w:r w:rsidRPr="00781112">
        <w:rPr>
          <w:color w:val="000000" w:themeColor="text1"/>
        </w:rPr>
        <w:br/>
      </w:r>
      <w:r w:rsidRPr="00781112">
        <w:rPr>
          <w:color w:val="000000" w:themeColor="text1"/>
        </w:rPr>
        <w:br/>
        <w:t>The most common reasons reported by LEAs related to missed timelines includes staff illness due to COVID as well as staff shortages. Other reasons include clerical errors and scheduling conflicts.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Indiana Administrative Code (IAC) 7-40-5(d) defines the timeline for initial educational evaluation as 50 instructional days of the date the written parental consent is received.</w:t>
      </w:r>
      <w:r w:rsidRPr="00781112">
        <w:rPr>
          <w:rFonts w:cs="Arial"/>
          <w:color w:val="000000" w:themeColor="text1"/>
          <w:szCs w:val="16"/>
        </w:rPr>
        <w:br/>
      </w:r>
      <w:r w:rsidRPr="00781112">
        <w:rPr>
          <w:rFonts w:cs="Arial"/>
          <w:color w:val="000000" w:themeColor="text1"/>
          <w:szCs w:val="16"/>
        </w:rPr>
        <w:br/>
        <w:t xml:space="preserve">The time frame does not apply in the following situations: </w:t>
      </w:r>
      <w:r w:rsidRPr="00781112">
        <w:rPr>
          <w:rFonts w:cs="Arial"/>
          <w:color w:val="000000" w:themeColor="text1"/>
          <w:szCs w:val="16"/>
        </w:rPr>
        <w:br/>
        <w:t xml:space="preserve">1) When a student has participated in a process that assesses the student's response to scientific, research based interventions, in which case the time frame is 20 instructional days.; </w:t>
      </w:r>
      <w:r w:rsidRPr="00781112">
        <w:rPr>
          <w:rFonts w:cs="Arial"/>
          <w:color w:val="000000" w:themeColor="text1"/>
          <w:szCs w:val="16"/>
        </w:rPr>
        <w:br/>
        <w:t xml:space="preserve">2) When the parent of a student repeatedly fails or refuses to produce the student for the evaluation.; </w:t>
      </w:r>
      <w:r w:rsidRPr="00781112">
        <w:rPr>
          <w:rFonts w:cs="Arial"/>
          <w:color w:val="000000" w:themeColor="text1"/>
          <w:szCs w:val="16"/>
        </w:rPr>
        <w:br/>
        <w:t xml:space="preserve">3) When a student enrolls in a school of another public agency after the relevant time frame in subsection (a) has begun, and prior to completion of the evaluation, if the: subsequent public agency is making sufficient progress to ensure a prompt completion of the evaluation and parent and subsequent public agency agree to a specific time when the evaluation will be completed.; </w:t>
      </w:r>
      <w:r w:rsidRPr="00781112">
        <w:rPr>
          <w:rFonts w:cs="Arial"/>
          <w:color w:val="000000" w:themeColor="text1"/>
          <w:szCs w:val="16"/>
        </w:rPr>
        <w:br/>
        <w:t>4) When a child is transitioning from early intervention (Part C) to early childhood special education (Part B), in which case the evaluation must be completed and the Case Conference Committee (CCC) convened to ensure that the child receives special education services by his or her third birthday.</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data for this indicator is submitted to IDOE using Ed-Fi from the Local Education Agency (LEA) Student Information System (SIS) to the Data Exchange platform. Each LEA must upload child count, performance data, and compliance data to the Data Exchange platform. These data are then stored in the IDOE data warehouse where it can be extracted and used for state and federal funding, performance indicators, and compliance indicators. </w:t>
      </w:r>
      <w:r w:rsidRPr="00781112">
        <w:rPr>
          <w:rFonts w:cs="Arial"/>
          <w:color w:val="000000" w:themeColor="text1"/>
          <w:szCs w:val="16"/>
        </w:rPr>
        <w:br/>
        <w:t xml:space="preserve">Initial evaluation data is gathered from the IDOE-Evaluation collection and verified by LEAs to ensure accuracy. This data includes the date of receipt of parental consent, the date of the case conference determining eligibility and that outcome, as well as any reason the timeline could not be completed in a timely fashion. This data is then compared to the school calendar submissions to determine compliance. </w:t>
      </w:r>
      <w:r w:rsidRPr="00781112">
        <w:rPr>
          <w:rFonts w:cs="Arial"/>
          <w:color w:val="000000" w:themeColor="text1"/>
          <w:szCs w:val="16"/>
        </w:rPr>
        <w:br/>
        <w:t>Data is reviewed for any data quality issues through a verification process between IDOE and LEAs. Any data issues are then corrected before the finding of noncompliance is recorded.</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As discussed in the introduction, IDOE completed a review process related to the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Child Find- Initial Educational Evaluation.  Based on this feedback, OSE adjusted the percentage weight assigned to Indicator 11- Initial Educational Evaluation scoring as part of the 2022 RDA release to be comparable to all compliance indicators and increased the percentage weight assigned to continued or longstanding noncompliance.  IDOE will continue to seek stakeholder input related to potential changes in the 2023 RDA release.</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69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16</w:t>
            </w:r>
          </w:p>
        </w:tc>
      </w:tr>
    </w:tbl>
    <w:p w14:paraId="49183A2D" w14:textId="23DB1EFD" w:rsidR="009A755E" w:rsidRPr="00781112" w:rsidRDefault="00450F98" w:rsidP="004369B2">
      <w:pPr>
        <w:rPr>
          <w:color w:val="000000" w:themeColor="text1"/>
        </w:rPr>
      </w:pPr>
      <w:r>
        <w:rPr>
          <w:b/>
          <w:color w:val="000000" w:themeColor="text1"/>
        </w:rPr>
        <w:lastRenderedPageBreak/>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Subsequent to verifying that each individual case of noncompliance was corrected, IDOE utilized the State system for developing and storing individual education programs, Indiana IEP (IIEP), to verify that each LEA found to have noncompliance was correctly implementing regulatory requirements. IIEP provides an Educational Evaluation (EV) Report consisting of student identifying information, date of parental consent, date of the required Initial Evaluation case conference meeting and eligibility determination. IDOE monitors this report of subsequent timeline compliance to ensure that each LEA is implementing the regulations at 100% compliance. IDOE verified that 53 of the LEAs with noncompliance were subsequently implementing regulatory requirements with 100% 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IDOE utilized the State system for developing and storing individual education programs, Indiana IEP (IIEP), to verify that each individual case of noncompliance was corrected. IIEP stores student event history which includes date of parent consent, date of case conference committee meeting and date of eligibility determination. With the Advanced Reporting feature included within IIEP, each individual case of noncompliance was reviewed to ensure that the LEA has completed the evaluation unless the child is no longer within the jurisdiction of the LEA.</w:t>
      </w:r>
      <w:r w:rsidRPr="00781112">
        <w:rPr>
          <w:rFonts w:cs="Arial"/>
          <w:color w:val="000000" w:themeColor="text1"/>
          <w:szCs w:val="16"/>
        </w:rPr>
        <w:br/>
      </w:r>
      <w:r w:rsidRPr="00781112">
        <w:rPr>
          <w:rFonts w:cs="Arial"/>
          <w:color w:val="000000" w:themeColor="text1"/>
          <w:szCs w:val="16"/>
        </w:rPr>
        <w:br/>
        <w:t>For the 52 LEAs that are reported as corrected within one year of their finding, IDOE reviewed data in the IIEP system and verified that each of the 52 LEAs corrected (completed) each individual case of noncompliance unless the child was no longer within the jurisdiction of the LEA.</w:t>
      </w:r>
      <w:r w:rsidRPr="00781112">
        <w:rPr>
          <w:rFonts w:cs="Arial"/>
          <w:color w:val="000000" w:themeColor="text1"/>
          <w:szCs w:val="16"/>
        </w:rPr>
        <w:br/>
      </w:r>
      <w:r w:rsidRPr="00781112">
        <w:rPr>
          <w:rFonts w:cs="Arial"/>
          <w:color w:val="000000" w:themeColor="text1"/>
          <w:szCs w:val="16"/>
        </w:rPr>
        <w:br/>
        <w:t xml:space="preserve">For the 1 LEA reported as subsequently corrected, IDOE reviewed data in the IIEP system and verified that the LEA corrected (completed) each individual case of noncompliance unless the child was no longer within the jurisdiction of the LEA. </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LEAs identified as noncompliant and not yet verified as corrected were required to develop a Corrective Action Plan (CAP) in coordination with an IDOE Education Specialist during FFY2020. Additional monitoring and data submissions were required as a part of the CAP.</w:t>
      </w:r>
      <w:r w:rsidRPr="00781112">
        <w:rPr>
          <w:rFonts w:cs="Arial"/>
          <w:color w:val="000000" w:themeColor="text1"/>
          <w:szCs w:val="16"/>
        </w:rPr>
        <w:br/>
      </w:r>
      <w:r w:rsidRPr="00781112">
        <w:rPr>
          <w:rFonts w:cs="Arial"/>
          <w:color w:val="000000" w:themeColor="text1"/>
          <w:szCs w:val="16"/>
        </w:rPr>
        <w:br/>
        <w:t>The IDOE Education Specialist and/or technical assistance center staff continue to support the LEA to facilitate root cause analysis and address the issues identified that are continuing to impact compliance of eligibility timelines. This may include on-site/virtual monitoring visits to provide training regarding policies related to initial evaluation and development of practices and procedures addressing identified barriers related to timely completion. Pursuant to OSEP Memorandum 09-02, IDOE will continue to monitor the LEA to verify the correct implementation of the regulatory requirements by achieving 100% compliance.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61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42</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19</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59</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36</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23</w:t>
            </w:r>
          </w:p>
        </w:tc>
      </w:tr>
      <w:tr w:rsidR="005C29F8" w:rsidRPr="00781112" w14:paraId="6B4A8AF5" w14:textId="77777777" w:rsidTr="003968A6">
        <w:tc>
          <w:tcPr>
            <w:tcW w:w="988" w:type="pct"/>
            <w:shd w:val="clear" w:color="auto" w:fill="auto"/>
          </w:tcPr>
          <w:p w14:paraId="43946979" w14:textId="506054A6" w:rsidR="009A755E" w:rsidRPr="00781112" w:rsidRDefault="00596F83" w:rsidP="00A018D4">
            <w:pPr>
              <w:jc w:val="center"/>
              <w:rPr>
                <w:rFonts w:cs="Arial"/>
                <w:color w:val="000000" w:themeColor="text1"/>
                <w:szCs w:val="16"/>
              </w:rPr>
            </w:pPr>
            <w:r w:rsidRPr="00781112">
              <w:rPr>
                <w:rFonts w:cs="Arial"/>
                <w:color w:val="000000" w:themeColor="text1"/>
                <w:szCs w:val="16"/>
              </w:rPr>
              <w:t>FFY 2014</w:t>
            </w:r>
          </w:p>
        </w:tc>
        <w:tc>
          <w:tcPr>
            <w:tcW w:w="1461" w:type="pct"/>
            <w:shd w:val="clear" w:color="auto" w:fill="auto"/>
          </w:tcPr>
          <w:p w14:paraId="2F9F2AEA" w14:textId="4F1403DB" w:rsidR="009A755E" w:rsidRPr="00781112" w:rsidRDefault="00596F83">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083E1253" w14:textId="465F1687"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051C049" w14:textId="54F55515"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Subsequent to verifying that each individual case of noncompliance was corrected, IDOE utilized the State system for developing and storing individual education programs, Indiana IEP (IIEP), to verify that each LEA found to have noncompliance was correctly implementing regulatory requirements. IIEP provides an Educational Evaluation (EV) Report consisting of student identifying information, date of parental consent, date of the required Initial Evaluation case conference meeting, and eligibility determination. IDOE monitors this report of subsequent timeline compliance to ensure that each LEA is implementing the regulations at 100% compliance. </w:t>
      </w:r>
      <w:r w:rsidRPr="00781112">
        <w:rPr>
          <w:rFonts w:cs="Arial"/>
          <w:color w:val="000000" w:themeColor="text1"/>
          <w:szCs w:val="16"/>
        </w:rPr>
        <w:br/>
        <w:t xml:space="preserve">IDOE verified that 42 of the LEAs with noncompliance were subsequently implementing regulatory requirements with 100% compliance. This includes LEAs who had not previously met the requirements prior to FFY 2020. </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IDOE utilized the State system for developing and storing individual education programs, Indiana IEP (IIEP), to verify that each individual case of noncompliance was corrected. IIEP stores student event history which includes date of parent consent, date of case conference committee meeting and date of eligibility determination. With the Advanced Reporting feature included within IIEP, each individual case of noncompliance was reviewed to ensure that the LEA has completed the evaluation unless the child is no longer within the jurisdiction of the LEA.</w:t>
      </w:r>
      <w:r w:rsidRPr="00781112">
        <w:rPr>
          <w:rFonts w:cs="Arial"/>
          <w:color w:val="000000" w:themeColor="text1"/>
          <w:szCs w:val="16"/>
        </w:rPr>
        <w:br/>
      </w:r>
      <w:r w:rsidRPr="00781112">
        <w:rPr>
          <w:rFonts w:cs="Arial"/>
          <w:color w:val="000000" w:themeColor="text1"/>
          <w:szCs w:val="16"/>
        </w:rPr>
        <w:br/>
        <w:t>For the LEAs that are reported as corrected, IDOE reviewed data in the IIEP system and verified that each of the 42 LEAs with noncompliance corrected (completed) each individual case of noncompliance unless the child was no longer within the jurisdiction of the LEA.</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 xml:space="preserve">LEAs identified as noncompliant and not yet verified as corrected were required to develop a Corrective Action Plan (CAP) in coordination with an IDOE Education Specialist during FFY2019.  The IDOE Education Specialist provides additional monitoring and data submissions as a part of the CAP.  </w:t>
      </w:r>
      <w:r w:rsidRPr="00781112">
        <w:rPr>
          <w:rFonts w:cs="Arial"/>
          <w:color w:val="000000" w:themeColor="text1"/>
          <w:szCs w:val="16"/>
        </w:rPr>
        <w:br/>
      </w:r>
      <w:r w:rsidRPr="00781112">
        <w:rPr>
          <w:rFonts w:cs="Arial"/>
          <w:color w:val="000000" w:themeColor="text1"/>
          <w:szCs w:val="16"/>
        </w:rPr>
        <w:br/>
        <w:t>The IDOE Education Specialist and/or technical assistance center staff will continue monitoring the LEA to facilitate root cause analysis and address the issues identified that are continuing to impact compliance of eligibility timelines. This may include on-site/virtual monitoring visits to provide training regarding policies related to initial evaluation and development of practices and procedures addressing identified barriers related to timely completion. Pursuant to OSEP Memorandum 09-02, IDOE will continue to monitor the LEA to verify the correct implementation of the regulatory requirements by achieving 100% compliance.</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13EA08E3" w14:textId="60D8D7D4" w:rsidR="009A755E" w:rsidRPr="00781112" w:rsidRDefault="009A755E" w:rsidP="004369B2">
      <w:pPr>
        <w:rPr>
          <w:color w:val="000000" w:themeColor="text1"/>
        </w:rPr>
      </w:pPr>
      <w:r w:rsidRPr="00781112">
        <w:rPr>
          <w:b/>
          <w:color w:val="000000" w:themeColor="text1"/>
        </w:rPr>
        <w:lastRenderedPageBreak/>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t xml:space="preserve">Subsequent to verifying that each individual case of noncompliance was corrected, IDOE utilized the State system for developing and storing individual education programs, Indiana IEP (IIEP), to verify that each LEA found to have noncompliance was correctly implementing regulatory requirements. IIEP provides an Educational Evaluation (EV) Report consisting of student identifying information, date of parental consent, date of the required Initial Evaluation case conference meeting and eligibility determination. IDOE monitors this report of subsequent timeline compliance to ensure that each LEA is implementing the regulations at 100% compliance. </w:t>
      </w:r>
      <w:r w:rsidRPr="00781112">
        <w:rPr>
          <w:rFonts w:cs="Arial"/>
          <w:color w:val="000000" w:themeColor="text1"/>
          <w:szCs w:val="16"/>
        </w:rPr>
        <w:br/>
        <w:t xml:space="preserve">IDOE verified that 36 of the LEAs with noncompliance were subsequently implementing regulatory requirements with 100% compliance. This includes LEAs who had not previously met the requirements prior to FFY 2020. </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IDOE utilized the State system for developing and storing individual education programs, Indiana IEP (IIEP), to verify that each individual case of noncompliance was corrected. IIEP stores student event history which includes date of parent consent, date of case conference committee meeting and date of eligibility determination. With the Advanced Reporting feature included within IIEP, each individual case of noncompliance was reviewed to ensure that the LEA has completed the evaluation unless the child is no longer within the jurisdiction of the LEA.</w:t>
      </w:r>
      <w:r w:rsidRPr="00781112">
        <w:rPr>
          <w:rFonts w:cs="Arial"/>
          <w:color w:val="000000" w:themeColor="text1"/>
          <w:szCs w:val="16"/>
        </w:rPr>
        <w:br/>
      </w:r>
      <w:r w:rsidRPr="00781112">
        <w:rPr>
          <w:rFonts w:cs="Arial"/>
          <w:color w:val="000000" w:themeColor="text1"/>
          <w:szCs w:val="16"/>
        </w:rPr>
        <w:br/>
        <w:t>For the LEAs that are reported as corrected, IDOE reviewed data in the IIEP system and verified that each of the 36 LEAs with noncompliance corrected (completed) each individual case of noncompliance unless the child was no longer within the jurisdiction of the LEA.</w:t>
      </w:r>
    </w:p>
    <w:p w14:paraId="34A6EFF1"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29642D06" w14:textId="5D0FADCC" w:rsidR="009A755E" w:rsidRPr="00781112" w:rsidRDefault="009A755E" w:rsidP="004369B2">
      <w:pPr>
        <w:rPr>
          <w:color w:val="000000" w:themeColor="text1"/>
        </w:rPr>
      </w:pPr>
      <w:r w:rsidRPr="00781112">
        <w:rPr>
          <w:b/>
          <w:color w:val="000000" w:themeColor="text1"/>
        </w:rPr>
        <w:t>Findings of Noncompliance Not Yet Verified as Corrected</w:t>
      </w:r>
    </w:p>
    <w:p w14:paraId="0320180C"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BFFBF3C" w14:textId="3D8B549C" w:rsidR="00326C0B" w:rsidRPr="00781112" w:rsidRDefault="002B7490" w:rsidP="009A755E">
      <w:pPr>
        <w:rPr>
          <w:rFonts w:cs="Arial"/>
          <w:color w:val="000000" w:themeColor="text1"/>
          <w:szCs w:val="16"/>
        </w:rPr>
      </w:pPr>
      <w:r w:rsidRPr="00781112">
        <w:rPr>
          <w:rFonts w:cs="Arial"/>
          <w:color w:val="000000" w:themeColor="text1"/>
          <w:szCs w:val="16"/>
        </w:rPr>
        <w:t>LEAs identified as noncompliant and not yet verified as corrected were required to develop a Corrective Action Plan (CAP) in coordination with an IDOE Education Specialist during FFY2018.  Additional monitoring and data submissions were required as a part of the CAP.</w:t>
      </w:r>
      <w:r w:rsidRPr="00781112">
        <w:rPr>
          <w:rFonts w:cs="Arial"/>
          <w:color w:val="000000" w:themeColor="text1"/>
          <w:szCs w:val="16"/>
        </w:rPr>
        <w:br/>
      </w:r>
      <w:r w:rsidRPr="00781112">
        <w:rPr>
          <w:rFonts w:cs="Arial"/>
          <w:color w:val="000000" w:themeColor="text1"/>
          <w:szCs w:val="16"/>
        </w:rPr>
        <w:br/>
        <w:t xml:space="preserve">The IDOE Education Specialist and/or technical assistance center staff will continue monitoring the LEA to facilitate root cause analysis and address the issues identified that are continuing to impact compliance of eligibility timelines. This may include on-site/virtual monitoring visits to provide training regarding policies related to initial evaluation and development of practices and procedures addressing identified barriers related to timely completion. Pursuant to OSEP Memorandum 09-02, IDOE will continue to verify that, unless the child no longer remains under the jurisdiction of the initiating LEA, all outstanding non-compliant initial evaluations will be completed. </w:t>
      </w:r>
    </w:p>
    <w:p w14:paraId="21738CEB" w14:textId="23A1C83D" w:rsidR="009A221D" w:rsidRPr="00781112" w:rsidRDefault="009A221D" w:rsidP="009A221D">
      <w:pPr>
        <w:rPr>
          <w:rFonts w:cs="Arial"/>
          <w:b/>
          <w:bCs/>
          <w:color w:val="000000" w:themeColor="text1"/>
          <w:szCs w:val="16"/>
        </w:rPr>
      </w:pPr>
      <w:r w:rsidRPr="00781112">
        <w:rPr>
          <w:rFonts w:cs="Arial"/>
          <w:b/>
          <w:bCs/>
          <w:color w:val="000000" w:themeColor="text1"/>
          <w:szCs w:val="16"/>
        </w:rPr>
        <w:t>FFY 2014</w:t>
      </w:r>
    </w:p>
    <w:p w14:paraId="2998A510" w14:textId="31DE89D1" w:rsidR="009A755E" w:rsidRPr="00781112" w:rsidRDefault="009A755E" w:rsidP="004369B2">
      <w:pPr>
        <w:rPr>
          <w:color w:val="000000" w:themeColor="text1"/>
        </w:rPr>
      </w:pPr>
      <w:r w:rsidRPr="00781112">
        <w:rPr>
          <w:b/>
          <w:color w:val="000000" w:themeColor="text1"/>
        </w:rPr>
        <w:t>Findings of Noncompliance Verified as Corrected</w:t>
      </w:r>
    </w:p>
    <w:p w14:paraId="60010DC5" w14:textId="22197DA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304A849" w14:textId="3F42B0C6" w:rsidR="00596F83" w:rsidRPr="00781112" w:rsidRDefault="00596F83" w:rsidP="00596F83">
      <w:pPr>
        <w:rPr>
          <w:rFonts w:cs="Arial"/>
          <w:color w:val="000000" w:themeColor="text1"/>
          <w:szCs w:val="16"/>
        </w:rPr>
      </w:pPr>
      <w:r w:rsidRPr="00781112">
        <w:rPr>
          <w:rFonts w:cs="Arial"/>
          <w:color w:val="000000" w:themeColor="text1"/>
          <w:szCs w:val="16"/>
        </w:rPr>
        <w:t xml:space="preserve">Subsequent to verifying that each individual case of noncompliance was corrected, IDOE utilized the State system for developing and storing individual education programs, Indiana IEP (IIEP), to verify that the LEA found to have noncompliance was correctly implementing regulatory requirements. IIEP provides an Educational Evaluation (EV) Report consisting of student identifying information, date of parental consent, date of the required Initial Evaluation case conference meeting and eligibility determination. IDOE monitors this report of subsequent timeline compliance to ensure that each LEA is implementing the regulations at 100% compliance. IDOE has verified that the LEA with noncompliance in FFY 2014 is subsequently implementing regulatory requirements with 100% compliance. </w:t>
      </w:r>
    </w:p>
    <w:p w14:paraId="52984069" w14:textId="46F594D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162874C" w14:textId="178AD3EE" w:rsidR="00326C0B" w:rsidRPr="00781112" w:rsidRDefault="002B7490" w:rsidP="009A755E">
      <w:pPr>
        <w:rPr>
          <w:rFonts w:cs="Arial"/>
          <w:color w:val="000000" w:themeColor="text1"/>
          <w:szCs w:val="16"/>
        </w:rPr>
      </w:pPr>
      <w:r w:rsidRPr="00781112">
        <w:rPr>
          <w:rFonts w:cs="Arial"/>
          <w:color w:val="000000" w:themeColor="text1"/>
          <w:szCs w:val="16"/>
        </w:rPr>
        <w:t>IDOE utilized the State system for developing and storing individual education programs, Indiana IEP (IIEP), to verify that each individual case of noncompliance was corrected.  IIEP stores student event history which includes date of parent consent, date of case conference committee meeting and date of eligibility determination.  With the Advanced Reporting feature included within IIEP, each individual case of noncompliance was reviewed to ensure that the LEA has completed the evaluation unless the child is no longer within the jurisdiction of the LEA.</w:t>
      </w:r>
      <w:r w:rsidRPr="00781112">
        <w:rPr>
          <w:rFonts w:cs="Arial"/>
          <w:color w:val="000000" w:themeColor="text1"/>
          <w:szCs w:val="16"/>
        </w:rPr>
        <w:br/>
      </w:r>
      <w:r w:rsidRPr="00781112">
        <w:rPr>
          <w:rFonts w:cs="Arial"/>
          <w:color w:val="000000" w:themeColor="text1"/>
          <w:szCs w:val="16"/>
        </w:rPr>
        <w:br/>
        <w:t>For the LEA identified as noncompliant in FFY 2014, IDOE reviewed data in the IIEP system and verified that the LEA corrected (completed) each individual case of noncompliance unless the child was no longer within the jurisdiction of the LEA.</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If, in the FFY 2021 SPP/APR, the State chooses to revise its baseline for this indicator, using data from FFY 2020,  the State must ensure that the baseline data reported in the Historical Data table is consistent with the State's FFY 2020 data reported in the FFY 2020 SPP/APR Data table.</w:t>
      </w:r>
      <w:r w:rsidRPr="00781112">
        <w:rPr>
          <w:rFonts w:cs="Arial"/>
          <w:color w:val="000000" w:themeColor="text1"/>
          <w:szCs w:val="16"/>
        </w:rPr>
        <w:br/>
      </w:r>
      <w:r w:rsidRPr="00781112">
        <w:rPr>
          <w:rFonts w:cs="Arial"/>
          <w:color w:val="000000" w:themeColor="text1"/>
          <w:szCs w:val="16"/>
        </w:rPr>
        <w:br/>
        <w:t xml:space="preserve">Because the State reported less than 100% compliance for FFY 2020, the State must report on the status of correction of noncompliance identified in FFY 2020 for this indicator. In addition, the State must demonstrate, in the FFY 2021 SPP/APR, that the remaining 61 uncorrected findings of noncompliance identified in FFY 2019, 59 uncorrected findings of noncompliance identified in FFY 2018, and one uncorrected finding of noncompliance identified in FFY 2014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FFY 2018, and FFY 2014: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Indiana is not revising its baseline for Indicator 11. A clerical error was identified in the FFY 2020 SPP/APR and has been corrected to ensure the data reported in the Historical Data table is consistent with the State's FFY 2020 data. </w:t>
      </w:r>
      <w:r w:rsidRPr="00781112">
        <w:rPr>
          <w:rFonts w:cs="Arial"/>
          <w:color w:val="000000" w:themeColor="text1"/>
          <w:szCs w:val="16"/>
        </w:rPr>
        <w:br/>
        <w:t xml:space="preserve"> </w:t>
      </w:r>
      <w:r w:rsidRPr="00781112">
        <w:rPr>
          <w:rFonts w:cs="Arial"/>
          <w:color w:val="000000" w:themeColor="text1"/>
          <w:szCs w:val="16"/>
        </w:rPr>
        <w:br/>
        <w:t xml:space="preserve">Of the 69 LEAs found to have noncompliance for FFY 2020, the State has verified that 52 LEAs are correctly implementing regulatory requirements and have corrected each individual case of noncompliance unless the child was no longer within the jurisdiction of the LEA. Of the remaining 17 LEAs, the </w:t>
      </w:r>
      <w:r w:rsidRPr="00781112">
        <w:rPr>
          <w:rFonts w:cs="Arial"/>
          <w:color w:val="000000" w:themeColor="text1"/>
          <w:szCs w:val="16"/>
        </w:rPr>
        <w:lastRenderedPageBreak/>
        <w:t>State has verified that 1 LEA is correctly implementing regulatory requirements and has corrected each individual case of noncompliance based on subsequent data review and 16 LEAs continue to be monitored to verify compliance.</w:t>
      </w:r>
      <w:r w:rsidRPr="00781112">
        <w:rPr>
          <w:rFonts w:cs="Arial"/>
          <w:color w:val="000000" w:themeColor="text1"/>
          <w:szCs w:val="16"/>
        </w:rPr>
        <w:br/>
        <w:t xml:space="preserve"> </w:t>
      </w:r>
      <w:r w:rsidRPr="00781112">
        <w:rPr>
          <w:rFonts w:cs="Arial"/>
          <w:color w:val="000000" w:themeColor="text1"/>
          <w:szCs w:val="16"/>
        </w:rPr>
        <w:br/>
        <w:t xml:space="preserve">Of the 61 LEAs found to have uncorrected findings of noncompliance identified in FFY 2019, 36 LEAs are correctly implementing regulatory requirements and have corrected each individual case of noncompliance unless the child was no longer within the jurisdiction of the LEA based on subsequent review of data included in the State IEP system. The State has verified that the remaining 25 LEAs have corrected each individual case of noncompliance unless the child was no longer within the jurisdiction of the LEA. The State continues to monitor 25 LEAs to ensure correct implementation of the specific regulatory requirements for Indicator 11.  </w:t>
      </w:r>
      <w:r w:rsidRPr="00781112">
        <w:rPr>
          <w:rFonts w:cs="Arial"/>
          <w:color w:val="000000" w:themeColor="text1"/>
          <w:szCs w:val="16"/>
        </w:rPr>
        <w:br/>
      </w:r>
      <w:r w:rsidRPr="00781112">
        <w:rPr>
          <w:rFonts w:cs="Arial"/>
          <w:color w:val="000000" w:themeColor="text1"/>
          <w:szCs w:val="16"/>
        </w:rPr>
        <w:br/>
        <w:t xml:space="preserve">Of the 59 LEAs found to have uncorrected findings of noncompliance identified in FFY 2018, 33 LEAs are correctly implementing regulatory requirements and have corrected each individual case of noncompliance unless the child was no longer within the jurisdiction of the LEA based on subsequent review of data included in the State IEP system.  The State has verified that the remaining 26 LEAs have corrected each individual case of noncompliance unless the child was no longer within the jurisdiction of the LEA. The State continues to monitor 25 LEAs to ensure correct implementation of the specific regulatory requirements for Indicator 11.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The uncorrected finding of noncompliance identified in 2014 has been corrected. The state has verified that the LEA is correctly implementing regulatory requirements and has corrected each individual case of noncompliance unless the child was no longer within the jurisdiction of the LEA.</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16 uncorrected findings of noncompliance identified in FFY 2020, the remaining 19 uncorrected findings of noncompliance identified in FFY 2019 , and the remaining 23 uncorrected findings of noncompliance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noncompliance identified in FFY 2021, FFY 2020, FFY 2019, and FFY 2018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95.80%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99.43%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97.39%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99.68%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92.08%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92.00%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3,570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333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2,882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241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2,882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2,996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92.00%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96.19%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114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For the 114 children served in Part C and referred to Part B found to have a late eligibility determination, the ranges and reasons for the delay are as follows:</w:t>
      </w:r>
      <w:r w:rsidRPr="00781112">
        <w:rPr>
          <w:bCs/>
          <w:color w:val="000000" w:themeColor="text1"/>
        </w:rPr>
        <w:br/>
        <w:t>1 to 5 days: 36</w:t>
      </w:r>
      <w:r w:rsidRPr="00781112">
        <w:rPr>
          <w:bCs/>
          <w:color w:val="000000" w:themeColor="text1"/>
        </w:rPr>
        <w:br/>
        <w:t>6 to 10 days: 18</w:t>
      </w:r>
      <w:r w:rsidRPr="00781112">
        <w:rPr>
          <w:bCs/>
          <w:color w:val="000000" w:themeColor="text1"/>
        </w:rPr>
        <w:br/>
        <w:t>11 to 15 days: 12</w:t>
      </w:r>
      <w:r w:rsidRPr="00781112">
        <w:rPr>
          <w:bCs/>
          <w:color w:val="000000" w:themeColor="text1"/>
        </w:rPr>
        <w:br/>
        <w:t>15 to end of year: 48</w:t>
      </w:r>
      <w:r w:rsidRPr="00781112">
        <w:rPr>
          <w:bCs/>
          <w:color w:val="000000" w:themeColor="text1"/>
        </w:rPr>
        <w:br/>
        <w:t>Timelines were missed for a variety of reasons identified as follows: staff shortages, volume of referrals, scheduling conflicts, timeline errors, improper documentation, and LEA staff errors.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data for this indicator is submitted to IDOE using Ed-Fi from the Local Education Agency (LEA) Student Information System (SIS) to the Data Exchange platform. Each LEA must upload child count, performance data, and compliance data to the Data Exchange platform. These data are then stored in the IDOE data warehouse where it can be extracted and used for state and federal funding, performance indicators, and compliance indicators. </w:t>
      </w:r>
      <w:r w:rsidRPr="00781112">
        <w:rPr>
          <w:rFonts w:cs="Arial"/>
          <w:color w:val="000000" w:themeColor="text1"/>
          <w:szCs w:val="16"/>
        </w:rPr>
        <w:br/>
        <w:t xml:space="preserve">Initial evaluation data is gathered from the IDOE-Evaluation collection and verified by LEAs to ensure accuracy. This data includes the date of receipt of parental consent, the date of the case conference determining eligibility and that outcome, as well as any reason the timeline could not be completed in a timely fashion. This data is then compared to the school calendar submissions to determine compliance. </w:t>
      </w:r>
      <w:r w:rsidRPr="00781112">
        <w:rPr>
          <w:rFonts w:cs="Arial"/>
          <w:color w:val="000000" w:themeColor="text1"/>
          <w:szCs w:val="16"/>
        </w:rPr>
        <w:br/>
        <w:t>Data is reviewed for any data quality issues through a verification process between IDOE and LEAs. Any data issues are then corrected before the finding of noncompliance is recorded.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As discussed in the introduction, IDOE completed a review process related to the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Early Childhood Transition.  Based on this feedback, OSE adjusted the percentage weight assigned to Indicator 12- Early Childhood Transition scoring as part of the 2022 RDA release to be comparable to all compliance indicators and increased the percentage weight assigned to continued or longstanding noncompliance.  IDOE will continue to seek stakeholder input related to potential changes in the 2023 RDA release.</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74</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IDOE issued 74 Indicator 12 findings of noncompliance related to regulatory requirements. Subsequently, 73 LEAs corrected all instances of noncompliance and demonstrated the correct implementation of regulatory requirements based on review of subsequent data verifying compliance. </w:t>
      </w:r>
      <w:r w:rsidRPr="00781112">
        <w:rPr>
          <w:rFonts w:cs="Arial"/>
          <w:color w:val="000000" w:themeColor="text1"/>
          <w:szCs w:val="16"/>
        </w:rPr>
        <w:br/>
        <w:t xml:space="preserve">The review completed is based on data available within the State system for developing and storing individual education programs, Indiana IEP (IIEP). To verify that each LEA found to have noncompliance was correctly implementing regulatory requirements the Educational Evaluation (EV) Report available within IIEP (consisting of student identifying information, date of parental consent, date of the required Initial Evaluation case conference meeting, date services begin and eligibility determination) is reviewed to ensure compliance. </w:t>
      </w:r>
      <w:r w:rsidRPr="00781112">
        <w:rPr>
          <w:rFonts w:cs="Arial"/>
          <w:color w:val="000000" w:themeColor="text1"/>
          <w:szCs w:val="16"/>
        </w:rPr>
        <w:br/>
        <w:t>IDOE verified that 73 LEAs were subsequently implementing regulatory requirements with 100%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IDOE utilized the State system for developing and storing individual education programs, Indiana IEP (IIEP), to verify that each individual case of noncompliance was corrected. IIEP stores student event history which includes date of parent consent, date of case conference committee meeting and date of eligibility determination. With the Advanced Reporting feature included within IIEP, each individual case of noncompliance was reviewed to ensure that the LEA has completed the evaluation unless the child is no longer within the jurisdiction of the LEA.</w:t>
      </w:r>
      <w:r w:rsidRPr="00781112">
        <w:rPr>
          <w:rFonts w:cs="Arial"/>
          <w:color w:val="000000" w:themeColor="text1"/>
          <w:szCs w:val="16"/>
        </w:rPr>
        <w:br/>
        <w:t>IDOE reviewed data in the IIEP system and verified that each of the 73  LEAs with noncompliance corrected (completed) each individual case of noncompliance unless the child was no longer within the jurisdiction of the LEA, and the IEP was developed and implemented, if applicable.</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The LEA identified as noncompliant and not yet verified as corrected completed a Root Cause Analysis (RCA) with support from IDOE Education Specialists.  A Corrective Action Plan (CAP) was developed based on the RCA including additional monitoring.  This may include on-site/virtual monitoring visits to provide training regarding policies related to initial evaluation and development of practices and procedures addressing identified barriers related to timely completion. Pursuant to OSEP Memorandum 09-02, IDOE will continue to monitor the LEA to verify the correct implementation of the regulatory requirements by achieving 100% compliance.</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36</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36</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For LEAs identified as having a finding in FFY 2019, 36 were not verified as corrected as of FFY2020.  IDOE utilized the State system for developing and storing individual education programs, Indiana IEP (IIEP), to verify that each LEA found to have noncompliance was correctly implementing regulatory requirements. IIEP provides an Educational Evaluation (EV) Report consisting of student identifying information, date of parental consent, date of the required Initial Evaluation case conference meeting, date services begin and eligibility determination. IDOE monitors this report of subsequent timeline compliance to ensure that each LEA is implementing the regulations at 100% compliance. IDOE verified that 36 LEAs are subsequently implementing regulatory requirements with 100% compliance.</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IDOE utilized the State system for developing and storing individual education programs, Indiana IEP (IIEP), to verify that each individual case of noncompliance was corrected. IIEP stores student event history which includes date of parent consent, date of case conference committee meeting and date of eligibility determination. With the Advanced Reporting feature included within IIEP, each individual case of noncompliance was reviewed to ensure that the LEA has completed the evaluation unless the child is no longer within the jurisdiction of the LEA.</w:t>
      </w:r>
      <w:r w:rsidRPr="00781112">
        <w:rPr>
          <w:rFonts w:cs="Arial"/>
          <w:color w:val="000000" w:themeColor="text1"/>
          <w:szCs w:val="16"/>
        </w:rPr>
        <w:br/>
        <w:t>For the LEAs that are reported as corrected within one year of their finding, IDOE reviewed data in the IIEP system and verified that each of the 36 LEAs corrected (completed) each individual case of noncompliance unless the child was no longer within the jurisdiction of the LEA.</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36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Of the 74 LEAs found to have noncompliance for FFY 2020, the State has verified that 73 LEAs are correctly implementing regulatory requirements and have corrected each individual case of noncompliance unless the child was no longer within the jurisdiction of the LEA. The State has verified the remaining 1 LEA  has corrected each individual case of noncompliance unless the child was no longer within the jurisdiction of the LEA. The State continues to monitor the LEA to ensure correct implementation of the specific regulatory requirements for Indicator 12. </w:t>
      </w:r>
      <w:r w:rsidRPr="00781112">
        <w:rPr>
          <w:rFonts w:cs="Arial"/>
          <w:color w:val="000000" w:themeColor="text1"/>
          <w:szCs w:val="16"/>
        </w:rPr>
        <w:br/>
      </w:r>
      <w:r w:rsidRPr="00781112">
        <w:rPr>
          <w:rFonts w:cs="Arial"/>
          <w:color w:val="000000" w:themeColor="text1"/>
          <w:szCs w:val="16"/>
        </w:rPr>
        <w:br/>
        <w:t xml:space="preserve">Of the 36 LEAs found to have uncorrected findings of noncompliance identified in FFY 2019,  the State has verified that all 36 LEAs are correctly implementing regulatory requirements and have corrected each individual case of noncompliance unless the child was no longer within the jurisdiction of the LEA based on subsequent review of data included in the State IEP system. </w:t>
      </w:r>
      <w:r w:rsidRPr="00781112">
        <w:rPr>
          <w:rFonts w:cs="Arial"/>
          <w:color w:val="000000" w:themeColor="text1"/>
          <w:szCs w:val="16"/>
        </w:rPr>
        <w:br/>
      </w:r>
      <w:r w:rsidRPr="00781112">
        <w:rPr>
          <w:rFonts w:cs="Arial"/>
          <w:color w:val="000000" w:themeColor="text1"/>
          <w:szCs w:val="16"/>
        </w:rPr>
        <w:br/>
        <w:t xml:space="preserv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lastRenderedPageBreak/>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one remaining finding of noncompliance identified in FFY 2020 was corrected.  </w:t>
      </w:r>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2022 SPP/APR, that it has verified that each LEA with noncompliance identified in FFY 2021 and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80.22%</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85.47%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86.14%</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68.70%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75.60%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77.04%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541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1,021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77.04%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52.99%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In addressing the comments and required actions from OSEP in prior SPP/APR determinations, IDOE reviewed data protocols and made necessary adjustments. Additionally, IDOE revised the Indicator 13 monitoring cycle, moving from a three year to a two year cycle. With this change, half of the LEAs are included in the 2021 data collection while 2020 data includes one third of the LEAs. It was expected that this would result in a decrease in the percentage. The slippage documented this year is indicative of those changes toward an accurate and reliable data protocol.</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Indiana's Article 7 requires transition plans begin at age 14, prior to the 9th grade, or earlier if determined appropriate by the case conference committee. Indiana Department of Education (IDOE) contracted with the Center on Community Living and Careers (CCLC) at Indiana University to conduct a compliance review of a randomly selected sample of students’ transition IEPs. The review was conducted to ensure IDOE meets the reporting requirements and is providing ongoing technical assistance for local education agencies with compliance rates below 100%.</w:t>
      </w:r>
      <w:r w:rsidRPr="00781112">
        <w:rPr>
          <w:rFonts w:cs="Arial"/>
          <w:color w:val="000000" w:themeColor="text1"/>
          <w:szCs w:val="16"/>
        </w:rPr>
        <w:br/>
      </w:r>
      <w:r w:rsidRPr="00781112">
        <w:rPr>
          <w:rFonts w:cs="Arial"/>
          <w:color w:val="000000" w:themeColor="text1"/>
          <w:szCs w:val="16"/>
        </w:rPr>
        <w:br/>
        <w:t>To determine and ensure compliance with Indicator 13, IDOE has developed the Indiana Transition Requirements Checklist based on a data collection tool created by the National Technical Assistance Center on Transition the Collaborative (NTACT:C) and approved by OSEP. The Indiana Secondary Transition Resource Center (INSTRC) at the CCLC has created an online version of Indiana’s data collection tool that was used to analyze Indiana’s student records to determine compliance with Indicator 13. The 10-item Indiana Transition Requirements Checklist was utilized to assess if there was evidence in a student’s IEP that the student had been provided the appropriate transition services to prepare them to successfully transition from secondary school to a post-secondary education and/or training program and to employment at an accuracy rate of 100%.</w:t>
      </w:r>
      <w:r w:rsidRPr="00781112">
        <w:rPr>
          <w:rFonts w:cs="Arial"/>
          <w:color w:val="000000" w:themeColor="text1"/>
          <w:szCs w:val="16"/>
        </w:rPr>
        <w:br/>
      </w:r>
      <w:r w:rsidRPr="00781112">
        <w:rPr>
          <w:rFonts w:cs="Arial"/>
          <w:color w:val="000000" w:themeColor="text1"/>
          <w:szCs w:val="16"/>
        </w:rPr>
        <w:br/>
        <w:t>IDOE provided CCLC with a population database of students who were receiving special education services and met the Indiana transition IEP age criteria for the monitored school year and whose local school districts are part of the monitoring cycle. The database included the student identification number and the Corporation Code Number. To generate the sample, CCLC used Microsoft Excel to run a random sampling program. If the corporation had fewer than 100 students with disabilities, four students were selected for the review. For corporations with more than 500 students, 10 students were selected. Therefore, a minimum of four and maximum of 10 Transition IEPs were reviewed based on the size of the district. In some cases, charter schools had sample sizes of fewer than three students because these schools were serving a limited number of students or did not have large populations of students with disabilities. A report of the review was then provided to IDOE.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128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117</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11</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IDOE issued 128 Indicator 13 findings of noncompliance with regard to regulatory requirements. Subsequently, 117 LEAs corrected all instances of noncompliance and demonstrated regulatory requirements in the additional file reviews conducted. These new findings were identified through an assessment by CCLC using the Indiana Transition IEP Checklist. To verify correction, IDOE reviewed updated policies, procedures, and practices (prong 2), as well as reviewed data through additional IEPs for these components and overall compliance. This review found that 117 LEAs are implementing regulatory requirements at 100%. The 11 LEAs not verified as compliant continue to engage in technical assistance and professional development. Subsequent reviews of Transition IEPs will be completed until IDOE has verified compliance with regulatory requirements at 100%</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IDOE verified correction of all individual cases of noncompliance by using the Indiana Transition Requirements Checklist to ensure that each individual case had been corrected based on the review of each IEP in the Indiana IEP system. IDOE also verified the enrollment status of a student with a non-compliant IEP if an LEA advised that the student was no longer enrolled due to graduation, transfer, withdrawal, etc. Correction was not required if the student was no longer enrolled.</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 xml:space="preserve">For the 11 findings that have yet to be corrected, the initial noncompliance has been corrected; however, subsequent pulls identified additional findings of noncompliance. The districts have been engaged in reviewing and revising their policies and procedures related to transition IEPs as well as being engaged in ongoing technical assistance and professional development to improve transition IEPs. The districts will be released once all findings of noncompliance have been corrected and no additional findings are found in subsequent file reviews. </w:t>
      </w:r>
    </w:p>
    <w:p w14:paraId="09CD9C74" w14:textId="77777777" w:rsidR="00A947D9" w:rsidRPr="00781112" w:rsidRDefault="00A947D9" w:rsidP="004369B2">
      <w:pPr>
        <w:rPr>
          <w:color w:val="000000" w:themeColor="text1"/>
        </w:rPr>
      </w:pPr>
    </w:p>
    <w:p w14:paraId="1C9192D0" w14:textId="77777777" w:rsidR="00B22055" w:rsidRDefault="00B22055">
      <w:pPr>
        <w:spacing w:before="0" w:after="200" w:line="276" w:lineRule="auto"/>
        <w:rPr>
          <w:b/>
          <w:color w:val="000000" w:themeColor="text1"/>
        </w:rPr>
      </w:pPr>
      <w:r>
        <w:rPr>
          <w:b/>
          <w:color w:val="000000" w:themeColor="text1"/>
        </w:rPr>
        <w:br w:type="page"/>
      </w:r>
    </w:p>
    <w:p w14:paraId="59FD8363" w14:textId="5B6DC0FD"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Of the 128 LEAs found to have noncompliance in FFY 2020, 117 LEAs have LEAs corrected all instances of noncompliance and demonstrated regulatory requirements in the additional file reviews conducted. The 11 LEAs not verified as compliant continue to engage in technical assistance and professional development. Subsequent reviews of Transition IEPs will be completed until IDOE has verified compliance with regulatory requirements at 100%,</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11 uncorrected findings of noncompliance identified in FFY 2020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noncompliance identified in FFY 2021 and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37.80%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38.30%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38.80%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22.06%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31.15%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36.22%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24.17%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22.06%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69.94%</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70.49%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63.78%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63.89%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64.33%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69.94%</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82.30%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86.07%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88.19%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75.83%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82.30%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25.50%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26.00%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26.50%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27.00%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27.50%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70.44%</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70.94%</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71.44%</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71.94%</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72.44%</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82.80%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83.30%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83.80%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84.30%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84.80%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As discussed in the introduction, IDOE completed a review process related to Indiana’s General Supervision system including the annual determination process, Results Driven Accountability (RDA). As part of this process, a survey was released and stakeholders (families, school administrators, special education teachers, special education administrators, and others) were asked to provide feedback about the indicators and measures comprising RDA including Post-School Outcomes. Feedback from the survey indicates that in the future, LEAs would like additional emphasis on Post-School Outcomes in the Results Matrix for RDA.</w:t>
      </w:r>
    </w:p>
    <w:p w14:paraId="4522ADD4" w14:textId="77777777" w:rsidR="00E448E9" w:rsidRPr="00781112" w:rsidRDefault="00E448E9" w:rsidP="004369B2">
      <w:pPr>
        <w:rPr>
          <w:color w:val="000000" w:themeColor="text1"/>
        </w:rPr>
      </w:pPr>
      <w:bookmarkStart w:id="81" w:name="_Toc392159337"/>
    </w:p>
    <w:bookmarkEnd w:id="81"/>
    <w:p w14:paraId="53E2E2A5" w14:textId="77777777" w:rsidR="00B22055" w:rsidRDefault="00B22055">
      <w:pPr>
        <w:spacing w:before="0" w:after="200" w:line="276" w:lineRule="auto"/>
        <w:rPr>
          <w:b/>
          <w:color w:val="000000" w:themeColor="text1"/>
        </w:rPr>
      </w:pPr>
      <w:r>
        <w:rPr>
          <w:b/>
          <w:color w:val="000000" w:themeColor="text1"/>
        </w:rPr>
        <w:br w:type="page"/>
      </w:r>
    </w:p>
    <w:p w14:paraId="4202DC3A" w14:textId="17B9F46E"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946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794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83.93%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192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379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192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22.06%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24.18%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571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70.44%</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71.91%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655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82.80%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82.49%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84.44%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83.93%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For the 2022 leavers, training has been held (to ensure the student and family contact data is updated and correct within the statewide IEP system to allow for increased contacts with students. Emphasis has been placed on the importance of entering data in the IEP system that reflects the primary language spoken by the student and in the family home. Training has also included information for teachers on the availability of and process for accessing a monthly newsletter to assist with the transition from high school. The newsletter is also a means to collect accurate contact data to increase the ability to connect with those who have exited. Indiana Department of Education (IDOE) will be partnering with the state parent training center (IN*SOURCE) to improve the response rate for the coming year. Sessions will be held monthly with IN*SOURCE to disseminate information to parents. </w:t>
      </w:r>
      <w:r w:rsidRPr="00B551F2">
        <w:lastRenderedPageBreak/>
        <w:t>At least two of these sessions will be centered around Transition to help parents understand Transition IEPs and the importance of collecting post-exit data.</w:t>
      </w:r>
      <w:r w:rsidRPr="00B551F2">
        <w:br/>
      </w:r>
      <w:r w:rsidRPr="00B551F2">
        <w:br/>
        <w:t>For the purpose of targeting underrepresented groups, the IDOE plans to begin using an electronic survey to reach out to all students who have exited and their parents as a first source of information gathering in the future. This method will ensure that all individuals with an email address will be contacted and offered the survey. Following the first round of communication and data collection, those who do not respond will be contacted by phone and email directly by a staff member to obtain survey results. IDOE is also developing a pilot program that would allow local education agencies to be the party that reaches out directly to students who have left school and their parents in the second round of communication. The intent is that students will likely find it more convenient and less invasive to speak with an individual/entity that they recognize as a familiar or known contact.</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In analysis of the response rate it was determined that there was no identified nonresponse bias, but there was underrepresentation. The sampling plan that is being utilized targets all schools equally and all students have the opportunity to participate in the survey. </w:t>
      </w:r>
      <w:r w:rsidRPr="00B551F2">
        <w:br/>
      </w:r>
      <w:r w:rsidRPr="00B551F2">
        <w:br/>
        <w:t xml:space="preserve">Before a student exits, they are encouraged to sign up for the What’s Next Newsletter which offers information to students and their families. Included in this is information related to the survey while offering them the opportunity to take it. In addition to this, IDOE reaches out to students and families using multiple contact methods, including phone, email, and mailers. Utilizing these methods, we hope to increase the amount of youth who are participating in the survey one year post exit. </w:t>
      </w:r>
      <w:r w:rsidRPr="00B551F2">
        <w:br/>
      </w:r>
      <w:r w:rsidRPr="00B551F2">
        <w:br/>
        <w:t xml:space="preserve">As IDOE analyzed Indicator 14 it was identified that several school districts had missing or incomplete data from which to pull from in order to conduct the survey for their school district. Training has been and will continue to be provided to districts to ensure data is reported properly, so the students can be contacted in future surveys. In the next data cycle, IDOE will be utilizing data exchange, a move from separate data systems to a single data system, to increase data quality and data access from LEA to SEA level. </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IDOE’s analysis of response data indicates underrepresentation in the race/ethnicity areas of Black/African American by 7% and Hispanic by 4%. </w:t>
      </w:r>
      <w:r w:rsidRPr="008D51F2">
        <w:br/>
        <w:t xml:space="preserve">There is underrepresentation in the disability area of Emotional Disability by 3%. </w:t>
      </w:r>
      <w:r w:rsidRPr="008D51F2">
        <w:br/>
        <w:t>These percentages are the raw percentage difference between the response population and the identified population. Values are considered not representative if they are not within +/- 3 percentage points of the population distribution and not within +/- ten percentage points of the expected value based on population parameters.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IDOE will once again offer the survey in Spanish. Additionally, data is reviewed to identify the home language of the student to ensure the first contact is in the preferred language. The vendor employs interpreters that will reach out as the first contact when they are able to meet the language need. IDOE will identify local education agencies (LEAs) that have a larger population of students in the underrepresented areas identified and will look to work with those schools to identify opportunities to work together to increase responsiveness. IDOE plans to involve each district that is willing to participate in utilizing staff that are familiar with their own students to increase the number of student responses in all demographic categories.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Indiana used a relative share of responses to the survey by each category compared to the overall population of students who have exited by category.  This metric included a +/- 3% discrepancy.</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A minimum of 3 percent of leavers per LEA were surveyed. For LEAs for whom 3 percent of leavers would be fewer than 3 leavers, oversampling was employed to interview a minimum of 3 leavers.</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the FFY 2021 SPP/APR, the State must analyze the response rate to identify potential non-response bias and identify steps taken to reduce any identified bias to promote response from a broad cross section of youth who are no longer in secondary school and had IEPs in effect at the time they left school, as required by the Measurement Table.</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In analysis of the response rate it was determined that there was no identified nonresponse bias, but there was underrepresentation. The sampling plan that is being utilized targets all schools equally and all students have the opportunity to participate in the survey. Response data indicates underrepresentation in the race/ethnicity areas of Black/African American by 7% and Hispanic by 4%. There is underrepresentation in the disability area of Emotional Disability by 3%. These percentages are the raw percentage difference between the response population and the identified population. Values are considered not representative if they are not within +/- 3 percentage points of the population distribution and not within +/- ten percentage points of the expected value based on population parameters. To ensure that the state continues to sample a broad cross section of youth, Indiana will continue to work with LEAs to gather accurate data in a single data system, Data Exchange, rather than multiple information systems. Using this information IDOE has worked to identify primary language and primary language spoken in the home to assist surveyors in effectively gaining a response.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submitted a revised sampling plan for this indicator and OSEP will respond under separate cover.</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34</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As IDOE recently updated the targets for Indicator 15, stakeholder input was not requested.</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2017</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35.09%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36.51%</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17.14%</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52.17%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20.50%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21.00%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21.50%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22.00%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22.50%</w:t>
            </w:r>
          </w:p>
        </w:tc>
      </w:tr>
    </w:tbl>
    <w:p w14:paraId="25B7ED55" w14:textId="77777777" w:rsidR="00CE0C68" w:rsidRPr="00781112" w:rsidRDefault="00CE0C68" w:rsidP="004369B2">
      <w:pPr>
        <w:rPr>
          <w:color w:val="000000" w:themeColor="text1"/>
        </w:rPr>
      </w:pPr>
    </w:p>
    <w:p w14:paraId="0B6C379F" w14:textId="77777777" w:rsidR="00B22055" w:rsidRDefault="00B22055">
      <w:pPr>
        <w:spacing w:before="0" w:after="200" w:line="276" w:lineRule="auto"/>
        <w:rPr>
          <w:b/>
          <w:color w:val="000000" w:themeColor="text1"/>
        </w:rPr>
      </w:pPr>
      <w:r>
        <w:rPr>
          <w:b/>
          <w:color w:val="000000" w:themeColor="text1"/>
        </w:rPr>
        <w:br w:type="page"/>
      </w:r>
    </w:p>
    <w:p w14:paraId="59EF63A0" w14:textId="519E75F3" w:rsidR="00127006" w:rsidRPr="00B22055"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20.50%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73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As IDOE recently updated the targets for Indicator 16, stakeholder input was not requested.</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2019</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66.67%</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76.50%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77.00%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77.50%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67.00%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90.48%</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85.71%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81.63%</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74.00%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68.00%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69.00%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71.00%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72.00%</w:t>
            </w:r>
          </w:p>
        </w:tc>
      </w:tr>
    </w:tbl>
    <w:p w14:paraId="3BC65958" w14:textId="77777777" w:rsidR="00DA3157" w:rsidRPr="00781112" w:rsidRDefault="00DA3157" w:rsidP="004369B2">
      <w:pPr>
        <w:rPr>
          <w:color w:val="000000" w:themeColor="text1"/>
        </w:rPr>
      </w:pPr>
    </w:p>
    <w:p w14:paraId="28D701B4" w14:textId="77777777" w:rsidR="00B22055" w:rsidRDefault="00B22055">
      <w:pPr>
        <w:spacing w:before="0" w:after="200" w:line="276" w:lineRule="auto"/>
        <w:rPr>
          <w:b/>
          <w:color w:val="000000" w:themeColor="text1"/>
        </w:rPr>
      </w:pPr>
      <w:r>
        <w:rPr>
          <w:b/>
          <w:color w:val="000000" w:themeColor="text1"/>
        </w:rPr>
        <w:br w:type="page"/>
      </w:r>
    </w:p>
    <w:p w14:paraId="29FDEA16" w14:textId="471FC50B"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15</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35</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73</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74.00%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68.00%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68.49%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State-Identified Measurable Result (SiMR) is currently:</w:t>
      </w:r>
      <w:r w:rsidRPr="00781112">
        <w:rPr>
          <w:color w:val="000000" w:themeColor="text1"/>
        </w:rPr>
        <w:br/>
        <w:t>Indiana will increase reading proficiency achievement on the Indiana Reading Evaluation and Determination (IREAD-3) assessment by at least .5% each year for all third grade students, including those with disabilities attending elementary schools participating in the Indiana SSIP Initiatives.</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A cohort model has been used to measure progress toward the SiMR. Currently, due to the lack of LEA participation, there is 1 school participating in the intensive technical assistance that is a primary focus of the the current SSIP.</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0F3DB9FA" w14:textId="5B690D89" w:rsidR="00CF0910" w:rsidRPr="00781112" w:rsidRDefault="00A202E9" w:rsidP="00A202E9">
      <w:r w:rsidRPr="00781112">
        <w:t>The State continues to implement the previous Theory of Action (ToA) to guide the SSIP. The ToA is outlined below and can also be viewed at https://www.in.gov/doe/files/2021-22-SSIP-Report.pdf (page 11).</w:t>
      </w:r>
      <w:r w:rsidRPr="00781112">
        <w:br/>
      </w:r>
      <w:r w:rsidRPr="00781112">
        <w:br/>
        <w:t xml:space="preserve">If IDOE: Provides a supported guidance for systemic alignment </w:t>
      </w:r>
      <w:r w:rsidRPr="00781112">
        <w:br/>
        <w:t>Then the LEA: Will promote and support systemic alignment across the district</w:t>
      </w:r>
      <w:r w:rsidRPr="00781112">
        <w:br/>
        <w:t>Then the Building Leader: Will promote and support systemic alignment across the district</w:t>
      </w:r>
      <w:r w:rsidRPr="00781112">
        <w:br/>
        <w:t>Then Teachers: Will utilize building and district systems to drive instruction based on data</w:t>
      </w:r>
      <w:r w:rsidRPr="00781112">
        <w:br/>
      </w:r>
      <w:r w:rsidRPr="00781112">
        <w:br/>
        <w:t>If IDOE: Supports the implementation of an MTSS framework, which includes the use of UDL</w:t>
      </w:r>
      <w:r w:rsidRPr="00781112">
        <w:br/>
        <w:t>Then the LEA: Will build LEA and school leader’s capacity to support implementation of this framework</w:t>
      </w:r>
      <w:r w:rsidRPr="00781112">
        <w:br/>
        <w:t>Then the Building Leader: Will build teacher and school staff capacity for implementation of this framework</w:t>
      </w:r>
      <w:r w:rsidRPr="00781112">
        <w:br/>
        <w:t>Then Teachers: Will implement this framework to support the instructional needs of all learners</w:t>
      </w:r>
      <w:r w:rsidRPr="00781112">
        <w:br/>
      </w:r>
      <w:r w:rsidRPr="00781112">
        <w:br/>
        <w:t>If IDOE: Provides support for evidence-based practices in early literacy</w:t>
      </w:r>
      <w:r w:rsidRPr="00781112">
        <w:br/>
        <w:t>Then the LEA: Will promote and support systemic alignment across the district</w:t>
      </w:r>
      <w:r w:rsidRPr="00781112">
        <w:br/>
        <w:t>Then the Building Leader: Will promote and support early literacy through the use of the evidence-based practices</w:t>
      </w:r>
      <w:r w:rsidRPr="00781112">
        <w:br/>
        <w:t>Then Teachers: Will utilize building and district systems to drive instruction based on data</w:t>
      </w:r>
      <w:r w:rsidRPr="00781112">
        <w:br/>
      </w:r>
      <w:r w:rsidRPr="00781112">
        <w:br/>
        <w:t xml:space="preserve">As noted previously, the State is in the process of developing a revised Theory of Action based on data analysis indicating a lack of expected outcome related to the current </w:t>
      </w:r>
      <w:proofErr w:type="spellStart"/>
      <w:r w:rsidRPr="00781112">
        <w:t>SiMR</w:t>
      </w:r>
      <w:proofErr w:type="spellEnd"/>
      <w:r w:rsidRPr="00781112">
        <w:t xml:space="preserve"> and plan.</w:t>
      </w:r>
    </w:p>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58.00%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60.50%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61.00%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61.50%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62.00%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Numerator- Cohort Students Passing State Assessment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Denominator- Cohort Students Tested</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68</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76.61%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89.71%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source for the FFY 2021 data is state reading assessment (IREAD-3) results for the participating school.</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School districts in Indiana conduct the IREAD-3 assessment during state-assigned testing windows in the spring of the testing year. The IREAD-3 is scored digitally, and the data is collected by IDOE. Statewide analyses of student outcomes collectively and by specific populations are represented by number of students who Pass/Fail and by percentages of Pass/Fail. These data are publicly disseminated on the IDOE website, including individual district and school data (https://www.in.gov/doe/it/data-center-and-reports/). The percentages of Pass/Fail for all students participating in the assessment for SSIP Cohort Schools are used to determine progress toward the state SiMR.</w:t>
      </w:r>
      <w:r w:rsidRPr="00781112">
        <w:rPr>
          <w:color w:val="000000" w:themeColor="text1"/>
        </w:rPr>
        <w:br/>
      </w:r>
      <w:r w:rsidRPr="00781112">
        <w:rPr>
          <w:color w:val="000000" w:themeColor="text1"/>
        </w:rPr>
        <w:br/>
        <w:t>As part of the data analysis completed within the SSIP, the State has identified concerns related to the current SSIP. These barriers were included in the FFY 2020 SPP/APR description of newly identified barriers and steps to address. A primary barrier identified was a lack of stakeholder and LEA engagement. Throughout this implementation year, the state has developed a consistent stakeholder engagement process. This group has completed an extensive data analysis and has proposed that the State revise the SiMR.</w:t>
      </w:r>
      <w:r w:rsidRPr="00781112">
        <w:rPr>
          <w:color w:val="000000" w:themeColor="text1"/>
        </w:rPr>
        <w:br/>
      </w:r>
      <w:r w:rsidRPr="00781112">
        <w:rPr>
          <w:color w:val="000000" w:themeColor="text1"/>
        </w:rPr>
        <w:br/>
        <w:t>The proposed SiMR is as follows:</w:t>
      </w:r>
      <w:r w:rsidRPr="00781112">
        <w:rPr>
          <w:color w:val="000000" w:themeColor="text1"/>
        </w:rPr>
        <w:br/>
        <w:t>Indiana will increase the percentage of preschool children aged 3-5 with IEPs who enter the preschool program below age expectations and demonstrate substantial growth in the area of positive social-emotional skills by the time they turn 6 or exit the program.</w:t>
      </w:r>
      <w:r w:rsidRPr="00781112">
        <w:rPr>
          <w:color w:val="000000" w:themeColor="text1"/>
        </w:rPr>
        <w:br/>
      </w:r>
      <w:r w:rsidRPr="00781112">
        <w:rPr>
          <w:color w:val="000000" w:themeColor="text1"/>
        </w:rPr>
        <w:br/>
        <w:t xml:space="preserve">The State continues to engage in the Analysis phase of the SSIP and plans to continue engaging stakeholders to select coherent improvement strategies and develop the Theory of Action. As part of this process, the State Part B and Part C programs have developed a partnership to analyze the potential alignment of the State SSIP plans for Part B and Part C to expand the impact for the State.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Additional data collected to assess progress toward the SiMR includes:</w:t>
      </w:r>
      <w:r w:rsidRPr="00781112">
        <w:rPr>
          <w:color w:val="000000" w:themeColor="text1"/>
        </w:rPr>
        <w:br/>
        <w:t>iReady Data for students participating in services from coaches/teachers completing training related to the SSIP demonstrates:</w:t>
      </w:r>
      <w:r w:rsidRPr="00781112">
        <w:rPr>
          <w:color w:val="000000" w:themeColor="text1"/>
        </w:rPr>
        <w:br/>
      </w:r>
      <w:r w:rsidRPr="00781112">
        <w:rPr>
          <w:color w:val="000000" w:themeColor="text1"/>
        </w:rPr>
        <w:br/>
        <w:t xml:space="preserve">Beginning of Year: </w:t>
      </w:r>
      <w:r w:rsidRPr="00781112">
        <w:rPr>
          <w:color w:val="000000" w:themeColor="text1"/>
        </w:rPr>
        <w:br/>
        <w:t xml:space="preserve">39% of students scored Early, On, Mid or Above grade level in phonological awareness; </w:t>
      </w:r>
      <w:r w:rsidRPr="00781112">
        <w:rPr>
          <w:color w:val="000000" w:themeColor="text1"/>
        </w:rPr>
        <w:br/>
        <w:t>27% of students scored Early, On, Mid or Above grade level in phonics;</w:t>
      </w:r>
      <w:r w:rsidRPr="00781112">
        <w:rPr>
          <w:color w:val="000000" w:themeColor="text1"/>
        </w:rPr>
        <w:br/>
      </w:r>
      <w:r w:rsidRPr="00781112">
        <w:rPr>
          <w:color w:val="000000" w:themeColor="text1"/>
        </w:rPr>
        <w:br/>
        <w:t>Middle of Year:</w:t>
      </w:r>
      <w:r w:rsidRPr="00781112">
        <w:rPr>
          <w:color w:val="000000" w:themeColor="text1"/>
        </w:rPr>
        <w:br/>
        <w:t xml:space="preserve">60% of students scored Early, On, Mid or Above grade level in phonological awareness; </w:t>
      </w:r>
      <w:r w:rsidRPr="00781112">
        <w:rPr>
          <w:color w:val="000000" w:themeColor="text1"/>
        </w:rPr>
        <w:br/>
        <w:t>56% of students scored Early, On, Mid or Above grade level in phonics;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The link that includes the State's current evaluation plan is https://www.in.gov/doe/files/2021-22-SSIP-Report.pdf (page 14). </w:t>
      </w:r>
      <w:r w:rsidRPr="00781112">
        <w:rPr>
          <w:color w:val="000000" w:themeColor="text1"/>
        </w:rPr>
        <w:br/>
        <w:t xml:space="preserve"> </w:t>
      </w:r>
      <w:r w:rsidRPr="00781112">
        <w:rPr>
          <w:color w:val="000000" w:themeColor="text1"/>
        </w:rPr>
        <w:br/>
        <w:t>The State is currently engaging with Stakeholders completing the 3 phases of the SSIP. Currently the Analysis phase is in process and the implementation plan includes moving to Phase II: Plan during the next reporting period.  This will include include the development of an evaluation 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Indiana continued to implement the following infrastructure improvement strategies in the reporting period: Systemic Alignment; MTSS/UDL, and; Early Literacy (Science of Reading).</w:t>
      </w:r>
      <w:r w:rsidRPr="00781112">
        <w:rPr>
          <w:color w:val="000000" w:themeColor="text1"/>
        </w:rPr>
        <w:br/>
      </w:r>
      <w:r w:rsidRPr="00781112">
        <w:rPr>
          <w:color w:val="000000" w:themeColor="text1"/>
        </w:rPr>
        <w:br/>
        <w:t>1) Systemic Alignment: The purpose of Systemic Alignment is to align state and local efforts around the evidence-based practices (EBPs) targeted in the SSIP.</w:t>
      </w:r>
      <w:r w:rsidRPr="00781112">
        <w:rPr>
          <w:color w:val="000000" w:themeColor="text1"/>
        </w:rPr>
        <w:br/>
        <w:t>2) MTSS/UDL: The purpose of MTSS/UDL is to support schools in the implementation of an effective intervention model that identifies student need and provides access to evidence based interventions.</w:t>
      </w:r>
      <w:r w:rsidRPr="00781112">
        <w:rPr>
          <w:color w:val="000000" w:themeColor="text1"/>
        </w:rPr>
        <w:br/>
      </w:r>
      <w:r w:rsidRPr="00781112">
        <w:rPr>
          <w:color w:val="000000" w:themeColor="text1"/>
        </w:rPr>
        <w:lastRenderedPageBreak/>
        <w:t>3) Early Literacy: The purpose of Early Literacy is to provide statewide universal technical assistance in early literacy (Science of Reading), including targeted and intensive technical assistance for specific districts and schools.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Systemic Alignment</w:t>
      </w:r>
      <w:r w:rsidRPr="00781112">
        <w:rPr>
          <w:color w:val="000000" w:themeColor="text1"/>
        </w:rPr>
        <w:br/>
        <w:t>Outcome Achieved Related to Governance: Diverse stakeholder engagement based on review of stakeholder participation reports (attendance/response rates) throughout the reporting year related to role (from the targeted stakeholder checklist). This strategy led to improved stakeholder representation and input related to systems improvement efforts of the current SSIP and planning for the revision of the SSIP.</w:t>
      </w:r>
      <w:r w:rsidRPr="00781112">
        <w:rPr>
          <w:color w:val="000000" w:themeColor="text1"/>
        </w:rPr>
        <w:br/>
      </w:r>
      <w:r w:rsidRPr="00781112">
        <w:rPr>
          <w:color w:val="000000" w:themeColor="text1"/>
        </w:rPr>
        <w:br/>
        <w:t>Outcome Achieved Related to Governance and Professional Development: Following professional development related to the role/responsibility of the stakeholder, participants reported an increase understanding of the role (survey results). This strategy led to improved stakeholder representation and input related to the sustainability and consistent input related to current implementation and revision of the SSIP.</w:t>
      </w:r>
      <w:r w:rsidRPr="00781112">
        <w:rPr>
          <w:color w:val="000000" w:themeColor="text1"/>
        </w:rPr>
        <w:br/>
      </w:r>
      <w:r w:rsidRPr="00781112">
        <w:rPr>
          <w:color w:val="000000" w:themeColor="text1"/>
        </w:rPr>
        <w:br/>
        <w:t>Outcome Achieved Related to Governance: Stakeholders report communication occurred at a frequency to effectively inform participation in SSIP guidance (survey results). This strategy led to improved stakeholder representation and input related to systems improvement efforts of the current SSIP and planning for the revision of the SSIP.</w:t>
      </w:r>
      <w:r w:rsidRPr="00781112">
        <w:rPr>
          <w:color w:val="000000" w:themeColor="text1"/>
        </w:rPr>
        <w:br/>
      </w:r>
      <w:r w:rsidRPr="00781112">
        <w:rPr>
          <w:color w:val="000000" w:themeColor="text1"/>
        </w:rPr>
        <w:br/>
        <w:t>Outcome Achieved Related to Governance and Quality Standards: Stakeholders report information provided allowed for informed decision making related to SSIP guidance (survey results). This strategy led to improved stakeholder representation and input related to systems improvement efforts of the current SSIP and planning for the revision of the SSIP.</w:t>
      </w:r>
      <w:r w:rsidRPr="00781112">
        <w:rPr>
          <w:color w:val="000000" w:themeColor="text1"/>
        </w:rPr>
        <w:br/>
      </w:r>
      <w:r w:rsidRPr="00781112">
        <w:rPr>
          <w:color w:val="000000" w:themeColor="text1"/>
        </w:rPr>
        <w:br/>
        <w:t>Outcome Achieved Related to Governance and Accountability: Project timelines were met (based on timelines defined in Gantt Chart).</w:t>
      </w:r>
      <w:r w:rsidRPr="00781112">
        <w:rPr>
          <w:color w:val="000000" w:themeColor="text1"/>
        </w:rPr>
        <w:br/>
      </w:r>
      <w:r w:rsidRPr="00781112">
        <w:rPr>
          <w:color w:val="000000" w:themeColor="text1"/>
        </w:rPr>
        <w:br/>
        <w:t>MTSS/UDL and Early Literacy</w:t>
      </w:r>
      <w:r w:rsidRPr="00781112">
        <w:rPr>
          <w:color w:val="000000" w:themeColor="text1"/>
        </w:rPr>
        <w:br/>
        <w:t>Outcome Achieved Related to Technical Assistance: LEA staff report that the number of staff and students participating in training and services provided by trained teachers has increased.</w:t>
      </w:r>
      <w:r w:rsidRPr="00781112">
        <w:rPr>
          <w:color w:val="000000" w:themeColor="text1"/>
        </w:rPr>
        <w:br/>
      </w:r>
      <w:r w:rsidRPr="00781112">
        <w:rPr>
          <w:color w:val="000000" w:themeColor="text1"/>
        </w:rPr>
        <w:br/>
        <w:t>Outcome Achieved Related to Technical Assistance: As noted in data presented previously, student performance is improving with ongoing technical assistance being provided.</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Systemic Alignment Next Steps:</w:t>
      </w:r>
      <w:r w:rsidRPr="00781112">
        <w:rPr>
          <w:color w:val="000000" w:themeColor="text1"/>
        </w:rPr>
        <w:br/>
        <w:t>1) Continue to implement practices to effectively inform and engage stakeholders to ensure informed input and consistent participation.</w:t>
      </w:r>
      <w:r w:rsidRPr="00781112">
        <w:rPr>
          <w:color w:val="000000" w:themeColor="text1"/>
        </w:rPr>
        <w:br/>
        <w:t>2) Continue to seek input from participating administrators, coaches, teachers and parents related to the outcomes achieved and any barriers identified to guide implementation of the current SSIP and complete Phase I of the SSIP revision and initiate Phase II.</w:t>
      </w:r>
      <w:r w:rsidRPr="00781112">
        <w:rPr>
          <w:color w:val="000000" w:themeColor="text1"/>
        </w:rPr>
        <w:br/>
      </w:r>
      <w:r w:rsidRPr="00781112">
        <w:rPr>
          <w:color w:val="000000" w:themeColor="text1"/>
        </w:rPr>
        <w:br/>
      </w:r>
      <w:r w:rsidRPr="00781112">
        <w:rPr>
          <w:color w:val="000000" w:themeColor="text1"/>
        </w:rPr>
        <w:br/>
        <w:t>MTSS/UDL and Early Literacy Next Steps:</w:t>
      </w:r>
      <w:r w:rsidRPr="00781112">
        <w:rPr>
          <w:color w:val="000000" w:themeColor="text1"/>
        </w:rPr>
        <w:br/>
        <w:t>1) Continue to support State sponsored intensive technical assistance to ensure necessary supports are provided as needed to effectively implement practices.</w:t>
      </w:r>
      <w:r w:rsidRPr="00781112">
        <w:rPr>
          <w:color w:val="000000" w:themeColor="text1"/>
        </w:rPr>
        <w:br/>
        <w:t>2) Continue to monitor school level fidelity of implementation to ensure improved student outcomes are achieved/improved.</w:t>
      </w:r>
      <w:r w:rsidRPr="00781112">
        <w:rPr>
          <w:color w:val="000000" w:themeColor="text1"/>
        </w:rPr>
        <w:br/>
        <w:t>3) Continue to monitor student level outcomes to ensure student outcomes are achieved/improved.</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evidence-based practices implemented in the reporting period include:</w:t>
      </w:r>
      <w:r w:rsidRPr="00781112">
        <w:rPr>
          <w:color w:val="000000" w:themeColor="text1"/>
        </w:rPr>
        <w:br/>
      </w:r>
      <w:r w:rsidRPr="00781112">
        <w:rPr>
          <w:color w:val="000000" w:themeColor="text1"/>
        </w:rPr>
        <w:br/>
        <w:t>1) Intensive technical assistance has been provided to participating school as part of the Indiana Priorities for Early Literacy Implementation Plan (https://media.doe.in.gov/news/indianas-priorities-for-early-literacy-final.pdf).</w:t>
      </w:r>
      <w:r w:rsidRPr="00781112">
        <w:rPr>
          <w:color w:val="000000" w:themeColor="text1"/>
        </w:rPr>
        <w:br/>
        <w:t>2) Instructional Coaching to implement identified district-level change for SSIP schools (as noted in the Early Literacy Implementation plan linked above).</w:t>
      </w:r>
      <w:r w:rsidRPr="00781112">
        <w:rPr>
          <w:color w:val="000000" w:themeColor="text1"/>
        </w:rPr>
        <w:br/>
        <w:t>3) Science of Reading as defined within the Indiana Priorities for Early Literacy Implementation Plan (https://media.doe.in.gov/news/indianas-priorities-for-early-literacy-final.pdf).</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IDOE is supporting a coaching model as part of the Early Literacy Implementation Plan that includes intensive, on-going technical assistance and in-district instructional coaching. The purpose of coaching is to provide consistent, job-embedded support to teachers based on research-based practices. IDOE will provide transformational coaching to help teachers make appropriate instructional changes that will improve student outcomes through the implementation of the Science of Reading. Research supports the effectiveness of coaching, and shows that at its foundation, it has resulted in an “increase [of] the instructional capacity of schools and teachers, a known prerequisite for increasing learning” (Neufeld &amp; Roper, 2003). The increase in instructional capacity leading to increased learning is the ultimate goal of all schools. Coaching, because of its emphasis on the involvement of educators as well as administrators and ongoing professional development, encourages program sustainability.</w:t>
      </w:r>
      <w:r w:rsidRPr="00781112">
        <w:rPr>
          <w:color w:val="000000" w:themeColor="text1"/>
        </w:rPr>
        <w:br/>
      </w:r>
      <w:r w:rsidRPr="00781112">
        <w:rPr>
          <w:color w:val="000000" w:themeColor="text1"/>
        </w:rPr>
        <w:br/>
        <w:t xml:space="preserve">Research supports that the greatest benefit to coaching, as a form of professional development, is that the support is job-embedded and continuous (Darling-Hammond et al., 2017). When educators receive consistent and relevant support that can be used specific to the needs of their students and themselves, they have a greater likelihood of implementing new instructional practices or carrying out new initiatives with fidelity. Because Indiana’s Priorities for Early Literacy is rooted in the importance of early literacy instruction’s focus on the Science of Reading, it requires that teachers are well-trained, regularly-supported, and continuously-developed in this approach to reading instruction. This accessibility to support is the missing piece for the </w:t>
      </w:r>
      <w:r w:rsidRPr="00781112">
        <w:rPr>
          <w:color w:val="000000" w:themeColor="text1"/>
        </w:rPr>
        <w:lastRenderedPageBreak/>
        <w:t>majority of educator professional development. Providing a coach in schools will give teachers a common source of guidance and information that is necessary for them to seek improvement and change. It will also support and encourage a community of professionals continuing to learn from each other.</w:t>
      </w:r>
      <w:r w:rsidRPr="00781112">
        <w:rPr>
          <w:color w:val="000000" w:themeColor="text1"/>
        </w:rPr>
        <w:br/>
      </w:r>
      <w:r w:rsidRPr="00781112">
        <w:rPr>
          <w:color w:val="000000" w:themeColor="text1"/>
        </w:rPr>
        <w:br/>
        <w:t>In addition to yielding results in student achievement, coaching provides high-quality professional development. In a study of student achievement before and after the implementation of a coaching model, “There was a significantly greater percentage of students scoring at proficiency and a significantly smaller percentage of students scoring at-risk in schools where coaches spent more time working with teachers” (Bean, 2010). These outcomes have been reflected in multiple states like Mississippi and Louisiana, which have also used coaching as the main strategy to improve student literacy achievement. Specifically, Neufeld and Roper (2003) outline the positive improvements resulting from implementing a coaching model:</w:t>
      </w:r>
      <w:r w:rsidRPr="00781112">
        <w:rPr>
          <w:color w:val="000000" w:themeColor="text1"/>
        </w:rPr>
        <w:br/>
        <w:t>1) Translation of teacher development into classroom practice;</w:t>
      </w:r>
      <w:r w:rsidRPr="00781112">
        <w:rPr>
          <w:color w:val="000000" w:themeColor="text1"/>
        </w:rPr>
        <w:br/>
        <w:t>2) A willingness among teachers to share their practice with one another and seek learning opportunities from peers and coaches as well as a willingness to assume collective responsibility for their students’ learning;</w:t>
      </w:r>
      <w:r w:rsidRPr="00781112">
        <w:rPr>
          <w:color w:val="000000" w:themeColor="text1"/>
        </w:rPr>
        <w:br/>
        <w:t>3) High-quality principal leadership of instructional improvement;</w:t>
      </w:r>
      <w:r w:rsidRPr="00781112">
        <w:rPr>
          <w:color w:val="000000" w:themeColor="text1"/>
        </w:rPr>
        <w:br/>
        <w:t>4) Successful school cultures based on instruction being the focus of teacher and principal interaction; and</w:t>
      </w:r>
      <w:r w:rsidRPr="00781112">
        <w:rPr>
          <w:color w:val="000000" w:themeColor="text1"/>
        </w:rPr>
        <w:br/>
        <w:t>5) Instructional advancement informed by achievement data.</w:t>
      </w:r>
      <w:r w:rsidRPr="00781112">
        <w:rPr>
          <w:color w:val="000000" w:themeColor="text1"/>
        </w:rPr>
        <w:br/>
      </w:r>
      <w:r w:rsidRPr="00781112">
        <w:rPr>
          <w:color w:val="000000" w:themeColor="text1"/>
        </w:rPr>
        <w:br/>
        <w:t>The Science of Reading is a term used to describe the body of research about “reading, reading development, and best practices for reading instruction” (Petscher et al., 2020). There are several important facts about this body of research (Defining Movement, 2021; Petscher et al., 2020):</w:t>
      </w:r>
      <w:r w:rsidRPr="00781112">
        <w:rPr>
          <w:color w:val="000000" w:themeColor="text1"/>
        </w:rPr>
        <w:br/>
        <w:t>1. It is interdisciplinary. These studies have been conducted by numerous independent researchers from separate, but connected, fields such as education,</w:t>
      </w:r>
      <w:r w:rsidRPr="00781112">
        <w:rPr>
          <w:color w:val="000000" w:themeColor="text1"/>
        </w:rPr>
        <w:br/>
        <w:t>psychology (e.g., cognitive, developmental, school), linguistics, neuroscience, implementation science, etc.</w:t>
      </w:r>
      <w:r w:rsidRPr="00781112">
        <w:rPr>
          <w:color w:val="000000" w:themeColor="text1"/>
        </w:rPr>
        <w:br/>
        <w:t>2. It is substantial and well-established. It encompasses thousands of studies that have been conducted over the past 50 years.</w:t>
      </w:r>
      <w:r w:rsidRPr="00781112">
        <w:rPr>
          <w:color w:val="000000" w:themeColor="text1"/>
        </w:rPr>
        <w:br/>
        <w:t>3. It is high-quality and scientifically-based. These studies use methods and procedures that are “rigorous, systemic, and objective” (ESSA, S.1177 - 114th</w:t>
      </w:r>
      <w:r w:rsidRPr="00781112">
        <w:rPr>
          <w:color w:val="000000" w:themeColor="text1"/>
        </w:rPr>
        <w:br/>
        <w:t xml:space="preserve">Congress 2015). </w:t>
      </w:r>
      <w:r w:rsidRPr="00781112">
        <w:rPr>
          <w:color w:val="000000" w:themeColor="text1"/>
        </w:rPr>
        <w:br/>
        <w:t>For additional information related to the evidence base for as part of the State Early Literacy Implementation Plan see https://media.doe.in.gov/news/indianas-priorities-for-early-literacy-final.pdf.</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Coaching: As noted previously, the greatest benefit to coaching, as a form of professional development, is that the support is job-embedded and continuous (Darling-Hammond et al., 2017). When educators receive consistent and relevant support that can be used specific to the needs of their students and themselves, they have a greater likelihood of implementing new instructional practices or carrying out new initiatives with fidelity resulting in improved student outcomes.</w:t>
      </w:r>
      <w:r w:rsidRPr="00781112">
        <w:rPr>
          <w:color w:val="000000" w:themeColor="text1"/>
        </w:rPr>
        <w:br/>
      </w:r>
      <w:r w:rsidRPr="00781112">
        <w:rPr>
          <w:color w:val="000000" w:themeColor="text1"/>
        </w:rPr>
        <w:br/>
        <w:t>Intensive TA: Although many factors contribute to low literacy levels, it is important for schools and education professionals to focus on malleable factors. One of these factors is providing educators with high-quality professional development and training about the Science of Reading, which includes information about reading and the structure of language, reading development, and effective practices for instruction (Moats, 2020a; Seidenberg &amp; Borkenhagen, 2020). The focus of the SSIP is to help educators better understand the Science of Reading to identify and implement effective instructional practices that can prevent reading difficulties and support literacy outcomes for students with disabilities.</w:t>
      </w:r>
      <w:r w:rsidRPr="00781112">
        <w:rPr>
          <w:color w:val="000000" w:themeColor="text1"/>
        </w:rPr>
        <w:br/>
      </w:r>
      <w:r w:rsidRPr="00781112">
        <w:rPr>
          <w:color w:val="000000" w:themeColor="text1"/>
        </w:rPr>
        <w:br/>
        <w:t>Early Literacy: In addition to research about reading and reading development, the Science of Reading includes numerous scientific studies about effective reading instruction and intervention, including what to teach (content) and how to teach it (methods and practices). The results from these studies have been synthesized in numerous systematic reviews and meta-analyses and have important implications for teaching literacy to students in grades K-12. This will result in improved teacher practices and improved student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data collected to monitor fidelity of implementation and to assess practice change includes coach observation of teacher instruction with feedback and student outcome data.</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 additional data was collected.</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current SSIP and the evidence-based practices identified will continue through the next reporting period. Anticipated outcomes include improved teacher practices and fidelity of implementation of the instructional practices being learned and continued improvement in student outcomes.</w:t>
      </w:r>
      <w:r w:rsidRPr="00781112">
        <w:rPr>
          <w:color w:val="000000" w:themeColor="text1"/>
        </w:rPr>
        <w:br/>
      </w:r>
      <w:r w:rsidRPr="00781112">
        <w:rPr>
          <w:color w:val="000000" w:themeColor="text1"/>
        </w:rPr>
        <w:br/>
        <w:t>The district instructional coach will continue to participate in State supported intensive technical assistance related to the implementation of the Science of Reading. The instructional coach will implement the practices gained from technical assistance through a train-the-trainer model impacting teacher practices and ultimately student outcomes.</w:t>
      </w:r>
      <w:r w:rsidRPr="00781112">
        <w:rPr>
          <w:color w:val="000000" w:themeColor="text1"/>
        </w:rPr>
        <w:br/>
      </w:r>
      <w:r w:rsidRPr="00781112">
        <w:rPr>
          <w:color w:val="000000" w:themeColor="text1"/>
        </w:rPr>
        <w:br/>
        <w:t>As part of the process to revise the SSIP and completion of the three phases, the State, with input from the Stakeholder group, will be identifying evidence based practices related to the proposed, revised SiMR as Phasei: Analysis continues.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The state will continue the current SSIP.  The evaluation data analyzed to support the decision to implement the current SSIP without modifications includes:</w:t>
      </w:r>
      <w:r w:rsidRPr="00781112">
        <w:br/>
      </w:r>
      <w:r w:rsidRPr="00781112">
        <w:lastRenderedPageBreak/>
        <w:t>The SiMR performance data indicates a continue increase the student performance on the State reading assessment (IREAD-3).</w:t>
      </w:r>
      <w:r w:rsidRPr="00781112">
        <w:br/>
        <w:t>Reports from staff participating in intensive TA indicates</w:t>
      </w:r>
      <w:r w:rsidRPr="00781112">
        <w:br/>
        <w:t>Reports from Administrators of participating schools indicates</w:t>
      </w:r>
      <w:r w:rsidRPr="00781112">
        <w:br/>
      </w:r>
      <w:r w:rsidRPr="00781112">
        <w:br/>
        <w:t>Following the next reporting period, the current plan will be sustained through support from IDOE unrelated to the SSIP.</w:t>
      </w:r>
      <w:r w:rsidRPr="00781112">
        <w:br/>
      </w:r>
      <w:r w:rsidRPr="00781112">
        <w:br/>
        <w:t>The State intends to provide information related to SSIP modifications in the next annual performance report.  This will be based on the continued Phase I analysis and the upcoming Phase II plan development.</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SSIP team engaged a broad base of stakeholders in 21-22. Stakeholders were intentionally invited to engage in key improvement efforts through a campaign of emails to stakeholders from the SSIP team, inviting them to participate. </w:t>
      </w:r>
      <w:r w:rsidRPr="00781112">
        <w:rPr>
          <w:rFonts w:cs="Arial"/>
          <w:b w:val="0"/>
          <w:color w:val="000000" w:themeColor="text1"/>
          <w:szCs w:val="16"/>
        </w:rPr>
        <w:br/>
      </w:r>
      <w:r w:rsidRPr="00781112">
        <w:rPr>
          <w:rFonts w:cs="Arial"/>
          <w:b w:val="0"/>
          <w:color w:val="000000" w:themeColor="text1"/>
          <w:szCs w:val="16"/>
        </w:rPr>
        <w:br/>
        <w:t xml:space="preserve">Stakeholders included: </w:t>
      </w:r>
      <w:r w:rsidRPr="00781112">
        <w:rPr>
          <w:rFonts w:cs="Arial"/>
          <w:b w:val="0"/>
          <w:color w:val="000000" w:themeColor="text1"/>
          <w:szCs w:val="16"/>
        </w:rPr>
        <w:br/>
        <w:t xml:space="preserve">(a) the State Technical Assistant representatives; </w:t>
      </w:r>
      <w:r w:rsidRPr="00781112">
        <w:rPr>
          <w:rFonts w:cs="Arial"/>
          <w:b w:val="0"/>
          <w:color w:val="000000" w:themeColor="text1"/>
          <w:szCs w:val="16"/>
        </w:rPr>
        <w:br/>
        <w:t xml:space="preserve">(b) participants from SSIP LEAs; </w:t>
      </w:r>
      <w:r w:rsidRPr="00781112">
        <w:rPr>
          <w:rFonts w:cs="Arial"/>
          <w:b w:val="0"/>
          <w:color w:val="000000" w:themeColor="text1"/>
          <w:szCs w:val="16"/>
        </w:rPr>
        <w:br/>
        <w:t xml:space="preserve">(c) parent representatives; </w:t>
      </w:r>
      <w:r w:rsidRPr="00781112">
        <w:rPr>
          <w:rFonts w:cs="Arial"/>
          <w:b w:val="0"/>
          <w:color w:val="000000" w:themeColor="text1"/>
          <w:szCs w:val="16"/>
        </w:rPr>
        <w:br/>
        <w:t xml:space="preserve">(d) Indiana Family and Social Services Administration (FSSA) representatives; and </w:t>
      </w:r>
      <w:r w:rsidRPr="00781112">
        <w:rPr>
          <w:rFonts w:cs="Arial"/>
          <w:b w:val="0"/>
          <w:color w:val="000000" w:themeColor="text1"/>
          <w:szCs w:val="16"/>
        </w:rPr>
        <w:br/>
        <w:t xml:space="preserve">(e) IDOE SSIP stakeholders (SSIP Coordinator, Early Childhood Specialist, Special Education Administrator, Student Supports Administrator, Early Literacy Specialist, Preschool Assessment Specialist, Fiscal Administrator, and Information Technology Administrator). </w:t>
      </w:r>
      <w:r w:rsidRPr="00781112">
        <w:rPr>
          <w:rFonts w:cs="Arial"/>
          <w:b w:val="0"/>
          <w:color w:val="000000" w:themeColor="text1"/>
          <w:szCs w:val="16"/>
        </w:rPr>
        <w:br/>
      </w:r>
      <w:r w:rsidRPr="00781112">
        <w:rPr>
          <w:rFonts w:cs="Arial"/>
          <w:b w:val="0"/>
          <w:color w:val="000000" w:themeColor="text1"/>
          <w:szCs w:val="16"/>
        </w:rPr>
        <w:br/>
        <w:t>The SSIP team convened stakeholders quarterly over the course of the year in March, June, September, and December 2022.</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Throughout the year, the SSIP team used specific strategies to engage stakeholders. In addition to receiving emails with dates and reminders of meetings, stakeholders were also sent pre-reading and pre-work for each meeting, ensuring stakeholders had the opportunity to come to the meeting more prepared. Stakeholders also had opportunities to provide feedback through meeting discussions and post-meeting surveys, discussed later in this section.</w:t>
      </w:r>
      <w:r w:rsidRPr="00781112">
        <w:rPr>
          <w:color w:val="000000" w:themeColor="text1"/>
        </w:rPr>
        <w:br/>
      </w:r>
      <w:r w:rsidRPr="00781112">
        <w:rPr>
          <w:color w:val="000000" w:themeColor="text1"/>
        </w:rPr>
        <w:br/>
        <w:t xml:space="preserve">Meeting topics included: </w:t>
      </w:r>
      <w:r w:rsidRPr="00781112">
        <w:rPr>
          <w:color w:val="000000" w:themeColor="text1"/>
        </w:rPr>
        <w:br/>
        <w:t xml:space="preserve">(a) an overview of SSIP, including the history, definition, current SSIP plan, and Theory of Action; </w:t>
      </w:r>
      <w:r w:rsidRPr="00781112">
        <w:rPr>
          <w:color w:val="000000" w:themeColor="text1"/>
        </w:rPr>
        <w:br/>
        <w:t xml:space="preserve">(b) explanations of meaningful stakeholder engagement and stakeholders’ role in the process; </w:t>
      </w:r>
      <w:r w:rsidRPr="00781112">
        <w:rPr>
          <w:color w:val="000000" w:themeColor="text1"/>
        </w:rPr>
        <w:br/>
        <w:t xml:space="preserve">(c) the FFY 2020 evaluation plan; </w:t>
      </w:r>
      <w:r w:rsidRPr="00781112">
        <w:rPr>
          <w:color w:val="000000" w:themeColor="text1"/>
        </w:rPr>
        <w:br/>
        <w:t xml:space="preserve">(d) infrastructure development and its accomplishments and needed improvements; </w:t>
      </w:r>
      <w:r w:rsidRPr="00781112">
        <w:rPr>
          <w:color w:val="000000" w:themeColor="text1"/>
        </w:rPr>
        <w:br/>
        <w:t xml:space="preserve">(e) evidence-based practices; </w:t>
      </w:r>
      <w:r w:rsidRPr="00781112">
        <w:rPr>
          <w:color w:val="000000" w:themeColor="text1"/>
        </w:rPr>
        <w:br/>
        <w:t xml:space="preserve">(f) SiMR and progress towards goals; </w:t>
      </w:r>
      <w:r w:rsidRPr="00781112">
        <w:rPr>
          <w:color w:val="000000" w:themeColor="text1"/>
        </w:rPr>
        <w:br/>
        <w:t xml:space="preserve">(g) other data, including preschool outcomes, graduation rates, ISPROUT, and ILEARN; and </w:t>
      </w:r>
      <w:r w:rsidRPr="00781112">
        <w:rPr>
          <w:color w:val="000000" w:themeColor="text1"/>
        </w:rPr>
        <w:br/>
        <w:t xml:space="preserve">(h) preschool and national discipline data. </w:t>
      </w:r>
      <w:r w:rsidRPr="00781112">
        <w:rPr>
          <w:color w:val="000000" w:themeColor="text1"/>
        </w:rPr>
        <w:br/>
      </w:r>
      <w:r w:rsidRPr="00781112">
        <w:rPr>
          <w:color w:val="000000" w:themeColor="text1"/>
        </w:rPr>
        <w:br/>
        <w:t>During quarterly meetings, time for discussion, questions, and feedback was built into the agenda throughout the meetings and at the conclusion.</w:t>
      </w:r>
      <w:r w:rsidRPr="00781112">
        <w:rPr>
          <w:color w:val="000000" w:themeColor="text1"/>
        </w:rPr>
        <w:br/>
        <w:t>Stakeholders were surveyed throughout the year. Ahead of the Quarter 1 stakeholder meeting, stakeholders were surveyed to share their prior knowledge of SSIP, the areas the SSIP team should prioritize in the meeting, their perceived degree of helpfulness of the SSIP, and an open response for additional information the SSIP team could provide. In the Quarter 1 survey, half of respondents were unsure about their knowledge of SSIP, while 50% felt they had a good understanding of it. Respondents shared that they would like to prioritize stakeholder education, technical assistance activities, and the evaluation plan during the Quarter 1 meeting. The survey results were used to build the agenda for the sequence and content of the quarterly meetings.</w:t>
      </w:r>
      <w:r w:rsidRPr="00781112">
        <w:rPr>
          <w:color w:val="000000" w:themeColor="text1"/>
        </w:rPr>
        <w:br/>
      </w:r>
      <w:r w:rsidRPr="00781112">
        <w:rPr>
          <w:color w:val="000000" w:themeColor="text1"/>
        </w:rPr>
        <w:br/>
        <w:t xml:space="preserve">Following the last quarterly meeting, another survey was administered. All participants shared that they understood their role as a stakeholder after attending the stakeholder meetings. One hundred percent of respondents indicated that the information provided to them from IDOE was timely and allowed stakeholders to effectively make informed decisions, and all survey respondents indicated that they would like to continue participating as an SSIP stakeholder.  Based on the Quarter 4 survey, areas for improvement emerged. SSIP stakeholders shared that a more strategic effort is needed to ensure that the data collected and findings could be implemented to impact student achievement. Stakeholders expressed that more action is needed after results are analyzed so that the results can be useful in informing improvements.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The State is addressing concerns expressed by stakeholders through the process of analysis as defined within the three phases of the SSIP.  Based on the analysis completed thus far, the State, with stakeholder input, identified that preschool outcomes are the area in most need of support. This identification led to the proposed, revised SiMR discussed previously.</w:t>
      </w:r>
      <w:r w:rsidRPr="00781112">
        <w:rPr>
          <w:color w:val="000000" w:themeColor="text1"/>
        </w:rPr>
        <w:br/>
        <w:t>An analysis of the State infrastructure to support improvement and build capacity is underway with the stakeholder group, which will lead to the selection of coherent improvement strategies and the potential revision of the Theory of Action.</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As noted previously, the State intends to revise the SSIP and continue implementing the three phases of the SSIP. Currently, the State, with a stakeholder group, have completed a portion of the Analysis Phase and intend to continue in this phase, moving then to the Phase II: Plan.</w:t>
      </w:r>
      <w:r w:rsidRPr="00781112">
        <w:rPr>
          <w:color w:val="000000" w:themeColor="text1"/>
        </w:rPr>
        <w:br/>
      </w:r>
      <w:r w:rsidRPr="00781112">
        <w:rPr>
          <w:color w:val="000000" w:themeColor="text1"/>
        </w:rPr>
        <w:br/>
        <w:t>Activities to be completed in the next fiscal year include:</w:t>
      </w:r>
      <w:r w:rsidRPr="00781112">
        <w:rPr>
          <w:color w:val="000000" w:themeColor="text1"/>
        </w:rPr>
        <w:br/>
        <w:t>1) Confirm final version of the SiMR</w:t>
      </w:r>
      <w:r w:rsidRPr="00781112">
        <w:rPr>
          <w:color w:val="000000" w:themeColor="text1"/>
        </w:rPr>
        <w:br/>
        <w:t>2) Continue Analysis of the State Infrastructure to Support Improvement and Build Capacity;</w:t>
      </w:r>
      <w:r w:rsidRPr="00781112">
        <w:rPr>
          <w:color w:val="000000" w:themeColor="text1"/>
        </w:rPr>
        <w:br/>
        <w:t>3) Select Coherent Improvement Strategies</w:t>
      </w:r>
      <w:r w:rsidRPr="00781112">
        <w:rPr>
          <w:color w:val="000000" w:themeColor="text1"/>
        </w:rPr>
        <w:br/>
        <w:t>4) Develop the State Theory of Action</w:t>
      </w:r>
      <w:r w:rsidRPr="00781112">
        <w:rPr>
          <w:color w:val="000000" w:themeColor="text1"/>
        </w:rPr>
        <w:br/>
      </w:r>
      <w:r w:rsidRPr="00781112">
        <w:rPr>
          <w:color w:val="000000" w:themeColor="text1"/>
        </w:rPr>
        <w:lastRenderedPageBreak/>
        <w:t>5) Determine Infrastructure Development Plan including the plan to support LEAs in the Implementation of the identified evidence based practices</w:t>
      </w:r>
      <w:r w:rsidRPr="00781112">
        <w:rPr>
          <w:color w:val="000000" w:themeColor="text1"/>
        </w:rPr>
        <w:br/>
        <w:t>6) Develop the Evaluation Plan</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Related to the revision plan:</w:t>
      </w:r>
      <w:r w:rsidRPr="00781112">
        <w:rPr>
          <w:color w:val="000000" w:themeColor="text1"/>
        </w:rPr>
        <w:br/>
        <w:t>1) Complete Phase I by May 2023</w:t>
      </w:r>
      <w:r w:rsidRPr="00781112">
        <w:rPr>
          <w:color w:val="000000" w:themeColor="text1"/>
        </w:rPr>
        <w:br/>
        <w:t>2) Complete Phase II by December 2023</w:t>
      </w:r>
      <w:r w:rsidRPr="00781112">
        <w:rPr>
          <w:color w:val="000000" w:themeColor="text1"/>
        </w:rPr>
        <w:br/>
        <w:t>3) Submit SSIP (with modifications) as part of the SPP/APR by February 2024</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 newly identified barriers have been identified related to the current SSIP.</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Angela Vaughn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Director of Monitoring &amp; Compliance</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AVaughn@doe.in.gov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317-234-5941</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9:14:02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BA1ACEB" w14:textId="652CFDB1" w:rsidR="00E651FE" w:rsidRPr="00E651FE" w:rsidRDefault="00E651FE" w:rsidP="00E651FE">
      <w:pPr>
        <w:rPr>
          <w:b/>
          <w:bCs/>
          <w:sz w:val="20"/>
          <w:szCs w:val="28"/>
        </w:rPr>
      </w:pPr>
      <w:r w:rsidRPr="00E651FE">
        <w:rPr>
          <w:b/>
          <w:bCs/>
          <w:sz w:val="20"/>
          <w:szCs w:val="28"/>
        </w:rPr>
        <w:t>Indiana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91.67%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24</w:t>
            </w:r>
          </w:p>
        </w:tc>
        <w:tc>
          <w:tcPr>
            <w:tcW w:w="1218" w:type="pct"/>
          </w:tcPr>
          <w:p w14:paraId="0E3866D0" w14:textId="74D5D84B" w:rsidR="00E1330D" w:rsidRPr="00210AC6" w:rsidRDefault="00E1330D" w:rsidP="00E1330D">
            <w:pPr>
              <w:rPr>
                <w:rFonts w:cs="Arial"/>
                <w:szCs w:val="16"/>
              </w:rPr>
            </w:pPr>
            <w:r w:rsidRPr="00210AC6">
              <w:rPr>
                <w:rFonts w:cs="Arial"/>
                <w:szCs w:val="16"/>
              </w:rPr>
              <w:t>100.00%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83.33%</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94%</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90%</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30%</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98%</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31%</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98%</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94%</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90%</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56%</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97%</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26%</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97%</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10</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80</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0.52%</w:t>
            </w:r>
          </w:p>
        </w:tc>
        <w:tc>
          <w:tcPr>
            <w:tcW w:w="832" w:type="pct"/>
          </w:tcPr>
          <w:p w14:paraId="1628449A" w14:textId="0D758D3E" w:rsidR="00AA1152" w:rsidRPr="00210AC6" w:rsidRDefault="00AA1152" w:rsidP="00AA1152">
            <w:pPr>
              <w:rPr>
                <w:rFonts w:cs="Arial"/>
                <w:szCs w:val="16"/>
              </w:rPr>
            </w:pPr>
            <w:r w:rsidRPr="00210AC6">
              <w:rPr>
                <w:rFonts w:cs="Arial"/>
                <w:szCs w:val="16"/>
              </w:rPr>
              <w:t>YES</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1.16%</w:t>
            </w:r>
          </w:p>
        </w:tc>
        <w:tc>
          <w:tcPr>
            <w:tcW w:w="832" w:type="pct"/>
          </w:tcPr>
          <w:p w14:paraId="1CE885A0" w14:textId="000A00A6" w:rsidR="00AA1152" w:rsidRPr="00210AC6" w:rsidRDefault="00AA1152" w:rsidP="00AA1152">
            <w:pPr>
              <w:rPr>
                <w:rFonts w:cs="Arial"/>
                <w:szCs w:val="16"/>
              </w:rPr>
            </w:pPr>
            <w:r w:rsidRPr="00210AC6">
              <w:rPr>
                <w:rFonts w:cs="Arial"/>
                <w:szCs w:val="16"/>
              </w:rPr>
              <w:t>NO</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97.28%</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96.19%</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52.99%</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758FAE5" w14:textId="77777777" w:rsidR="00E651FE" w:rsidRPr="00E651FE" w:rsidRDefault="00E651FE" w:rsidP="00E651FE">
      <w:pPr>
        <w:rPr>
          <w:b/>
          <w:bCs/>
          <w:sz w:val="20"/>
          <w:szCs w:val="28"/>
        </w:rPr>
      </w:pPr>
      <w:r w:rsidRPr="00E651FE">
        <w:rPr>
          <w:b/>
          <w:bCs/>
          <w:sz w:val="20"/>
          <w:szCs w:val="28"/>
        </w:rPr>
        <w:t>Indiana</w:t>
      </w:r>
    </w:p>
    <w:p w14:paraId="40B9149F" w14:textId="77777777" w:rsidR="00E651FE" w:rsidRPr="00E651FE" w:rsidRDefault="00E651FE" w:rsidP="00E651FE"/>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B38BC7C" w14:textId="77777777" w:rsidR="00E651FE" w:rsidRDefault="00E651FE">
      <w:pPr>
        <w:spacing w:before="0" w:after="200" w:line="276" w:lineRule="auto"/>
      </w:pPr>
    </w:p>
    <w:p w14:paraId="10BA59E7" w14:textId="227F92B3" w:rsidR="0058254D" w:rsidRDefault="00E651FE">
      <w:pPr>
        <w:spacing w:before="0" w:after="200" w:line="276" w:lineRule="auto"/>
      </w:pPr>
      <w:r>
        <w:object w:dxaOrig="1540" w:dyaOrig="997" w14:anchorId="2B2FFC2D">
          <v:shape id="_x0000_i1026" type="#_x0000_t75" alt="IN-B-DR-2021-22" style="width:76.5pt;height:50.25pt" o:ole="">
            <v:imagedata r:id="rId12" o:title=""/>
          </v:shape>
          <o:OLEObject Type="Embed" ProgID="Acrobat.Document.DC" ShapeID="_x0000_i1026" DrawAspect="Icon" ObjectID="_175205236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B22055">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B2205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2C5B26E4" w14:textId="3BB02166" w:rsidR="00E651FE" w:rsidRPr="00C0187A" w:rsidRDefault="00E651FE" w:rsidP="00E651FE">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C0187A">
        <w:rPr>
          <w:rFonts w:cs="Arial"/>
          <w:szCs w:val="16"/>
        </w:rPr>
        <w:t>ent data source to report data under this indicator.</w:t>
      </w:r>
      <w:bookmarkEnd w:id="5"/>
    </w:p>
  </w:footnote>
  <w:footnote w:id="3">
    <w:p w14:paraId="0ABF59E9" w14:textId="17F3F086" w:rsidR="00C0187A" w:rsidRDefault="00C0187A">
      <w:pPr>
        <w:pStyle w:val="FootnoteText"/>
      </w:pPr>
      <w:r w:rsidRPr="00C0187A">
        <w:rPr>
          <w:rStyle w:val="FootnoteReference"/>
          <w:sz w:val="16"/>
          <w:szCs w:val="16"/>
        </w:rPr>
        <w:footnoteRef/>
      </w:r>
      <w:r w:rsidRPr="00C0187A">
        <w:rPr>
          <w:sz w:val="16"/>
          <w:szCs w:val="16"/>
        </w:rPr>
        <w:t xml:space="preserve"> </w:t>
      </w:r>
      <w:r w:rsidRPr="00C0187A">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B220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AC2"/>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2055"/>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87A"/>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0E9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1FE"/>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47E881B4-5E06-41FA-A103-9FF965534496}"/>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dcmitype/"/>
    <ds:schemaRef ds:uri="http://www.w3.org/XML/1998/namespace"/>
    <ds:schemaRef ds:uri="292db1e8-b3d0-4356-8ef3-2a6d7ed77883"/>
    <ds:schemaRef ds:uri="http://schemas.microsoft.com/sharepoint/v3"/>
    <ds:schemaRef ds:uri="http://schemas.microsoft.com/office/2006/metadata/properties"/>
    <ds:schemaRef ds:uri="4f36bac4-6705-4a36-974b-7c07450fedf2"/>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88</Pages>
  <Words>49585</Words>
  <Characters>282637</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Rachel Coleman</cp:lastModifiedBy>
  <cp:revision>5</cp:revision>
  <cp:lastPrinted>2014-08-19T16:56:00Z</cp:lastPrinted>
  <dcterms:created xsi:type="dcterms:W3CDTF">2023-06-28T18:45:00Z</dcterms:created>
  <dcterms:modified xsi:type="dcterms:W3CDTF">2023-07-28T17:21:00Z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