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Illinois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Illinois is pleased to indicate with the submission of the FFY21/SFY22 State Performance Plan/Annual Performance Report that in this reporting year, the state continues to move forward in ensuring the citizens are afforded appropriate and viable services with a focus on those required by law. Illinois continues to engage stakeholders in reviewing APR data and planning for improvement. Illinois has also received much needed technical assistance and support from the Office Special Education Program (OSEP) State Lead and our Early Childhood Technical Assistance partners to develop strategies for addressing our longstanding noncompliance and responding to new legislative requirements. We have also worked with the OSEP funded technical assistance centers, the Center for IDEA Early Childhood Data Systems (</w:t>
      </w:r>
      <w:proofErr w:type="spellStart"/>
      <w:r w:rsidRPr="00ED172B">
        <w:rPr>
          <w:color w:val="000000" w:themeColor="text1"/>
        </w:rPr>
        <w:t>DaSy</w:t>
      </w:r>
      <w:proofErr w:type="spellEnd"/>
      <w:r w:rsidRPr="00ED172B">
        <w:rPr>
          <w:color w:val="000000" w:themeColor="text1"/>
        </w:rPr>
        <w:t>) and the Early Childhood Technical Assistance Center (ECTA), to improve data quality and the child outcomes summary process. We are also working with them to identify specific strategies for correcting longstanding noncompliance at several Child and Family Connections (CFC) offices. Illinois continues to enhance systems and practices to address the compliance indicators and has dedicated efforts to supporting practice in Illinois' Early Intervention (EI) system which will be demonstrated in future APRs.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Illinois' data continue to be impacted by COVID-19. The everchanging conditions and staffing limitations impacted both the completeness and reliability of our data. As anticipated, the effects of COVID continue to impact both the indicators that use October as a representative month as well as those that use a full year of data (Indicators 3 and 4).  We continue to meet with technical assistance providers from </w:t>
      </w:r>
      <w:proofErr w:type="spellStart"/>
      <w:r w:rsidRPr="00ED172B">
        <w:rPr>
          <w:color w:val="000000" w:themeColor="text1"/>
        </w:rPr>
        <w:t>DaSy</w:t>
      </w:r>
      <w:proofErr w:type="spellEnd"/>
      <w:r w:rsidRPr="00ED172B">
        <w:rPr>
          <w:color w:val="000000" w:themeColor="text1"/>
        </w:rPr>
        <w:t xml:space="preserve"> and ECTA to refine and further develop a process for investigating and addressing longstanding noncompliance for the three compliance indicators. We have begun cross-training Bureau personnel on the requirements for correction and have re-engaged our TA providers with standing calls to address this issue. While we were able to implement portions of the plan, </w:t>
      </w:r>
      <w:proofErr w:type="gramStart"/>
      <w:r w:rsidRPr="00ED172B">
        <w:rPr>
          <w:color w:val="000000" w:themeColor="text1"/>
        </w:rPr>
        <w:t>e.g.</w:t>
      </w:r>
      <w:proofErr w:type="gramEnd"/>
      <w:r w:rsidRPr="00ED172B">
        <w:rPr>
          <w:color w:val="000000" w:themeColor="text1"/>
        </w:rPr>
        <w:t xml:space="preserve"> subsequent reviews of data subsets and initial reviews of program requirements, we were not able to engage CFCs in the enhanced level of support we had hoped to provide. Both lead agency staff and program resources continued to be needed to address the changing needs of the program due to the pandemic. Program staff continue to report high levels of stress and challenges with staff recruitment. In addition, the lead agency, itself, was experiencing vacancies that challenged available resources. For these reasons, we were concerned about adding additional activities/responsibilities to already stressed systems and knew that we wouldn't be able to move our process forward in the way we had anticipated.</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Illinois Department of Human Services (Department) serves as Illinois' Lead Agency. The Bureau of Early Intervention (Bureau) has staff allocated for general administration and supervision for compliance with the requirements set forth in the Individuals with Disabilities Education Act (IDEA) Part C. Illinois enacted the Early Intervention Services System Act (Act) (325 ILCS20 et. seq.) which establishes a statewide system of coordinated, comprehensive, interagency and interdisciplinary programs to be used in planning, implementation, coordination and evaluation of the statewide system of locally based early intervention services. As authorized and required by the Act, the Department promulgated detailed rules and regulations to reflect the intent of federal regulations contained in IDEA Part C. They are set forth in the Illinois Administrative Code (89 IL Admin. Code 500 et. seq.). </w:t>
      </w:r>
      <w:r w:rsidRPr="00ED172B">
        <w:rPr>
          <w:color w:val="000000" w:themeColor="text1"/>
          <w:szCs w:val="16"/>
        </w:rPr>
        <w:br/>
      </w:r>
      <w:r w:rsidRPr="00ED172B">
        <w:rPr>
          <w:color w:val="000000" w:themeColor="text1"/>
          <w:szCs w:val="16"/>
        </w:rPr>
        <w:br/>
        <w:t>The Department, through its EI Bureau, sets and disseminates policies and procedures for the provision of EI services through administrative rule, the Child and Family Connections Procedure Manual, the EI Provider Handbook, administrative contracts and payee agreements, and the State of Illinois Infant/Toddler &amp; Family Rights under IDEA booklet. In FFY21, there were several substantive changes to policy and procedure. This was largely related to legislation that was passed to extend EI services past children's third birthday for a subset of children. We worked closely with our OSEP lead and other partners to make these changes. We are continuing to work with these same partners to address additional changes that will be required due to two other pieces of legislation.</w:t>
      </w:r>
      <w:r w:rsidRPr="00ED172B">
        <w:rPr>
          <w:color w:val="000000" w:themeColor="text1"/>
          <w:szCs w:val="16"/>
        </w:rPr>
        <w:br/>
      </w:r>
      <w:r w:rsidRPr="00ED172B">
        <w:rPr>
          <w:color w:val="000000" w:themeColor="text1"/>
          <w:szCs w:val="16"/>
        </w:rPr>
        <w:br/>
        <w:t xml:space="preserve">There are 25 Child &amp; Family Connections (CFC) offices covering all geographic areas of Illinois, and Cornerstone remains the statewide data system that collects and stores child and family information, generates authorizations for services, and interfaces with other systems to track and produce payments. The Bureau relies extensively on this data system to monitor the performance of the 25 CFC offices. Data from this system is shared monthly with the CFC offices so they can use the data to make improvements. The Bureau issues letters sharing Findings of Noncompliance with each CFC on an annual basis. Additionally, each CFC office has a Determination Scorecard based on their performance. The CFC's Scorecard guides monitoring, technical assistance, training and CAP reporting. </w:t>
      </w:r>
      <w:r w:rsidRPr="00ED172B">
        <w:rPr>
          <w:color w:val="000000" w:themeColor="text1"/>
          <w:szCs w:val="16"/>
        </w:rPr>
        <w:br/>
      </w:r>
      <w:r w:rsidRPr="00ED172B">
        <w:rPr>
          <w:color w:val="000000" w:themeColor="text1"/>
          <w:szCs w:val="16"/>
        </w:rPr>
        <w:br/>
        <w:t xml:space="preserve">The Illinois EI Monitoring Program (http://www.earlyinterventionmonitoring.org/) conducts monitoring activities of the CFC offices and EI direct service providers. During FFY21, CFC offices and credentialed and/or enrolled service providers were monitored through offsite file reviews. All 25 CFC offices and 65 percent of the approximately 1600 EI payees that billed for services during the preceding fiscal year were subject to the compliance monitoring process. Any payees not monitored </w:t>
      </w:r>
      <w:proofErr w:type="gramStart"/>
      <w:r w:rsidRPr="00ED172B">
        <w:rPr>
          <w:color w:val="000000" w:themeColor="text1"/>
          <w:szCs w:val="16"/>
        </w:rPr>
        <w:t>in a given year</w:t>
      </w:r>
      <w:proofErr w:type="gramEnd"/>
      <w:r w:rsidRPr="00ED172B">
        <w:rPr>
          <w:color w:val="000000" w:themeColor="text1"/>
          <w:szCs w:val="16"/>
        </w:rPr>
        <w:t xml:space="preserve"> are the highest priority for monitoring in the subsequent fiscal year review cycle (assuming they are still an active payee). </w:t>
      </w:r>
      <w:proofErr w:type="gramStart"/>
      <w:r w:rsidRPr="00ED172B">
        <w:rPr>
          <w:color w:val="000000" w:themeColor="text1"/>
          <w:szCs w:val="16"/>
        </w:rPr>
        <w:t>Additionally</w:t>
      </w:r>
      <w:proofErr w:type="gramEnd"/>
      <w:r w:rsidRPr="00ED172B">
        <w:rPr>
          <w:color w:val="000000" w:themeColor="text1"/>
          <w:szCs w:val="16"/>
        </w:rPr>
        <w:t xml:space="preserve"> payees may be monitored more frequently based on prior non-compliance or the direction of the Bureau. </w:t>
      </w:r>
      <w:r w:rsidRPr="00ED172B">
        <w:rPr>
          <w:color w:val="000000" w:themeColor="text1"/>
          <w:szCs w:val="16"/>
        </w:rPr>
        <w:br/>
      </w:r>
      <w:r w:rsidRPr="00ED172B">
        <w:rPr>
          <w:color w:val="000000" w:themeColor="text1"/>
          <w:szCs w:val="16"/>
        </w:rPr>
        <w:br/>
        <w:t>EI Monitoring additionally provides each CFC office a focused verification monitoring review at a minimum of once every three years or upon the request of the Bureau. The focused verification monitoring review includes 1) file review(s) to verify improvement of noncompliance identified within the past six months, 2) file review(s) to gather data and provide technical assistance on areas of needed improvement at the direction of the Bureau of Early Intervention (</w:t>
      </w:r>
      <w:proofErr w:type="gramStart"/>
      <w:r w:rsidRPr="00ED172B">
        <w:rPr>
          <w:color w:val="000000" w:themeColor="text1"/>
          <w:szCs w:val="16"/>
        </w:rPr>
        <w:t>e.g.</w:t>
      </w:r>
      <w:proofErr w:type="gramEnd"/>
      <w:r w:rsidRPr="00ED172B">
        <w:rPr>
          <w:color w:val="000000" w:themeColor="text1"/>
          <w:szCs w:val="16"/>
        </w:rPr>
        <w:t xml:space="preserve"> functional outcomes), and 3) CFC Program Manager and CFC Service Coordinator exit meetings and linkage to resources. Through file reviews and annual monitoring visits (conducted virtually in FFY21), the EI Monitoring Program assesses compliance with determinations relating to administrative processes and procedures. During this review, the EI Monitoring Program identifies any areas of noncompliance, documents the correction of noncompliance, and provides technical assistance as necessary. The provision of technical assistance is an integral part of the monitoring process, and issues are addressed immediately upon the completion of an onsite monitoring visit. Payees who were previously monitored could be scheduled for subsequent compliance monitoring based upon the outcome of the previous review. The EI Monitoring Program randomly selects 10% of the EI payee's caseload for file reviews. </w:t>
      </w:r>
      <w:r w:rsidRPr="00ED172B">
        <w:rPr>
          <w:color w:val="000000" w:themeColor="text1"/>
          <w:szCs w:val="16"/>
        </w:rPr>
        <w:br/>
      </w:r>
      <w:r w:rsidRPr="00ED172B">
        <w:rPr>
          <w:color w:val="000000" w:themeColor="text1"/>
          <w:szCs w:val="16"/>
        </w:rPr>
        <w:br/>
        <w:t xml:space="preserve">Dispute Resolution is handled by staff in the Bureau. Resources are provided to parents both as they enter and while they are engaged in Early Intervention to assist them in understanding their rights for Dispute Resolution. Online forms and contact information are part of the process that makes information available through various avenues. Translation for Spanish-speaking families is also available. The Bureau accepts and dispositions all Dispute Resolutions, including Mediation and Due Process Hearings. The Bureau has an inter-agency agreement with the Illinois Department of </w:t>
      </w:r>
      <w:r w:rsidRPr="00ED172B">
        <w:rPr>
          <w:color w:val="000000" w:themeColor="text1"/>
          <w:szCs w:val="16"/>
        </w:rPr>
        <w:lastRenderedPageBreak/>
        <w:t xml:space="preserve">Healthcare and Family Services for impartial and unbiased officials to organize Due Process Hearings when needed. The State adopted Mediation and Due Process procedures in 34 CFR §300.506 through §300.512 and developed procedures that meet the requirements of §303.440. Several legal staff within the Department are available to facilitate the development and negotiation of all resolution session agreements. An electronic database is in place to track Due Process complaints. </w:t>
      </w:r>
      <w:r w:rsidRPr="00ED172B">
        <w:rPr>
          <w:color w:val="000000" w:themeColor="text1"/>
          <w:szCs w:val="16"/>
        </w:rPr>
        <w:br/>
      </w:r>
      <w:r w:rsidRPr="00ED172B">
        <w:rPr>
          <w:color w:val="000000" w:themeColor="text1"/>
          <w:szCs w:val="16"/>
        </w:rPr>
        <w:br/>
        <w:t xml:space="preserve">The Department contracts with the EI Central Billing Office, CBO, (http://www.eicbo.info/) to process paper and electronic service provider claims and to create provider claim summaries as part of the fee-for-service delivery system; generate vouchers; submit Medicaid claims to the Illinois Department of Healthcare and Family Services (HFS); </w:t>
      </w:r>
      <w:proofErr w:type="gramStart"/>
      <w:r w:rsidRPr="00ED172B">
        <w:rPr>
          <w:color w:val="000000" w:themeColor="text1"/>
          <w:szCs w:val="16"/>
        </w:rPr>
        <w:t>and,</w:t>
      </w:r>
      <w:proofErr w:type="gramEnd"/>
      <w:r w:rsidRPr="00ED172B">
        <w:rPr>
          <w:color w:val="000000" w:themeColor="text1"/>
          <w:szCs w:val="16"/>
        </w:rPr>
        <w:t xml:space="preserve"> prepare and forward claims for federal matching funds. In addition, the CBO maintains insurance coverage information, including waivers and exemptions, provides insurance billing services, and invoices, collects and updates the family participation fee accounts (which has included issuing all families fee credits during the pandemic). They also provide the family with an Explanation of Benefits (EOB), which accounts for all monthly provider claims to families. The EI Monitoring Program safeguards the rights of families to receive appropriate services and supports by investigating parent billing complaints submitted to the Bureau or to the EI Central Billing Office regarding the appropriate billing of services.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Illinois’ system for technical assistance encompasses the Bureau and its contract entities. The Bureau supports technical assistance as a key function described in the contracts with the local CFC offices, the EI Training Program, the EI Monitoring Program, the EI Clearinghouse, the EI Central Billing Office, and the EI Credentialing program. The Bureau’s website and its contractual partners’ websites ensure the availability of Illinois-specific as well as national information and resources to EI providers, the CFCs, stakeholders and families. These vital partners support the delivery of high quality and evidence-based technical assistance. Monthly meetings with the EI Contracted Partners ensures they </w:t>
      </w:r>
      <w:proofErr w:type="gramStart"/>
      <w:r w:rsidRPr="00ED172B">
        <w:rPr>
          <w:color w:val="000000" w:themeColor="text1"/>
          <w:szCs w:val="16"/>
        </w:rPr>
        <w:t>are able to</w:t>
      </w:r>
      <w:proofErr w:type="gramEnd"/>
      <w:r w:rsidRPr="00ED172B">
        <w:rPr>
          <w:color w:val="000000" w:themeColor="text1"/>
          <w:szCs w:val="16"/>
        </w:rPr>
        <w:t xml:space="preserve"> provide informed support during their interactions with EI participants, providers, local community partners and families currently being served or those interested in the program. Illinois benefits from its relationships with state and national leaders in early childhood development and education </w:t>
      </w:r>
      <w:proofErr w:type="gramStart"/>
      <w:r w:rsidRPr="00ED172B">
        <w:rPr>
          <w:color w:val="000000" w:themeColor="text1"/>
          <w:szCs w:val="16"/>
        </w:rPr>
        <w:t>whom</w:t>
      </w:r>
      <w:proofErr w:type="gramEnd"/>
      <w:r w:rsidRPr="00ED172B">
        <w:rPr>
          <w:color w:val="000000" w:themeColor="text1"/>
          <w:szCs w:val="16"/>
        </w:rPr>
        <w:t xml:space="preserve"> contribute a wealth of knowledge and expertise.</w:t>
      </w:r>
      <w:r w:rsidRPr="00ED172B">
        <w:rPr>
          <w:color w:val="000000" w:themeColor="text1"/>
          <w:szCs w:val="16"/>
        </w:rPr>
        <w:br/>
      </w:r>
      <w:r w:rsidRPr="00ED172B">
        <w:rPr>
          <w:color w:val="000000" w:themeColor="text1"/>
          <w:szCs w:val="16"/>
        </w:rPr>
        <w:br/>
        <w:t>Each CFC office houses Local Interagency Council (LIC) activities to provide technical assistance to its provider community. The needs are assessed through current events and/or needs assessments. The technical assistance is supported through responses to phone calls and emails, provider meetings, and activities of the LIC. In addition, each CFC office has a required contract with a developmental pediatric consultant for specific services to implement quality assurance activities such as periodic participation in IFSP meetings, consultation on requests for IFSP service changes, technical assistance and training to EI providers and service coordinators to address local system needs, specific disabilities, specific family situations, and outreach to primary referral sources. Each CFC also houses a social emotional consultant for the purposes of reflective consultation to the CFC Program Manager, individual or group consultation as well as coordination of activities including overseeing the implementation of social emotional screening and specialized assessment and/or offering support to IFSP teams when needed.</w:t>
      </w:r>
      <w:r w:rsidRPr="00ED172B">
        <w:rPr>
          <w:color w:val="000000" w:themeColor="text1"/>
          <w:szCs w:val="16"/>
        </w:rPr>
        <w:br/>
      </w:r>
      <w:r w:rsidRPr="00ED172B">
        <w:rPr>
          <w:color w:val="000000" w:themeColor="text1"/>
          <w:szCs w:val="16"/>
        </w:rPr>
        <w:br/>
        <w:t xml:space="preserve">Most functions of the EI Monitoring Program and the EI Central Billing Office are described in the General Supervision System section. Other partners, such as the EI Training Program, the EI Clearinghouse, and Provider Connections are described in the Professional Development section. All are very important sources of technical assistance for the Illinois EI system. In addition, the EI Training Program’s contract includes an EI Ombudsman position. The Ombudsman works with the Bureau, CFC offices and EI providers to ensure fidelity with EI laws, rule, policies, practices and procedures, and promotes the highest attainable evidence-based practices that support the key principles of Illinois’ Early Intervention Program. Illinois’ EI Ombudsman is also thoroughly involved in multiple, national activities centered on early childhood development including such activities as the workgroup for establishing the Division for Early Childhood's (DEC) Recommended Practices and the </w:t>
      </w:r>
      <w:proofErr w:type="spellStart"/>
      <w:r w:rsidRPr="00ED172B">
        <w:rPr>
          <w:color w:val="000000" w:themeColor="text1"/>
          <w:szCs w:val="16"/>
        </w:rPr>
        <w:t>aRPy</w:t>
      </w:r>
      <w:proofErr w:type="spellEnd"/>
      <w:r w:rsidRPr="00ED172B">
        <w:rPr>
          <w:color w:val="000000" w:themeColor="text1"/>
          <w:szCs w:val="16"/>
        </w:rPr>
        <w:t xml:space="preserve"> Ambassador program through the Early Childhood Technical Assistance Center.</w:t>
      </w:r>
      <w:r w:rsidRPr="00ED172B">
        <w:rPr>
          <w:color w:val="000000" w:themeColor="text1"/>
          <w:szCs w:val="16"/>
        </w:rPr>
        <w:br/>
      </w:r>
      <w:r w:rsidRPr="00ED172B">
        <w:rPr>
          <w:color w:val="000000" w:themeColor="text1"/>
          <w:szCs w:val="16"/>
        </w:rPr>
        <w:br/>
        <w:t xml:space="preserve">To best support our CFCs, Bureau staff meet monthly with CFC managers to provide clarification to policies and procedures and address questions and concerns. During the pandemic, an additional monthly meeting was added for additional support to the CFCs. This additional meeting continued throughout FFY21. EI contract partners are also welcome to help support the CFCs during these monthly calls. </w:t>
      </w:r>
      <w:proofErr w:type="gramStart"/>
      <w:r w:rsidRPr="00ED172B">
        <w:rPr>
          <w:color w:val="000000" w:themeColor="text1"/>
          <w:szCs w:val="16"/>
        </w:rPr>
        <w:t>Also</w:t>
      </w:r>
      <w:proofErr w:type="gramEnd"/>
      <w:r w:rsidRPr="00ED172B">
        <w:rPr>
          <w:color w:val="000000" w:themeColor="text1"/>
          <w:szCs w:val="16"/>
        </w:rPr>
        <w:t xml:space="preserve"> during the pandemic and throughout FFY21, updates were posted on Partners' websites to keep stakeholders informed about changing conditions and system responses. EI contractual administrative entities (outside of the CFCs) and Bureau staff also meet monthly to leverage resources, coordinate efforts, and identify additional strategies to meet system needs for technical assistance. Designated Bureau staff provide responses to all inquiries from CFC offices and EI Providers usually via the telephone or email. Informational memos are posted on all available EI websites (DHS and contractual partners) and distributed via email to CFC managers. Updates to manuals and/or documents are provided to all partners and posted on partners' websites to help support the population we serve. </w:t>
      </w:r>
      <w:r w:rsidRPr="00ED172B">
        <w:rPr>
          <w:color w:val="000000" w:themeColor="text1"/>
          <w:szCs w:val="16"/>
        </w:rPr>
        <w:br/>
      </w:r>
      <w:r w:rsidRPr="00ED172B">
        <w:rPr>
          <w:color w:val="000000" w:themeColor="text1"/>
          <w:szCs w:val="16"/>
        </w:rPr>
        <w:br/>
        <w:t xml:space="preserve">The Bureau continues to request and receive technical assistance from </w:t>
      </w:r>
      <w:proofErr w:type="gramStart"/>
      <w:r w:rsidRPr="00ED172B">
        <w:rPr>
          <w:color w:val="000000" w:themeColor="text1"/>
          <w:szCs w:val="16"/>
        </w:rPr>
        <w:t>a number of</w:t>
      </w:r>
      <w:proofErr w:type="gramEnd"/>
      <w:r w:rsidRPr="00ED172B">
        <w:rPr>
          <w:color w:val="000000" w:themeColor="text1"/>
          <w:szCs w:val="16"/>
        </w:rPr>
        <w:t xml:space="preserve"> national and regional resources, including the ECTA, </w:t>
      </w:r>
      <w:proofErr w:type="spellStart"/>
      <w:r w:rsidRPr="00ED172B">
        <w:rPr>
          <w:color w:val="000000" w:themeColor="text1"/>
          <w:szCs w:val="16"/>
        </w:rPr>
        <w:t>DaSy</w:t>
      </w:r>
      <w:proofErr w:type="spellEnd"/>
      <w:r w:rsidRPr="00ED172B">
        <w:rPr>
          <w:color w:val="000000" w:themeColor="text1"/>
          <w:szCs w:val="16"/>
        </w:rPr>
        <w:t xml:space="preserve">, and OSEP. The Bureau staff have participated in several cross-state learning collaboratives and other learning communities and have also benefited from technical assistance partners' assistance in the development and implementation of the SSIP. The Bureau has continued to receive technical assistance from their OSEP State </w:t>
      </w:r>
      <w:proofErr w:type="gramStart"/>
      <w:r w:rsidRPr="00ED172B">
        <w:rPr>
          <w:color w:val="000000" w:themeColor="text1"/>
          <w:szCs w:val="16"/>
        </w:rPr>
        <w:t>Lead</w:t>
      </w:r>
      <w:proofErr w:type="gramEnd"/>
      <w:r w:rsidRPr="00ED172B">
        <w:rPr>
          <w:color w:val="000000" w:themeColor="text1"/>
          <w:szCs w:val="16"/>
        </w:rPr>
        <w:t xml:space="preserve"> to support resolution of long standing noncompliance and development of policies and procedures related to extended services. We continue to work with OSEP staff to address two new legislative initiatives that impact our policies and procedures.</w:t>
      </w:r>
      <w:r w:rsidRPr="00ED172B">
        <w:rPr>
          <w:color w:val="000000" w:themeColor="text1"/>
          <w:szCs w:val="16"/>
        </w:rPr>
        <w:br/>
      </w:r>
      <w:r w:rsidRPr="00ED172B">
        <w:rPr>
          <w:color w:val="000000" w:themeColor="text1"/>
          <w:szCs w:val="16"/>
        </w:rPr>
        <w:br/>
        <w:t xml:space="preserve">In response to our Needs Assistance determination, Illinois has availed itself of many technical assistance opportunities. Given our historical difficulties resolving longstanding noncompliance, Illinois has participated in ongoing technical assistance with </w:t>
      </w:r>
      <w:proofErr w:type="spellStart"/>
      <w:r w:rsidRPr="00ED172B">
        <w:rPr>
          <w:color w:val="000000" w:themeColor="text1"/>
          <w:szCs w:val="16"/>
        </w:rPr>
        <w:t>DaSy</w:t>
      </w:r>
      <w:proofErr w:type="spellEnd"/>
      <w:r w:rsidRPr="00ED172B">
        <w:rPr>
          <w:color w:val="000000" w:themeColor="text1"/>
          <w:szCs w:val="16"/>
        </w:rPr>
        <w:t xml:space="preserve"> and ECTA. They are working with us to establish effective monitoring for compliance and results. The TA continues to help us examine aspects of our transition process, including local program's staff understanding of system requirements, written program guidance about requirements, available data for monitoring compliance with requirements, incentives/penalties tied to performance, and performance data. This technical assistance allows us to develop a process for examining noncompliance across all the compliance indicators. The process developed so far </w:t>
      </w:r>
      <w:proofErr w:type="gramStart"/>
      <w:r w:rsidRPr="00ED172B">
        <w:rPr>
          <w:color w:val="000000" w:themeColor="text1"/>
          <w:szCs w:val="16"/>
        </w:rPr>
        <w:t>involves:</w:t>
      </w:r>
      <w:proofErr w:type="gramEnd"/>
      <w:r w:rsidRPr="00ED172B">
        <w:rPr>
          <w:color w:val="000000" w:themeColor="text1"/>
          <w:szCs w:val="16"/>
        </w:rPr>
        <w:t xml:space="preserve"> beginning with program understanding of tasks/responsibilities, understanding what has been tried to address the issue, discussing what has or has not been successful and why, reviewing contributing factors resources, conducting root cause analyses, and considering available system supports to address the root causes. This technical assistance has been critical in improving our understanding of how to assess the current status of findings, the general supervision components that exist to support improved practice, the </w:t>
      </w:r>
      <w:proofErr w:type="gramStart"/>
      <w:r w:rsidRPr="00ED172B">
        <w:rPr>
          <w:color w:val="000000" w:themeColor="text1"/>
          <w:szCs w:val="16"/>
        </w:rPr>
        <w:t>options</w:t>
      </w:r>
      <w:proofErr w:type="gramEnd"/>
      <w:r w:rsidRPr="00ED172B">
        <w:rPr>
          <w:color w:val="000000" w:themeColor="text1"/>
          <w:szCs w:val="16"/>
        </w:rPr>
        <w:t xml:space="preserve"> for addressing individualized needs to help support best practice, and the importance of consistent approaches for developing and monitoring improvement plans at the effected CFCs. We continue to work with our TA partners to clarify the steps in the process and identify needed resources.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Early Intervention Services System Act (Act) (325 ILCS20 et. seq.) and the Illinois Administrative Code (89 IL Admin. Code 500 et. seq.) require and define a system of personnel development and personnel standards to ensure that EI providers are effectively providing services that improve results for </w:t>
      </w:r>
      <w:r w:rsidRPr="00ED172B">
        <w:rPr>
          <w:color w:val="000000" w:themeColor="text1"/>
          <w:szCs w:val="16"/>
        </w:rPr>
        <w:lastRenderedPageBreak/>
        <w:t>infants and toddlers with disabilities and their families. EI families, service providers, and primary referral sources have access to a wealth of information provided through various EI specific websites as well as through online (both synchronous and asynchronous) and limited face-to-face training opportunities.</w:t>
      </w:r>
      <w:r w:rsidRPr="00ED172B">
        <w:rPr>
          <w:color w:val="000000" w:themeColor="text1"/>
          <w:szCs w:val="16"/>
        </w:rPr>
        <w:br/>
      </w:r>
      <w:r w:rsidRPr="00ED172B">
        <w:rPr>
          <w:color w:val="000000" w:themeColor="text1"/>
          <w:szCs w:val="16"/>
        </w:rPr>
        <w:br/>
        <w:t xml:space="preserve">For credentialing matters, Illinois contracts with the EI Provider Connections office (http://www.wiu.edu/ProviderConnections/) to coordinate the credentialing process and the enrollment of service providers in compliance with state and federal requirements. The Illinois Department of Healthcare and Family Services (HFS), our Medicaid state lead, implemented an enrollment system for all Medicaid providers in Illinois. This system greatly impacted the EI providers and CFC offices who provide services to Medicaid-eligible children. This system continues to evolve and is intended to support EI's ability to maximize reimbursements and provider compliance. The EI CBO submits reimbursement claims on the program's behalf as part of our fee-for-service system. A dedicated Bureau staff member and EI Provider Connections staff meet quarterly to address system issues and support the smoothest transition to the new system for EI providers. </w:t>
      </w:r>
      <w:r w:rsidRPr="00ED172B">
        <w:rPr>
          <w:color w:val="000000" w:themeColor="text1"/>
          <w:szCs w:val="16"/>
        </w:rPr>
        <w:br/>
      </w:r>
      <w:r w:rsidRPr="00ED172B">
        <w:rPr>
          <w:color w:val="000000" w:themeColor="text1"/>
          <w:szCs w:val="16"/>
        </w:rPr>
        <w:br/>
        <w:t>EI Provider Connections processes credential and enrollment applications to comply with the HFS system and maintains a system of credentialing which ensures new providers are qualified and prepared with appropriate pediatric experience and education to provide services to infants and toddlers with developmental delays or disabilities and their families. This office ensures that individuals providing EI services have documentation on file of all applicable licenses, degrees, education and/or certification, EI systems overview training, background checks, documentation of consultation, and all other requirements. In addition, they provide technical assistance on the credentialing and enrollment process and verify that the individuals maintain competencies through documentation of ongoing professional development at credential renewal every three years.</w:t>
      </w:r>
      <w:r w:rsidRPr="00ED172B">
        <w:rPr>
          <w:color w:val="000000" w:themeColor="text1"/>
          <w:szCs w:val="16"/>
        </w:rPr>
        <w:br/>
      </w:r>
      <w:r w:rsidRPr="00ED172B">
        <w:rPr>
          <w:color w:val="000000" w:themeColor="text1"/>
          <w:szCs w:val="16"/>
        </w:rPr>
        <w:br/>
        <w:t>Illinois also contracts with the University of Illinois Early Intervention Training Program (EITP) (http://eitp.education.illinois.edu/) to provide a comprehensive system of personnel development, using a variety of methodologies that have included face-to-face, virtual, and online training modules, and to coordinate with other entities to offer a broad calendar of EI training events. These efforts ensure that service providers and CFC staff enter the EI system with an understanding of the basic components of the EI services system, evidence-based practices, and Illinois’ EI key principles. Additional and ongoing efforts are in place to focus on continually expanding competencies and to provide information on evidence-based practices, specifically in four core knowledge areas: development of young children, working with families of young children with developmental disabilities and delays, intervention strategies and activities, and assessment of young children. The EITP also works to coordinate with other professional entities to provide training on transition services for children exiting the EI system. The EITP develops, publishes and distributes a quarterly newsletter for EI service providers and uses social media to reinforce important system messages/information. The EITP coordinates the family outcomes process which includes a project coordinator that oversees the survey process for all families who have exited the EI program. The coordinator also facilitates the Child and Family Outcomes Workgroup and represents the EI program on all child and family outcomes activities. The EITP is a primary partner in the SSIP work.</w:t>
      </w:r>
      <w:r w:rsidRPr="00ED172B">
        <w:rPr>
          <w:color w:val="000000" w:themeColor="text1"/>
          <w:szCs w:val="16"/>
        </w:rPr>
        <w:br/>
      </w:r>
      <w:r w:rsidRPr="00ED172B">
        <w:rPr>
          <w:color w:val="000000" w:themeColor="text1"/>
          <w:szCs w:val="16"/>
        </w:rPr>
        <w:br/>
        <w:t>The EI Clearinghouse (http://www.eiclearinghouse.org/) collects research-based and best-practice early intervention information to share with families to support their children’s growth and development. They provide current, up-to-date information and reference materials for parents to learn more about typical child development and specific disabilities, and for educators and EI professionals to improve competencies in the evaluation and treatment of children with developmental disabilities and delays. Additional resources in English and in Spanish are available to EI families, providers, stakeholders and primary referral sources. The Clearinghouse is tasked with maintaining Illinois’ EI Central Directory, operating and maintaining a free EI lending library, generating parent newsletters, information notes, podcasts, and resource links to support evidence-based practices, and providing general contact and program information. The EI Clearinghouse serves as a communication link between the EI Program and the families served by the program through a family friendly, bilingual (</w:t>
      </w:r>
      <w:proofErr w:type="gramStart"/>
      <w:r w:rsidRPr="00ED172B">
        <w:rPr>
          <w:color w:val="000000" w:themeColor="text1"/>
          <w:szCs w:val="16"/>
        </w:rPr>
        <w:t>English-Spanish</w:t>
      </w:r>
      <w:proofErr w:type="gramEnd"/>
      <w:r w:rsidRPr="00ED172B">
        <w:rPr>
          <w:color w:val="000000" w:themeColor="text1"/>
          <w:szCs w:val="16"/>
        </w:rPr>
        <w:t>) website. The EI Clearinghouse has made a large purchase of technology items to lend to families. This allows more families to access services in a way that would not have been possible without this technology. The Clearinghouse also convenes a Parent Advisory Council to provide input on system improvement activities.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szCs w:val="16"/>
        </w:rPr>
        <w:br/>
      </w:r>
      <w:r w:rsidRPr="00ED172B">
        <w:rPr>
          <w:color w:val="000000" w:themeColor="text1"/>
          <w:szCs w:val="16"/>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szCs w:val="16"/>
        </w:rPr>
        <w:br/>
        <w:t>• Ensure that valid and reliable data are collected with consistency by field staff;</w:t>
      </w:r>
      <w:r w:rsidRPr="00ED172B">
        <w:rPr>
          <w:color w:val="000000" w:themeColor="text1"/>
          <w:szCs w:val="16"/>
        </w:rPr>
        <w:br/>
        <w:t xml:space="preserve">• Improve the validity of data reported on child and family outcomes; </w:t>
      </w:r>
      <w:r w:rsidRPr="00ED172B">
        <w:rPr>
          <w:color w:val="000000" w:themeColor="text1"/>
          <w:szCs w:val="16"/>
        </w:rPr>
        <w:br/>
        <w:t xml:space="preserve">• Improve response rates for Family Outcomes surveys, to increase representativeness and validity; </w:t>
      </w:r>
      <w:r w:rsidRPr="00ED172B">
        <w:rPr>
          <w:color w:val="000000" w:themeColor="text1"/>
          <w:szCs w:val="16"/>
        </w:rPr>
        <w:br/>
        <w:t xml:space="preserve">• Promote public awareness and training of child and family outcome measures; </w:t>
      </w:r>
      <w:r w:rsidRPr="00ED172B">
        <w:rPr>
          <w:color w:val="000000" w:themeColor="text1"/>
          <w:szCs w:val="16"/>
        </w:rPr>
        <w:br/>
        <w:t xml:space="preserve">• Explore options for linking child and family outcomes data; </w:t>
      </w:r>
      <w:r w:rsidRPr="00ED172B">
        <w:rPr>
          <w:color w:val="000000" w:themeColor="text1"/>
          <w:szCs w:val="16"/>
        </w:rPr>
        <w:br/>
        <w:t xml:space="preserve">• Support data review and analysis; </w:t>
      </w:r>
      <w:r w:rsidRPr="00ED172B">
        <w:rPr>
          <w:color w:val="000000" w:themeColor="text1"/>
          <w:szCs w:val="16"/>
        </w:rPr>
        <w:br/>
        <w:t xml:space="preserve">• Set baseline and target values; and </w:t>
      </w:r>
      <w:r w:rsidRPr="00ED172B">
        <w:rPr>
          <w:color w:val="000000" w:themeColor="text1"/>
          <w:szCs w:val="16"/>
        </w:rPr>
        <w:br/>
        <w:t>• Develop and implement improvement activities.</w:t>
      </w:r>
      <w:r w:rsidRPr="00ED172B">
        <w:rPr>
          <w:color w:val="000000" w:themeColor="text1"/>
          <w:szCs w:val="16"/>
        </w:rPr>
        <w:br/>
      </w:r>
      <w:r w:rsidRPr="00ED172B">
        <w:rPr>
          <w:color w:val="000000" w:themeColor="text1"/>
          <w:szCs w:val="16"/>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szCs w:val="16"/>
        </w:rPr>
        <w:t>CFC</w:t>
      </w:r>
      <w:proofErr w:type="gramEnd"/>
      <w:r w:rsidRPr="00ED172B">
        <w:rPr>
          <w:color w:val="000000" w:themeColor="text1"/>
          <w:szCs w:val="16"/>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szCs w:val="16"/>
        </w:rPr>
        <w:br/>
      </w:r>
      <w:r w:rsidRPr="00ED172B">
        <w:rPr>
          <w:color w:val="000000" w:themeColor="text1"/>
          <w:szCs w:val="16"/>
        </w:rPr>
        <w:lastRenderedPageBreak/>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Family members are an integral part of most of the system-created workgroups. There are also parent members on the Interagency Coordinating Council (ICC), the State Systemic Improvement Plan (SSIP) large stakeholder group (and local leadership teams), and the Outcomes Workgroup. The total above represents one parent who participates on the ICC, one parent who participated in the SSIP large stakeholder meeting, three parents who participate on the SSIP leadership teams, and ten parents who participate on the Clearinghouse's parent advisory council. </w:t>
      </w:r>
      <w:proofErr w:type="gramStart"/>
      <w:r w:rsidRPr="00ED172B">
        <w:rPr>
          <w:color w:val="000000" w:themeColor="text1"/>
          <w:szCs w:val="16"/>
        </w:rPr>
        <w:t>All of</w:t>
      </w:r>
      <w:proofErr w:type="gramEnd"/>
      <w:r w:rsidRPr="00ED172B">
        <w:rPr>
          <w:color w:val="000000" w:themeColor="text1"/>
          <w:szCs w:val="16"/>
        </w:rPr>
        <w:t xml:space="preserve"> these family members have been involved in discussions about some aspect of target-setting, data analysis, improvement strategies, and evaluation. For example, prior to setting targets last year, the ICC had two different discussions on target-setting, data analysis, improvement strategies, and evaluation. Minutes of these discussions can be found on the IDHS website. Since ICC meetings are open to the public, families who wish to provide input may contact the Bureau directly or reach out to their family representative on the ICC. The SSIP large stakeholder group has also been involved in target-setting, data analysis, improvement strategy generation, and evaluation. This group includes parents, parent center staff, and advocates. The Outcomes workgroup also participates in target setting, data analysis, improvement strategy generation and evaluation. In addition, the EI Clearinghouse has convened a parent advisory body to ensure that materials prepared for families are meaningful and to solicit input on programmatic changes and activities. The EI Clearinghouse, Early Intervention Training Program, and Family Matters (a Parent Training and Information Center) partnered to offer a series of webinars on the family outcomes survey. The intent of these offerings was to not only raise awareness of the survey but also to provide information to parents that would allow them to better understand and evaluate the items within the survey.</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IDHS is currently engaging in agency-wide activities to address equity and inclusion. As part of these efforts, the Bureau of Early Intervention engaged national equity experts to examine system practices that may be contributing to inequities. Racially diverse families from three CFCs participated in focus groups and interviews to share their perspectives on system challenges and to recommend activities that would address these challenges. Recommendations from this work are currently being reviewed by the Bureau and include ideas for capacity-building. </w:t>
      </w:r>
      <w:r w:rsidRPr="00ED172B">
        <w:rPr>
          <w:color w:val="000000" w:themeColor="text1"/>
          <w:szCs w:val="16"/>
        </w:rPr>
        <w:br/>
      </w:r>
      <w:r w:rsidRPr="00ED172B">
        <w:rPr>
          <w:color w:val="000000" w:themeColor="text1"/>
          <w:szCs w:val="16"/>
        </w:rPr>
        <w:br/>
        <w:t xml:space="preserve">In addition, the Bureau has committed to diverse parent representation on any new workgroups that are convened and to examine membership of current workgroups with a focus on diversity when replacing members. As noted above, system workgroups (and the parents that serve on them) have an integral role in many aspects of our Annual Performance Report activities. In addition, the EI Clearinghouse is currently working to expand accessibility to system information by creating family videos and translating system materials into languages beyond English and Spanish. </w:t>
      </w:r>
      <w:r w:rsidRPr="00ED172B">
        <w:rPr>
          <w:color w:val="000000" w:themeColor="text1"/>
          <w:szCs w:val="16"/>
        </w:rPr>
        <w:br/>
      </w:r>
      <w:r w:rsidRPr="00ED172B">
        <w:rPr>
          <w:color w:val="000000" w:themeColor="text1"/>
          <w:szCs w:val="16"/>
        </w:rPr>
        <w:br/>
        <w:t>In addition to these items, the state has also worked to increase the capacity of diverse groups of parents by providing training and resources to help them learn about the system as well as their role in developing implementation activities. As noted last year, IICEI members, which includes parents, received an orientation webinar, participated in required trainings for board/council members, and reviewed information contained in the target setting guide.</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primary mechanism for soliciting public input for setting targets, analyzing data, developing improvement strategies, and evaluating progress occurred through the ICC meeting in January. This meeting was open to the public and included discussion of </w:t>
      </w:r>
      <w:proofErr w:type="gramStart"/>
      <w:r w:rsidRPr="00ED172B">
        <w:rPr>
          <w:color w:val="000000" w:themeColor="text1"/>
          <w:szCs w:val="16"/>
        </w:rPr>
        <w:t>all of</w:t>
      </w:r>
      <w:proofErr w:type="gramEnd"/>
      <w:r w:rsidRPr="00ED172B">
        <w:rPr>
          <w:color w:val="000000" w:themeColor="text1"/>
          <w:szCs w:val="16"/>
        </w:rPr>
        <w:t xml:space="preserve"> these elements. The public were given the opportunity to submit direct comments/questions for consideration via the chat for the virtual meetings or could contact their representative on the ICC to share comments/questions/input. In addition, the draft report was sent to the CFC Managers for their review and input prior to submission.</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mechanisms and timelines for making these results publicly available are </w:t>
      </w:r>
      <w:proofErr w:type="gramStart"/>
      <w:r w:rsidRPr="00ED172B">
        <w:rPr>
          <w:color w:val="000000" w:themeColor="text1"/>
          <w:szCs w:val="16"/>
        </w:rPr>
        <w:t>similar to</w:t>
      </w:r>
      <w:proofErr w:type="gramEnd"/>
      <w:r w:rsidRPr="00ED172B">
        <w:rPr>
          <w:color w:val="000000" w:themeColor="text1"/>
          <w:szCs w:val="16"/>
        </w:rPr>
        <w:t xml:space="preserve"> general reporting to the public. The Illinois Annual Performance Report and the State Systemic Improvement Plan reports are used to annually report to the public on the targets, data, improvement strategies, and evaluation. The APR is posted on the Department’s website no later than 120 days following the State’s submission. A hard copy of the APR is also available for public review at each of the 25 CFC offices. The SSIP report is also posted on the Department’s and contractual partners’ websites. Progress on the SSIP is communicated through a SSIP Quarterly Summary which is widely distributed to stakeholders. The SSIP work is also described in the contract partners' quarterly newsletters. The Illinois APR, SSIP, 618 data, Annual Federal Grant Applications, and Monthly Statistical reports are available online at: http://www.dhs.state.il.us/page.aspx?item=36192.</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Illinois Annual Performance Report and the State Systemic Improvement Plan reports are used to annually report to the public on the EI performance targets. The APR is posted on the Department’s website no later than 120 days following the State’s submission. A hard copy of the APR is also available for public review at each of the 25 CFC offices. Most APR indicators include a table that compares the performance of each CFC office with statewide performance and target values. Charts showing all EIS programs' performance for FFY21 can be found at this link: https://blogs.illinois.edu/view/6480/136715403.</w:t>
      </w:r>
      <w:r w:rsidRPr="00ED172B">
        <w:rPr>
          <w:color w:val="000000" w:themeColor="text1"/>
          <w:szCs w:val="16"/>
        </w:rPr>
        <w:br/>
      </w:r>
      <w:r w:rsidRPr="00ED172B">
        <w:rPr>
          <w:color w:val="000000" w:themeColor="text1"/>
          <w:szCs w:val="16"/>
        </w:rPr>
        <w:br/>
        <w:t xml:space="preserve">The SSIP reports (Phases I, II and III (in progress)) are also posted on the Department’s and contractual partners’ websites. Progress on the SSIP is communicated through a SSIP Quarterly Summary which is widely distributed to stakeholders. The SSIP work is also described in the contract partners' </w:t>
      </w:r>
      <w:r w:rsidRPr="00ED172B">
        <w:rPr>
          <w:color w:val="000000" w:themeColor="text1"/>
          <w:szCs w:val="16"/>
        </w:rPr>
        <w:lastRenderedPageBreak/>
        <w:t>quarterly newsletters.</w:t>
      </w:r>
      <w:r w:rsidRPr="00ED172B">
        <w:rPr>
          <w:color w:val="000000" w:themeColor="text1"/>
          <w:szCs w:val="16"/>
        </w:rPr>
        <w:br/>
      </w:r>
      <w:r w:rsidRPr="00ED172B">
        <w:rPr>
          <w:color w:val="000000" w:themeColor="text1"/>
          <w:szCs w:val="16"/>
        </w:rPr>
        <w:br/>
        <w:t>Document Posting: The Illinois APR, SSIP, 618 data, Annual Federal Grant Applications, and Monthly Statistical reports are available online at: http://www.dhs.state.il.us/page.aspx?item=36192. The EI Training Program website has links to the EI Reports and informational notices located at https://blogs.illinois.edu/view/6039/114615.</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 xml:space="preserve">OSEP notes that the State submitted verification that the attachment(s) complies with Section 508 of the Rehabilitation Act of 1973, as amended (Section 508). However, one or more of the Introduction </w:t>
      </w:r>
      <w:proofErr w:type="gramStart"/>
      <w:r w:rsidRPr="00ED172B">
        <w:rPr>
          <w:color w:val="000000" w:themeColor="text1"/>
        </w:rPr>
        <w:t>attachment</w:t>
      </w:r>
      <w:proofErr w:type="gramEnd"/>
      <w:r w:rsidRPr="00ED172B">
        <w:rPr>
          <w:color w:val="000000" w:themeColor="text1"/>
        </w:rPr>
        <w: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The state has received technical assistance from ECTA, </w:t>
      </w:r>
      <w:proofErr w:type="spellStart"/>
      <w:r w:rsidRPr="00ED172B">
        <w:rPr>
          <w:color w:val="000000" w:themeColor="text1"/>
        </w:rPr>
        <w:t>DaSy</w:t>
      </w:r>
      <w:proofErr w:type="spellEnd"/>
      <w:r w:rsidRPr="00ED172B">
        <w:rPr>
          <w:color w:val="000000" w:themeColor="text1"/>
        </w:rPr>
        <w:t xml:space="preserve">, and CIFR. Some of the technical assistance was used to help us respond to recent legislative changes, </w:t>
      </w:r>
      <w:proofErr w:type="gramStart"/>
      <w:r w:rsidRPr="00ED172B">
        <w:rPr>
          <w:color w:val="000000" w:themeColor="text1"/>
        </w:rPr>
        <w:t>e.g.</w:t>
      </w:r>
      <w:proofErr w:type="gramEnd"/>
      <w:r w:rsidRPr="00ED172B">
        <w:rPr>
          <w:color w:val="000000" w:themeColor="text1"/>
        </w:rPr>
        <w:t xml:space="preserve"> timely service delivery, and the rest was to help us create a process for addressing longstanding noncompliance, the only area in our compliance matrix where we received a zero. We have been meeting regularly with ECTA and </w:t>
      </w:r>
      <w:proofErr w:type="spellStart"/>
      <w:r w:rsidRPr="00ED172B">
        <w:rPr>
          <w:color w:val="000000" w:themeColor="text1"/>
        </w:rPr>
        <w:t>DaSy</w:t>
      </w:r>
      <w:proofErr w:type="spellEnd"/>
      <w:r w:rsidRPr="00ED172B">
        <w:rPr>
          <w:color w:val="000000" w:themeColor="text1"/>
        </w:rPr>
        <w:t xml:space="preserve"> staff to ensure that we understand the requirements for correcting longstanding noncompliance, to modify and improve our process for supporting correction, and to identify programs that will implement this new approach. The Bureau has also been engaged with TA from CIFR and worked to complete our Single Line of Responsibility (SLOR) protocol, which has given us some insight into our options for enacting fiscal penalties for long standing noncompliance.</w:t>
      </w:r>
      <w:r w:rsidRPr="00ED172B">
        <w:rPr>
          <w:color w:val="000000" w:themeColor="text1"/>
        </w:rPr>
        <w:br/>
      </w:r>
      <w:r w:rsidRPr="00ED172B">
        <w:rPr>
          <w:color w:val="000000" w:themeColor="text1"/>
        </w:rPr>
        <w:br/>
        <w:t xml:space="preserve">Attachments to the submission were made available to the public at the links cited earlier: https://www.dhs.state.il.us/page.aspx?item=143592. We have also created a link </w:t>
      </w:r>
      <w:proofErr w:type="gramStart"/>
      <w:r w:rsidRPr="00ED172B">
        <w:rPr>
          <w:color w:val="000000" w:themeColor="text1"/>
        </w:rPr>
        <w:t>( https://blogs.illinois.edu/view/6480/136715403</w:t>
      </w:r>
      <w:proofErr w:type="gramEnd"/>
      <w:r w:rsidRPr="00ED172B">
        <w:rPr>
          <w:color w:val="000000" w:themeColor="text1"/>
        </w:rPr>
        <w:t>) for supplements to this year's submission to avoid the issue of attachments that are not 508 compliant.</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98.53%</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98.23%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97.89%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99.52%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94.23%</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99.79%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1,665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1,755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99.79%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97.95%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Reasons for slippage primarily appear to be due to personnel shortages. We are experiencing personnel challenges both at the CFC level and within the provider pool. In some instances, service coordinators are able to identify a provider willing to use live video visits for </w:t>
      </w:r>
      <w:proofErr w:type="gramStart"/>
      <w:r w:rsidRPr="00ED172B">
        <w:rPr>
          <w:color w:val="000000" w:themeColor="text1"/>
        </w:rPr>
        <w:t>support</w:t>
      </w:r>
      <w:proofErr w:type="gramEnd"/>
      <w:r w:rsidRPr="00ED172B">
        <w:rPr>
          <w:color w:val="000000" w:themeColor="text1"/>
        </w:rPr>
        <w:t xml:space="preserve"> but the family wants in person support. We are continuing to work with the CFCs to address both recruitment and retention strategies for CFC personnel and providers.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54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delays included: unable to find a provider, unable to provide as many services as recommended by the IFSP team, service provided in a setting other than the natural environment due to not enough providers to deliver service in natural environment, and family circumstances.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Illinois Early Intervention considers a service to be timely if the service begins within 30 days of receiving IFSP consent.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Illinois continues to utilize the reporting period of October 1 - October 31 for the corresponding Federal Fiscal Year (FFY). In the case of this APR, the reporting period is October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Illinois has historically utilized the single month of October to represent our collection period. October represents the average number of children entering the program throughout the year without the fluctuations that occur before and after holidays and specific child find events.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Each of the 25 CFCs report monthly on IFSP consented services that have not yet started timely due to various factors including insufficient number of qualified early intervention direct service providers as well as family exceptional circumstances and delays. The data is collected and utilized to create monthly statistical reports on the status of each of the 25 CFCs service delays as well as other components of performance for each CFC. A Statewide statistical report is also prepared and shared so each CFC can compare their performance with the Statewide average for service delays and other components.</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7918866F" w14:textId="0BCA631D" w:rsidR="002F1A9A" w:rsidRPr="00ED172B" w:rsidRDefault="00CD74B5" w:rsidP="00B83404">
      <w:pPr>
        <w:rPr>
          <w:color w:val="000000" w:themeColor="text1"/>
        </w:rPr>
      </w:pPr>
      <w:r>
        <w:rPr>
          <w:b/>
          <w:color w:val="000000" w:themeColor="text1"/>
        </w:rPr>
        <w:t>FFY 2020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04E0B434" w14:textId="1AE3C4D5" w:rsidR="002F1A9A" w:rsidRDefault="00860830" w:rsidP="002F1A9A">
      <w:pPr>
        <w:rPr>
          <w:rFonts w:cs="Arial"/>
          <w:color w:val="000000" w:themeColor="text1"/>
          <w:szCs w:val="16"/>
        </w:rPr>
      </w:pPr>
      <w:r w:rsidRPr="00ED172B">
        <w:rPr>
          <w:rFonts w:cs="Arial"/>
          <w:color w:val="000000" w:themeColor="text1"/>
          <w:szCs w:val="16"/>
        </w:rPr>
        <w:t>The program that continues to demonstrate noncompliance will have an improvement plan developed to address performance. Based on our initial work with the TA centers, we believe that we will have this program work through a process of identifying barriers and receiving technical assistance from Bureau staff, Early Intervention Training Program staff, and other partners/program managers (as needed) on potential strategies for meeting the regulatory requirements and program expectations for Indicator 1 (timely services). We anticipate that Bureau and Training Program staff will work closely with this program to identify additional resources and technical assistance opportunities to support timely services. The program will receive performance data and feedback to determine the program's correction of noncompliance, guide improvement strategies, and ensure the program is correctly implementing timely services according to regulatory requirements. Since we know that this indicator has been significantly impacted by personnel shortages, the Bureau hopes to address this issue more systemically and is currently exploring options to improve recruitment and retention of qualified staff.</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In the previous federal fiscal year (FFY), there were three children identified with noncompliance (not related to family exceptional circumstances) across two programs. The state verified correction of noncompliance for one of the two programs prior to issuing findings (pre-finding correction). For this program, the state reviewed the record for the single child who did not receive timely services and verified that they did receive services, albeit late. In addition, the state reviewed a sample from one month (December) of subsequent data on children with initial IFSPs and confirmed that this program was performing at 100% compliance and correctly implementing the timely services requirements. However, one finding was issued for FFY2020 as the subsequent review of a sample from December's data did not indicate that the second program was now in compliance. The Bureau will be working with this program to develop an improvement plan as well as exploring options for provider recruitment and retention on a systemic level.</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2020 was corrected.</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88.80%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90.00%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98.72%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98.87%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99.78%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95.50%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96.50%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w:t>
      </w:r>
      <w:r w:rsidRPr="00ED172B">
        <w:rPr>
          <w:color w:val="000000" w:themeColor="text1"/>
        </w:rPr>
        <w:lastRenderedPageBreak/>
        <w:t>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15,833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15,921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15,833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15,921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99.78%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99.45%</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Illinois received stakeholder input via the Child &amp; Family Outcomes workgroup and the Illinois Interagency Council on Early Intervention (IICEI). The Child &amp; Family Outcomes workgroup helped set the targets that were approved by the IICEI. The workgroup routinely reviews the data and makes recommendations about improvement to the state’s processes.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68.90%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66.50%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67.01%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65.97%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67.01%</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63.30%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51.20%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54.48%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57.29%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54.39%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52.51%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51.20%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77.10%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75.28%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74.95%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75.78%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76.27%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76.22%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75.28%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49.70%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49.60%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42.81%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44.90%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43.48%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42.09%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77.30%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72.68%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73.48%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56.10%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53.44%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50.26%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47.08%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lastRenderedPageBreak/>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67.05%</w:t>
            </w:r>
          </w:p>
        </w:tc>
        <w:tc>
          <w:tcPr>
            <w:tcW w:w="918" w:type="pct"/>
          </w:tcPr>
          <w:p w14:paraId="7A62957C" w14:textId="59554121" w:rsidR="009E2382" w:rsidRPr="00ED172B" w:rsidRDefault="009E2382" w:rsidP="002242B8">
            <w:pPr>
              <w:jc w:val="center"/>
              <w:rPr>
                <w:color w:val="000000" w:themeColor="text1"/>
              </w:rPr>
            </w:pPr>
            <w:r>
              <w:rPr>
                <w:color w:val="000000" w:themeColor="text1"/>
              </w:rPr>
              <w:t>67.10%</w:t>
            </w:r>
          </w:p>
        </w:tc>
        <w:tc>
          <w:tcPr>
            <w:tcW w:w="918" w:type="pct"/>
          </w:tcPr>
          <w:p w14:paraId="330DB307" w14:textId="4DD70DCA" w:rsidR="009E2382" w:rsidRPr="00ED172B" w:rsidRDefault="009E2382" w:rsidP="002242B8">
            <w:pPr>
              <w:jc w:val="center"/>
              <w:rPr>
                <w:color w:val="000000" w:themeColor="text1"/>
              </w:rPr>
            </w:pPr>
            <w:r>
              <w:rPr>
                <w:color w:val="000000" w:themeColor="text1"/>
              </w:rPr>
              <w:t>67.15%</w:t>
            </w:r>
          </w:p>
        </w:tc>
        <w:tc>
          <w:tcPr>
            <w:tcW w:w="917" w:type="pct"/>
          </w:tcPr>
          <w:p w14:paraId="1E535134" w14:textId="174673D1" w:rsidR="009E2382" w:rsidRPr="00ED172B" w:rsidRDefault="009E2382" w:rsidP="002242B8">
            <w:pPr>
              <w:jc w:val="center"/>
              <w:rPr>
                <w:color w:val="000000" w:themeColor="text1"/>
              </w:rPr>
            </w:pPr>
            <w:r>
              <w:rPr>
                <w:color w:val="000000" w:themeColor="text1"/>
              </w:rPr>
              <w:t>67.20%</w:t>
            </w:r>
          </w:p>
        </w:tc>
        <w:tc>
          <w:tcPr>
            <w:tcW w:w="916" w:type="pct"/>
          </w:tcPr>
          <w:p w14:paraId="7D5EFC26" w14:textId="3AFE59A1" w:rsidR="009E2382" w:rsidRPr="00ED172B" w:rsidRDefault="009E2382" w:rsidP="002242B8">
            <w:pPr>
              <w:jc w:val="center"/>
              <w:rPr>
                <w:color w:val="000000" w:themeColor="text1"/>
              </w:rPr>
            </w:pPr>
            <w:r>
              <w:rPr>
                <w:color w:val="000000" w:themeColor="text1"/>
              </w:rPr>
              <w:t>67.25%</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51.25%</w:t>
            </w:r>
          </w:p>
        </w:tc>
        <w:tc>
          <w:tcPr>
            <w:tcW w:w="918" w:type="pct"/>
          </w:tcPr>
          <w:p w14:paraId="1DD5AC15" w14:textId="552D0AAC" w:rsidR="009E2382" w:rsidRPr="00ED172B" w:rsidRDefault="009E2382" w:rsidP="002242B8">
            <w:pPr>
              <w:jc w:val="center"/>
              <w:rPr>
                <w:color w:val="000000" w:themeColor="text1"/>
              </w:rPr>
            </w:pPr>
            <w:r>
              <w:rPr>
                <w:color w:val="000000" w:themeColor="text1"/>
              </w:rPr>
              <w:t>51.30%</w:t>
            </w:r>
          </w:p>
        </w:tc>
        <w:tc>
          <w:tcPr>
            <w:tcW w:w="918" w:type="pct"/>
          </w:tcPr>
          <w:p w14:paraId="29377148" w14:textId="76F6C6ED" w:rsidR="009E2382" w:rsidRPr="00ED172B" w:rsidRDefault="009E2382" w:rsidP="002242B8">
            <w:pPr>
              <w:jc w:val="center"/>
              <w:rPr>
                <w:color w:val="000000" w:themeColor="text1"/>
              </w:rPr>
            </w:pPr>
            <w:r>
              <w:rPr>
                <w:color w:val="000000" w:themeColor="text1"/>
              </w:rPr>
              <w:t>51.35%</w:t>
            </w:r>
          </w:p>
        </w:tc>
        <w:tc>
          <w:tcPr>
            <w:tcW w:w="917" w:type="pct"/>
          </w:tcPr>
          <w:p w14:paraId="3F8E8EE0" w14:textId="1AB30A36" w:rsidR="009E2382" w:rsidRPr="00ED172B" w:rsidRDefault="009E2382" w:rsidP="002242B8">
            <w:pPr>
              <w:jc w:val="center"/>
              <w:rPr>
                <w:color w:val="000000" w:themeColor="text1"/>
              </w:rPr>
            </w:pPr>
            <w:r>
              <w:rPr>
                <w:color w:val="000000" w:themeColor="text1"/>
              </w:rPr>
              <w:t>51.40%</w:t>
            </w:r>
          </w:p>
        </w:tc>
        <w:tc>
          <w:tcPr>
            <w:tcW w:w="916" w:type="pct"/>
          </w:tcPr>
          <w:p w14:paraId="5B0C0E7A" w14:textId="73E7E860" w:rsidR="009E2382" w:rsidRPr="00ED172B" w:rsidRDefault="009E2382" w:rsidP="002242B8">
            <w:pPr>
              <w:jc w:val="center"/>
              <w:rPr>
                <w:color w:val="000000" w:themeColor="text1"/>
              </w:rPr>
            </w:pPr>
            <w:r>
              <w:rPr>
                <w:color w:val="000000" w:themeColor="text1"/>
              </w:rPr>
              <w:t>51.45%</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75.35%</w:t>
            </w:r>
          </w:p>
        </w:tc>
        <w:tc>
          <w:tcPr>
            <w:tcW w:w="918" w:type="pct"/>
          </w:tcPr>
          <w:p w14:paraId="7EDAF97B" w14:textId="4B219601" w:rsidR="009E2382" w:rsidRPr="00ED172B" w:rsidRDefault="009E2382" w:rsidP="002242B8">
            <w:pPr>
              <w:jc w:val="center"/>
              <w:rPr>
                <w:color w:val="000000" w:themeColor="text1"/>
              </w:rPr>
            </w:pPr>
            <w:r>
              <w:rPr>
                <w:color w:val="000000" w:themeColor="text1"/>
              </w:rPr>
              <w:t>75.40%</w:t>
            </w:r>
          </w:p>
        </w:tc>
        <w:tc>
          <w:tcPr>
            <w:tcW w:w="918" w:type="pct"/>
          </w:tcPr>
          <w:p w14:paraId="31A1D7D3" w14:textId="003191E1" w:rsidR="009E2382" w:rsidRPr="00ED172B" w:rsidRDefault="009E2382" w:rsidP="002242B8">
            <w:pPr>
              <w:jc w:val="center"/>
              <w:rPr>
                <w:color w:val="000000" w:themeColor="text1"/>
              </w:rPr>
            </w:pPr>
            <w:r>
              <w:rPr>
                <w:color w:val="000000" w:themeColor="text1"/>
              </w:rPr>
              <w:t>75.45%</w:t>
            </w:r>
          </w:p>
        </w:tc>
        <w:tc>
          <w:tcPr>
            <w:tcW w:w="917" w:type="pct"/>
          </w:tcPr>
          <w:p w14:paraId="493915A7" w14:textId="24756F38" w:rsidR="009E2382" w:rsidRPr="00ED172B" w:rsidRDefault="009E2382" w:rsidP="002242B8">
            <w:pPr>
              <w:jc w:val="center"/>
              <w:rPr>
                <w:color w:val="000000" w:themeColor="text1"/>
              </w:rPr>
            </w:pPr>
            <w:r>
              <w:rPr>
                <w:color w:val="000000" w:themeColor="text1"/>
              </w:rPr>
              <w:t>75.50%</w:t>
            </w:r>
          </w:p>
        </w:tc>
        <w:tc>
          <w:tcPr>
            <w:tcW w:w="916" w:type="pct"/>
          </w:tcPr>
          <w:p w14:paraId="2E008F25" w14:textId="53C173A2" w:rsidR="009E2382" w:rsidRPr="00ED172B" w:rsidRDefault="009E2382" w:rsidP="002242B8">
            <w:pPr>
              <w:jc w:val="center"/>
              <w:rPr>
                <w:color w:val="000000" w:themeColor="text1"/>
              </w:rPr>
            </w:pPr>
            <w:r>
              <w:rPr>
                <w:color w:val="000000" w:themeColor="text1"/>
              </w:rPr>
              <w:t>75.55%</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42.15%</w:t>
            </w:r>
          </w:p>
        </w:tc>
        <w:tc>
          <w:tcPr>
            <w:tcW w:w="918" w:type="pct"/>
          </w:tcPr>
          <w:p w14:paraId="5980DE18" w14:textId="10CD7859" w:rsidR="009E2382" w:rsidRPr="00ED172B" w:rsidRDefault="009E2382" w:rsidP="002242B8">
            <w:pPr>
              <w:jc w:val="center"/>
              <w:rPr>
                <w:color w:val="000000" w:themeColor="text1"/>
              </w:rPr>
            </w:pPr>
            <w:r>
              <w:rPr>
                <w:color w:val="000000" w:themeColor="text1"/>
              </w:rPr>
              <w:t>42.20%</w:t>
            </w:r>
          </w:p>
        </w:tc>
        <w:tc>
          <w:tcPr>
            <w:tcW w:w="918" w:type="pct"/>
          </w:tcPr>
          <w:p w14:paraId="3FD51CD4" w14:textId="4E5875CE" w:rsidR="009E2382" w:rsidRPr="00ED172B" w:rsidRDefault="009E2382" w:rsidP="002242B8">
            <w:pPr>
              <w:jc w:val="center"/>
              <w:rPr>
                <w:color w:val="000000" w:themeColor="text1"/>
              </w:rPr>
            </w:pPr>
            <w:r>
              <w:rPr>
                <w:color w:val="000000" w:themeColor="text1"/>
              </w:rPr>
              <w:t>42.25%</w:t>
            </w:r>
          </w:p>
        </w:tc>
        <w:tc>
          <w:tcPr>
            <w:tcW w:w="917" w:type="pct"/>
          </w:tcPr>
          <w:p w14:paraId="3A7274FD" w14:textId="38B9FCB4" w:rsidR="009E2382" w:rsidRPr="00ED172B" w:rsidRDefault="009E2382" w:rsidP="002242B8">
            <w:pPr>
              <w:jc w:val="center"/>
              <w:rPr>
                <w:color w:val="000000" w:themeColor="text1"/>
              </w:rPr>
            </w:pPr>
            <w:r>
              <w:rPr>
                <w:color w:val="000000" w:themeColor="text1"/>
              </w:rPr>
              <w:t>42.30%</w:t>
            </w:r>
          </w:p>
        </w:tc>
        <w:tc>
          <w:tcPr>
            <w:tcW w:w="916" w:type="pct"/>
          </w:tcPr>
          <w:p w14:paraId="53FEE354" w14:textId="77777777" w:rsidR="009E2382" w:rsidRPr="00ED172B" w:rsidRDefault="009E2382" w:rsidP="002242B8">
            <w:pPr>
              <w:jc w:val="center"/>
              <w:rPr>
                <w:color w:val="000000" w:themeColor="text1"/>
              </w:rPr>
            </w:pPr>
            <w:r>
              <w:rPr>
                <w:color w:val="000000" w:themeColor="text1"/>
              </w:rPr>
              <w:t>42.35%</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73.45%</w:t>
            </w:r>
          </w:p>
        </w:tc>
        <w:tc>
          <w:tcPr>
            <w:tcW w:w="918" w:type="pct"/>
          </w:tcPr>
          <w:p w14:paraId="3564984B" w14:textId="08842718" w:rsidR="009E2382" w:rsidRPr="00ED172B" w:rsidRDefault="009E2382" w:rsidP="0012497F">
            <w:pPr>
              <w:jc w:val="center"/>
              <w:rPr>
                <w:color w:val="000000" w:themeColor="text1"/>
              </w:rPr>
            </w:pPr>
            <w:r>
              <w:rPr>
                <w:color w:val="000000" w:themeColor="text1"/>
              </w:rPr>
              <w:t>73.50%</w:t>
            </w:r>
          </w:p>
        </w:tc>
        <w:tc>
          <w:tcPr>
            <w:tcW w:w="918" w:type="pct"/>
          </w:tcPr>
          <w:p w14:paraId="6F334EB5" w14:textId="748BD28E" w:rsidR="009E2382" w:rsidRPr="00ED172B" w:rsidRDefault="009E2382" w:rsidP="0012497F">
            <w:pPr>
              <w:jc w:val="center"/>
              <w:rPr>
                <w:color w:val="000000" w:themeColor="text1"/>
              </w:rPr>
            </w:pPr>
            <w:r>
              <w:rPr>
                <w:color w:val="000000" w:themeColor="text1"/>
              </w:rPr>
              <w:t>73.55%</w:t>
            </w:r>
          </w:p>
        </w:tc>
        <w:tc>
          <w:tcPr>
            <w:tcW w:w="917" w:type="pct"/>
          </w:tcPr>
          <w:p w14:paraId="13A1DF6C" w14:textId="36831C30" w:rsidR="009E2382" w:rsidRPr="00ED172B" w:rsidRDefault="009E2382" w:rsidP="0012497F">
            <w:pPr>
              <w:jc w:val="center"/>
              <w:rPr>
                <w:color w:val="000000" w:themeColor="text1"/>
              </w:rPr>
            </w:pPr>
            <w:r>
              <w:rPr>
                <w:color w:val="000000" w:themeColor="text1"/>
              </w:rPr>
              <w:t>73.60%</w:t>
            </w:r>
          </w:p>
        </w:tc>
        <w:tc>
          <w:tcPr>
            <w:tcW w:w="916" w:type="pct"/>
          </w:tcPr>
          <w:p w14:paraId="4404EA0E" w14:textId="45986E0D" w:rsidR="009E2382" w:rsidRPr="00ED172B" w:rsidRDefault="009E2382" w:rsidP="0012497F">
            <w:pPr>
              <w:jc w:val="center"/>
              <w:rPr>
                <w:color w:val="000000" w:themeColor="text1"/>
              </w:rPr>
            </w:pPr>
            <w:r>
              <w:rPr>
                <w:color w:val="000000" w:themeColor="text1"/>
              </w:rPr>
              <w:t>73.65%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47.15%</w:t>
            </w:r>
          </w:p>
        </w:tc>
        <w:tc>
          <w:tcPr>
            <w:tcW w:w="918" w:type="pct"/>
          </w:tcPr>
          <w:p w14:paraId="58EBEEB4" w14:textId="68AFCCA1" w:rsidR="009E2382" w:rsidRPr="00ED172B" w:rsidRDefault="009E2382" w:rsidP="0012497F">
            <w:pPr>
              <w:jc w:val="center"/>
              <w:rPr>
                <w:color w:val="000000" w:themeColor="text1"/>
              </w:rPr>
            </w:pPr>
            <w:r>
              <w:rPr>
                <w:color w:val="000000" w:themeColor="text1"/>
              </w:rPr>
              <w:t>47.20%</w:t>
            </w:r>
          </w:p>
        </w:tc>
        <w:tc>
          <w:tcPr>
            <w:tcW w:w="918" w:type="pct"/>
          </w:tcPr>
          <w:p w14:paraId="6E31560A" w14:textId="75F80FC4" w:rsidR="009E2382" w:rsidRPr="00ED172B" w:rsidRDefault="009E2382" w:rsidP="0012497F">
            <w:pPr>
              <w:jc w:val="center"/>
              <w:rPr>
                <w:color w:val="000000" w:themeColor="text1"/>
              </w:rPr>
            </w:pPr>
            <w:r>
              <w:rPr>
                <w:color w:val="000000" w:themeColor="text1"/>
              </w:rPr>
              <w:t>47.25%</w:t>
            </w:r>
          </w:p>
        </w:tc>
        <w:tc>
          <w:tcPr>
            <w:tcW w:w="917" w:type="pct"/>
          </w:tcPr>
          <w:p w14:paraId="42F0DDB0" w14:textId="671196CD" w:rsidR="009E2382" w:rsidRPr="00ED172B" w:rsidRDefault="009E2382" w:rsidP="0012497F">
            <w:pPr>
              <w:jc w:val="center"/>
              <w:rPr>
                <w:color w:val="000000" w:themeColor="text1"/>
              </w:rPr>
            </w:pPr>
            <w:r>
              <w:rPr>
                <w:color w:val="000000" w:themeColor="text1"/>
              </w:rPr>
              <w:t>47.30%</w:t>
            </w:r>
          </w:p>
        </w:tc>
        <w:tc>
          <w:tcPr>
            <w:tcW w:w="916" w:type="pct"/>
          </w:tcPr>
          <w:p w14:paraId="2D756F12" w14:textId="626F7751" w:rsidR="009E2382" w:rsidRPr="00ED172B" w:rsidRDefault="009E2382" w:rsidP="0012497F">
            <w:pPr>
              <w:jc w:val="center"/>
              <w:rPr>
                <w:color w:val="000000" w:themeColor="text1"/>
              </w:rPr>
            </w:pPr>
            <w:r>
              <w:rPr>
                <w:color w:val="000000" w:themeColor="text1"/>
              </w:rPr>
              <w:t>47.35%</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9,638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0.06%</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2,394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24.84%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2,363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24.52%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2,764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28.68%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2,111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21.90%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5,127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7,527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67.01%</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67.05%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68.11%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4,875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9,638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51.20%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51.25%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50.58%</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6</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2,243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23.27%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3,244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33.66%</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3,490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36.21%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655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6.80%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6,734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8,983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75.28%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75.35%</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74.96%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4,145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9,638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42.09%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42.15%</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43.01%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8</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2,282</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23.68%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2,767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28.71%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3,369</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34.96%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1,212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12.58%</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6,136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8,426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73.40%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73.45%</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72.82%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4,581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9,638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47.08%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47.15%</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47.53%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16,881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4,424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As stated above, Illinois uses the ECO Center’s COS process. This involves using information collected from a variety of sources including parent report, observation, evaluation/assessment, and, for exits, intervention information. For evaluation/assessment, providers in Illinois are allowed to use any of the tools found on this list: https://www.dhs.state.il.us/page.aspx?item=96971.</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lastRenderedPageBreak/>
        <w:t xml:space="preserve">The state reviewed the reasons for the remainder of its missing child outcomes data and found that, although the largest number of children were excluded due to being in the program for less than six months, other reasons for exclusion included the child was deceased, the entry or exit rating was completed outside the specified date range, or entry or exit data was missing from the data system. The state also compared the data from FFY20 and FFY21 to examine the reasons behind the smaller number of matched pairs in FFY21. The decrease is primarily due to a decrease in the number of children in the system (3 months of COVID for FFY20 and 12 months of COVID for FFY21). Data completeness </w:t>
      </w:r>
      <w:proofErr w:type="gramStart"/>
      <w:r w:rsidRPr="00ED172B">
        <w:rPr>
          <w:rFonts w:cs="Arial"/>
          <w:color w:val="000000" w:themeColor="text1"/>
          <w:szCs w:val="16"/>
        </w:rPr>
        <w:t>actually improved</w:t>
      </w:r>
      <w:proofErr w:type="gramEnd"/>
      <w:r w:rsidRPr="00ED172B">
        <w:rPr>
          <w:rFonts w:cs="Arial"/>
          <w:color w:val="000000" w:themeColor="text1"/>
          <w:szCs w:val="16"/>
        </w:rPr>
        <w:t xml:space="preserve"> by roughly 3% during FFY21.</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70.60%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67.82%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73.14%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71.88%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72.57%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75.12%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72.28%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78.80%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78.80%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78.37%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77.06%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78.43%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76.64%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75.40%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74.31%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77.09%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76.06%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77.47%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78.52%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67.87%</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67.92%</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67.97%</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68.97%</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69.97%</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77.00%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77.05%</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77.10%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77.20%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77.35%</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76.25%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76.32%</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76.37%</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76.47%</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76.57%</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Illinois received stakeholder input via the Child &amp; Family Outcomes workgroup and the Illinois Interagency Council on Early Intervention (IICEI). The Child &amp; Family Outcomes workgroup helped set the targets that were approved by the IICEI. The workgroup routinely reviews the data and makes recommendations about improvements to the state’s processes. The workgroup was recently expanded to include family members.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15,080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2,236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14.83%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1,657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2,236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1,710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2,235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1,607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lastRenderedPageBreak/>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2,177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72.28%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67.87%</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74.11%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76.64%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77.00%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76.51%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76.40%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76.25%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73.82%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Based on the comments collected through the survey, </w:t>
      </w:r>
      <w:proofErr w:type="gramStart"/>
      <w:r w:rsidRPr="00ED172B">
        <w:rPr>
          <w:color w:val="000000" w:themeColor="text1"/>
        </w:rPr>
        <w:t>a number of</w:t>
      </w:r>
      <w:proofErr w:type="gramEnd"/>
      <w:r w:rsidRPr="00ED172B">
        <w:rPr>
          <w:color w:val="000000" w:themeColor="text1"/>
        </w:rPr>
        <w:t xml:space="preserve"> things likely contributed to the slippage for this outcome. Families described challenges with receiving timely responses from service coordinators, accessing individual services on their IFSP, and obtaining desired support through services provided via live video visit rather than in person. Some also expressed a desire for more suggestions about what they could do between visits. Yet others reported challenges with communication and staff turnover. Overall, the challenges related to the workforce and the stress related to COVID seem to be impacting the experiences some families are having in early intervention. </w:t>
      </w:r>
      <w:proofErr w:type="gramStart"/>
      <w:r w:rsidRPr="00ED172B">
        <w:rPr>
          <w:color w:val="000000" w:themeColor="text1"/>
        </w:rPr>
        <w:t>That being said, many</w:t>
      </w:r>
      <w:proofErr w:type="gramEnd"/>
      <w:r w:rsidRPr="00ED172B">
        <w:rPr>
          <w:color w:val="000000" w:themeColor="text1"/>
        </w:rPr>
        <w:t xml:space="preserve"> families still left very positive comments about their experience.</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Although the responses were representative in some ways, stakeholders are most concerned about the representativeness by race/ethnicity of the responders. We continue to find White families over-represented. In the coming year, we will continue analyzing the parts of the survey process to determine where bias might be introduced (undeliverable surveys and opt outs) so that we can work with stakeholders to address these biases and create strategies that are meaningful for improving responses for the under-represented groups (both by race and region). Depending on what further analyses reveal, we will work with stakeholders to determine potential modification to the process.</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14.96%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14.83%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We changed the order of the questions this past year to try to make sure that families who provided partial responses answered the items we report. While that helped to some degree, it did not have as big of an impact as we had hoped. We do think it is important to continue providing families an option of choosing which language they would like to use for completing the survey (English vs. Spanish). We are also working with our outcomes workgroup to examine the trends for undeliverable surveys to see if we can do anything to make sure more families receive the electronic survey. </w:t>
      </w:r>
      <w:r w:rsidRPr="00ED172B">
        <w:rPr>
          <w:rFonts w:cs="Arial"/>
          <w:color w:val="000000" w:themeColor="text1"/>
          <w:szCs w:val="16"/>
        </w:rPr>
        <w:br/>
      </w:r>
      <w:r w:rsidRPr="00ED172B">
        <w:rPr>
          <w:rFonts w:cs="Arial"/>
          <w:color w:val="000000" w:themeColor="text1"/>
          <w:szCs w:val="16"/>
        </w:rPr>
        <w:br/>
        <w:t xml:space="preserve">In terms of reaching underrepresented groups, we have examined both undeliverable and opt out data to see if these are disproportionately impacting delivery to Black families. While </w:t>
      </w:r>
      <w:proofErr w:type="spellStart"/>
      <w:r w:rsidRPr="00ED172B">
        <w:rPr>
          <w:rFonts w:cs="Arial"/>
          <w:color w:val="000000" w:themeColor="text1"/>
          <w:szCs w:val="16"/>
        </w:rPr>
        <w:t>undeliverables</w:t>
      </w:r>
      <w:proofErr w:type="spellEnd"/>
      <w:r w:rsidRPr="00ED172B">
        <w:rPr>
          <w:rFonts w:cs="Arial"/>
          <w:color w:val="000000" w:themeColor="text1"/>
          <w:szCs w:val="16"/>
        </w:rPr>
        <w:t xml:space="preserve"> were more likely to impact delivery to Black families, White families were more likely to opt out of the survey. Other racial groups were </w:t>
      </w:r>
      <w:proofErr w:type="gramStart"/>
      <w:r w:rsidRPr="00ED172B">
        <w:rPr>
          <w:rFonts w:cs="Arial"/>
          <w:color w:val="000000" w:themeColor="text1"/>
          <w:szCs w:val="16"/>
        </w:rPr>
        <w:t>pretty evenly</w:t>
      </w:r>
      <w:proofErr w:type="gramEnd"/>
      <w:r w:rsidRPr="00ED172B">
        <w:rPr>
          <w:rFonts w:cs="Arial"/>
          <w:color w:val="000000" w:themeColor="text1"/>
          <w:szCs w:val="16"/>
        </w:rPr>
        <w:t xml:space="preserve"> distributed across both mechanisms for failed delivery. Given this finding, we will be working with our outcomes workgroup to further understand what is impacting </w:t>
      </w:r>
      <w:proofErr w:type="spellStart"/>
      <w:r w:rsidRPr="00ED172B">
        <w:rPr>
          <w:rFonts w:cs="Arial"/>
          <w:color w:val="000000" w:themeColor="text1"/>
          <w:szCs w:val="16"/>
        </w:rPr>
        <w:t>undeliverables</w:t>
      </w:r>
      <w:proofErr w:type="spellEnd"/>
      <w:r w:rsidRPr="00ED172B">
        <w:rPr>
          <w:rFonts w:cs="Arial"/>
          <w:color w:val="000000" w:themeColor="text1"/>
          <w:szCs w:val="16"/>
        </w:rPr>
        <w:t xml:space="preserve"> including the examination of income information. As a general strategy for increasing response rate, service coordinators have been asked to remind families about the family outcomes survey during the monthly contact preceding the child’s exit from the system. We also hope to feature more information about the survey in upcoming system newsletters as well as in other types of opportunities for families.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proofErr w:type="gramStart"/>
      <w:r w:rsidRPr="00ED172B">
        <w:rPr>
          <w:rFonts w:cs="Arial"/>
          <w:color w:val="000000" w:themeColor="text1"/>
          <w:szCs w:val="16"/>
        </w:rPr>
        <w:t>Again</w:t>
      </w:r>
      <w:proofErr w:type="gramEnd"/>
      <w:r w:rsidRPr="00ED172B">
        <w:rPr>
          <w:rFonts w:cs="Arial"/>
          <w:color w:val="000000" w:themeColor="text1"/>
          <w:szCs w:val="16"/>
        </w:rPr>
        <w:t xml:space="preserve"> this year, we examined response rate by race/ethnicity, region/geographic location, gender and primary language. As noted above, we have examined our undeliverable and opt out survey demographics and will work with the outcomes workgroup to see if anything can be done to increase the number of families the survey reaches. On a positive note, Hispanic families and families whose primary language is Spanish were over-represented in the respondents for the first time.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Though we do not have a good way to understand the outcomes of the families who did not respond, we are able to analyze the outcomes data by race and ethnicity. When the outcomes are analyzed by race and ethnicity, we find that Black families generally report the lowest achievement of outcomes across racial/ethnic groups. Though White families report poorer outcomes than Hispanic and Asian families, they are still higher than Black families. Given this finding and the underrepresentation of Black families in our data, we can hypothesize that our overall outcomes would be even lower if we heard from more Black families. We will continue to work with our outcomes workgroup to examine how bias may be introduced into the survey process. We will continue to offer the survey in at least two languages and </w:t>
      </w:r>
      <w:proofErr w:type="gramStart"/>
      <w:r w:rsidRPr="00ED172B">
        <w:rPr>
          <w:rFonts w:cs="Arial"/>
          <w:color w:val="000000" w:themeColor="text1"/>
          <w:szCs w:val="16"/>
        </w:rPr>
        <w:t>offer assistance</w:t>
      </w:r>
      <w:proofErr w:type="gramEnd"/>
      <w:r w:rsidRPr="00ED172B">
        <w:rPr>
          <w:rFonts w:cs="Arial"/>
          <w:color w:val="000000" w:themeColor="text1"/>
          <w:szCs w:val="16"/>
        </w:rPr>
        <w:t xml:space="preserve"> through the Training Program for families who need support completing the survey. We are also still working to understand the impact income differences have on the data. We are hoping that this may shed some light on why the survey doesn't reach some families, making it impossible for them to respond. We are also enlisting our Partners' help in raising awareness of the survey so that a broader cross section of families </w:t>
      </w:r>
      <w:proofErr w:type="gramStart"/>
      <w:r w:rsidRPr="00ED172B">
        <w:rPr>
          <w:rFonts w:cs="Arial"/>
          <w:color w:val="000000" w:themeColor="text1"/>
          <w:szCs w:val="16"/>
        </w:rPr>
        <w:t>know</w:t>
      </w:r>
      <w:proofErr w:type="gramEnd"/>
      <w:r w:rsidRPr="00ED172B">
        <w:rPr>
          <w:rFonts w:cs="Arial"/>
          <w:color w:val="000000" w:themeColor="text1"/>
          <w:szCs w:val="16"/>
        </w:rPr>
        <w:t xml:space="preserve"> about, and respond to, the survey. Lastly, we are </w:t>
      </w:r>
      <w:proofErr w:type="gramStart"/>
      <w:r w:rsidRPr="00ED172B">
        <w:rPr>
          <w:rFonts w:cs="Arial"/>
          <w:color w:val="000000" w:themeColor="text1"/>
          <w:szCs w:val="16"/>
        </w:rPr>
        <w:t>in the midst of</w:t>
      </w:r>
      <w:proofErr w:type="gramEnd"/>
      <w:r w:rsidRPr="00ED172B">
        <w:rPr>
          <w:rFonts w:cs="Arial"/>
          <w:color w:val="000000" w:themeColor="text1"/>
          <w:szCs w:val="16"/>
        </w:rPr>
        <w:t xml:space="preserve"> developing a new data system and hope that this will provide us a way to directly survey the broad cross section of families that receive early intervention services.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responses are generally representative (and consistent with last year), with a slight under-representation of Black families and over-representation of White and Hispanic families. Our analysis is included below.</w:t>
      </w:r>
      <w:r w:rsidRPr="00ED172B">
        <w:rPr>
          <w:rFonts w:cs="Arial"/>
          <w:color w:val="000000" w:themeColor="text1"/>
          <w:szCs w:val="16"/>
        </w:rPr>
        <w:br/>
      </w:r>
      <w:r w:rsidRPr="00ED172B">
        <w:rPr>
          <w:rFonts w:cs="Arial"/>
          <w:color w:val="000000" w:themeColor="text1"/>
          <w:szCs w:val="16"/>
        </w:rPr>
        <w:br/>
        <w:t>Region (% enrolled in Part C versus % responded)</w:t>
      </w:r>
      <w:r w:rsidRPr="00ED172B">
        <w:rPr>
          <w:rFonts w:cs="Arial"/>
          <w:color w:val="000000" w:themeColor="text1"/>
          <w:szCs w:val="16"/>
        </w:rPr>
        <w:br/>
        <w:t xml:space="preserve">  Region 1 (Chicago) - 23.3 vs. 20.2</w:t>
      </w:r>
      <w:r w:rsidRPr="00ED172B">
        <w:rPr>
          <w:rFonts w:cs="Arial"/>
          <w:color w:val="000000" w:themeColor="text1"/>
          <w:szCs w:val="16"/>
        </w:rPr>
        <w:br/>
        <w:t xml:space="preserve">  Region 2 (Suburban Cook) – 21.5 vs. 21.0</w:t>
      </w:r>
      <w:r w:rsidRPr="00ED172B">
        <w:rPr>
          <w:rFonts w:cs="Arial"/>
          <w:color w:val="000000" w:themeColor="text1"/>
          <w:szCs w:val="16"/>
        </w:rPr>
        <w:br/>
        <w:t xml:space="preserve">  Region 3 (Collar Counties)– 25.1 vs. 29.8</w:t>
      </w:r>
      <w:r w:rsidRPr="00ED172B">
        <w:rPr>
          <w:rFonts w:cs="Arial"/>
          <w:color w:val="000000" w:themeColor="text1"/>
          <w:szCs w:val="16"/>
        </w:rPr>
        <w:br/>
        <w:t xml:space="preserve">  Region 4 (Downstate) – 30.0 vs. 29.0</w:t>
      </w:r>
      <w:r w:rsidRPr="00ED172B">
        <w:rPr>
          <w:rFonts w:cs="Arial"/>
          <w:color w:val="000000" w:themeColor="text1"/>
          <w:szCs w:val="16"/>
        </w:rPr>
        <w:br/>
      </w:r>
      <w:r w:rsidRPr="00ED172B">
        <w:rPr>
          <w:rFonts w:cs="Arial"/>
          <w:color w:val="000000" w:themeColor="text1"/>
          <w:szCs w:val="16"/>
        </w:rPr>
        <w:br/>
        <w:t>Gender (% enrolled in Part C versus % responded)</w:t>
      </w:r>
      <w:r w:rsidRPr="00ED172B">
        <w:rPr>
          <w:rFonts w:cs="Arial"/>
          <w:color w:val="000000" w:themeColor="text1"/>
          <w:szCs w:val="16"/>
        </w:rPr>
        <w:br/>
        <w:t xml:space="preserve">  Female – 35.2 vs. 34.7</w:t>
      </w:r>
      <w:r w:rsidRPr="00ED172B">
        <w:rPr>
          <w:rFonts w:cs="Arial"/>
          <w:color w:val="000000" w:themeColor="text1"/>
          <w:szCs w:val="16"/>
        </w:rPr>
        <w:br/>
        <w:t xml:space="preserve">  Male – 64.8 vs. 65.3</w:t>
      </w:r>
      <w:r w:rsidRPr="00ED172B">
        <w:rPr>
          <w:rFonts w:cs="Arial"/>
          <w:color w:val="000000" w:themeColor="text1"/>
          <w:szCs w:val="16"/>
        </w:rPr>
        <w:br/>
      </w:r>
      <w:r w:rsidRPr="00ED172B">
        <w:rPr>
          <w:rFonts w:cs="Arial"/>
          <w:color w:val="000000" w:themeColor="text1"/>
          <w:szCs w:val="16"/>
        </w:rPr>
        <w:br/>
        <w:t>Primary Language (% enrolled in Part C versus % responded)</w:t>
      </w:r>
      <w:r w:rsidRPr="00ED172B">
        <w:rPr>
          <w:rFonts w:cs="Arial"/>
          <w:color w:val="000000" w:themeColor="text1"/>
          <w:szCs w:val="16"/>
        </w:rPr>
        <w:br/>
        <w:t xml:space="preserve">  English – 89.0 vs. 88.8</w:t>
      </w:r>
      <w:r w:rsidRPr="00ED172B">
        <w:rPr>
          <w:rFonts w:cs="Arial"/>
          <w:color w:val="000000" w:themeColor="text1"/>
          <w:szCs w:val="16"/>
        </w:rPr>
        <w:br/>
        <w:t xml:space="preserve">  Spanish – 8.9 vs. 10.1</w:t>
      </w:r>
      <w:r w:rsidRPr="00ED172B">
        <w:rPr>
          <w:rFonts w:cs="Arial"/>
          <w:color w:val="000000" w:themeColor="text1"/>
          <w:szCs w:val="16"/>
        </w:rPr>
        <w:br/>
        <w:t xml:space="preserve">  Other – 2.1 vs 1.1</w:t>
      </w:r>
      <w:r w:rsidRPr="00ED172B">
        <w:rPr>
          <w:rFonts w:cs="Arial"/>
          <w:color w:val="000000" w:themeColor="text1"/>
          <w:szCs w:val="16"/>
        </w:rPr>
        <w:br/>
      </w:r>
      <w:r w:rsidRPr="00ED172B">
        <w:rPr>
          <w:rFonts w:cs="Arial"/>
          <w:color w:val="000000" w:themeColor="text1"/>
          <w:szCs w:val="16"/>
        </w:rPr>
        <w:br/>
        <w:t>Race (% enrolled in Part C versus % responded)</w:t>
      </w:r>
      <w:r w:rsidRPr="00ED172B">
        <w:rPr>
          <w:rFonts w:cs="Arial"/>
          <w:color w:val="000000" w:themeColor="text1"/>
          <w:szCs w:val="16"/>
        </w:rPr>
        <w:br/>
        <w:t xml:space="preserve">  White – 55.7 vs. 60.0</w:t>
      </w:r>
      <w:r w:rsidRPr="00ED172B">
        <w:rPr>
          <w:rFonts w:cs="Arial"/>
          <w:color w:val="000000" w:themeColor="text1"/>
          <w:szCs w:val="16"/>
        </w:rPr>
        <w:br/>
        <w:t xml:space="preserve">  Hispanic – 25.7 vs. 25.8</w:t>
      </w:r>
      <w:r w:rsidRPr="00ED172B">
        <w:rPr>
          <w:rFonts w:cs="Arial"/>
          <w:color w:val="000000" w:themeColor="text1"/>
          <w:szCs w:val="16"/>
        </w:rPr>
        <w:br/>
        <w:t xml:space="preserve">  Black/African American – 14.9 vs. 10.9</w:t>
      </w:r>
      <w:r w:rsidRPr="00ED172B">
        <w:rPr>
          <w:rFonts w:cs="Arial"/>
          <w:color w:val="000000" w:themeColor="text1"/>
          <w:szCs w:val="16"/>
        </w:rPr>
        <w:br/>
        <w:t xml:space="preserve">  Asian American – 3.7 vs. 3.1</w:t>
      </w:r>
      <w:r w:rsidRPr="00ED172B">
        <w:rPr>
          <w:rFonts w:cs="Arial"/>
          <w:color w:val="000000" w:themeColor="text1"/>
          <w:szCs w:val="16"/>
        </w:rPr>
        <w:br/>
        <w:t xml:space="preserve">  American Indian/Alaskan Native– 0.2 vs. 0.2</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Stakeholders determined that the metric used to determine representativeness would be +/-4% discrepancy in proportion of responders to those surveyed. Stakeholders felt this metric allows Illinois some flexibility while still being innovative with ways to address potential inequities. This allows us to continue to examine both respondents and non-respondents and develop strategies to address any ongoing under- or over- representativeness. Variables examined for representativeness included race/ethnicity, geographic location, gender, and primary language. Given the +/- 4% </w:t>
      </w:r>
      <w:proofErr w:type="spellStart"/>
      <w:r w:rsidRPr="00ED172B">
        <w:rPr>
          <w:rFonts w:cs="Arial"/>
          <w:color w:val="000000" w:themeColor="text1"/>
          <w:szCs w:val="16"/>
        </w:rPr>
        <w:t>threshhold</w:t>
      </w:r>
      <w:proofErr w:type="spellEnd"/>
      <w:r w:rsidRPr="00ED172B">
        <w:rPr>
          <w:rFonts w:cs="Arial"/>
          <w:color w:val="000000" w:themeColor="text1"/>
          <w:szCs w:val="16"/>
        </w:rPr>
        <w:t>, respondents were representative except for region and race/ethnicity, with Collar counties (4.7%) and White families slightly overrepresented (4.3%).</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proofErr w:type="gramStart"/>
      <w:r w:rsidRPr="00ED172B">
        <w:rPr>
          <w:color w:val="000000" w:themeColor="text1"/>
        </w:rPr>
        <w:t>Again</w:t>
      </w:r>
      <w:proofErr w:type="gramEnd"/>
      <w:r w:rsidRPr="00ED172B">
        <w:rPr>
          <w:color w:val="000000" w:themeColor="text1"/>
        </w:rPr>
        <w:t xml:space="preserve"> this year, we have examined response rate by race/ethnicity, region/geographic location, gender and primary language. Responses were representative on two of the four aspects examined (analysis included in analysis section above), stakeholders continue to be concerned about the representativeness by race/ethnicity of the responders. While we are more representative for Black families this year, White families are still overrepresented. Hispanic families responded in nearly identical proportion to their participation in this system. This is still regarded as a positive trend. While we are unclear as to what lead to the shift in regional discrepancies, the main impact of this discrepancy is seen in the overrepresentation of White responses. In the coming year, we will continue analyzing the parts of the survey process to determine where bias might be introduced (undeliverable surveys and opt outs) so that we can work with stakeholders to address these biases and create strategies that are meaningful for improving responses for the underrepresented groups. Depending on what these analyses reveal, we may consider alternate methods of survey delivery for those unable to receive surveys via text message. We are also taking these results into consideration as we work on the development of our new data management system.</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1.07%</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1.28%</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1.30%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1.31%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1.42%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1.10%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1.15%</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1.20%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1.30%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1.40%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lastRenderedPageBreak/>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1,522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132,242</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1,522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132,242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1.15%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3.00%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3.89%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3.97%</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3.97%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3.37%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3.48%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3.77%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4.01%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2.84%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3.05%</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3.20%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3.40%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3.75%</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15,921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412,309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15,921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412,309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3.86%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98.67%</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99.98%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99.80%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1,585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1,755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99.49%</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161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COVID Related - 112, Parent/FEC Related Delay - 49, CFC Related Delay- 9</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October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number of children with new initial IFSPs across the fiscal year is relatively close to this single collection month. This single collection month also is consistent with other compliance indicator collection activity.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203B4" w:rsidP="00186420">
            <w:pPr>
              <w:jc w:val="center"/>
              <w:rPr>
                <w:rFonts w:cs="Arial"/>
                <w:color w:val="000000" w:themeColor="text1"/>
                <w:szCs w:val="16"/>
              </w:rPr>
            </w:pP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203B4" w:rsidP="00186420">
            <w:pPr>
              <w:jc w:val="center"/>
              <w:rPr>
                <w:rFonts w:cs="Arial"/>
                <w:color w:val="000000" w:themeColor="text1"/>
                <w:szCs w:val="16"/>
              </w:rPr>
            </w:pP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did not provide the reasons for delay, as required by the Measurement Table. Therefore, OSEP was unable to determine whether the State reviewed the reasons for delay.</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2022 in its FFY 2022 SPP/APR.</w:t>
      </w:r>
      <w:r w:rsidRPr="00ED172B">
        <w:rPr>
          <w:color w:val="000000" w:themeColor="text1"/>
        </w:rPr>
        <w:br/>
      </w:r>
      <w:r w:rsidRPr="00ED172B">
        <w:rPr>
          <w:color w:val="000000" w:themeColor="text1"/>
        </w:rPr>
        <w:br/>
        <w:t xml:space="preserve">Because the State reported less than 100% compliance for FFY 2021, the State must report on the status of correction of noncompliance identified in FFY 2021 for this indicator. </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71.80%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95.01%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94.54%</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96.01%</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96.01%</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87.88%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366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371</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87.88%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98.65%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Since the information for this indicator is collected via Monitoring and not the state database, we have not historically captured the reasons for delays. We are currently working with our Monitoring partner to refine their process and have flagged this as an issue to be addressed in both future Monitoring visits as well as in our new data system. We are hopeful that the new data system will allow both better information about the steps and services being developed as well as enhanced monitoring of timely completion. We have also updated our transition page in the IFSP to provide more support for service coordinators as they develop transition steps and services with families.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Illinois EI Monitoring monitors all 25 CFC offices for this Indicator. The sample of files pulled is based on the number of children exiting within a specific month who are determined potentially eligible for Part B.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subsequent data collected during the FFY21 monitoring visit verified that the one program that was issued a finding last year is now demonstrating full compliance with the regulatory requirements for timely steps and services. All files reviewed during the most recent Monitoring visit included timely steps and services. Therefore, this program had timely services for 100% of the children reviewed.</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In addition, the state was able to verify via a quarterly data submission that two of the four individual cases of noncompliance were corrected prior to the children exiting the program. The other two individual cases of noncompliance are resolved as the children are no longer under the jurisdiction of the program.</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w:t>
      </w:r>
      <w:r w:rsidRPr="00ED172B">
        <w:rPr>
          <w:color w:val="000000" w:themeColor="text1"/>
        </w:rPr>
        <w:lastRenderedPageBreak/>
        <w:t xml:space="preserve">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There were two CFCs with less than 100% compliance in FFY2020, but one of these CFCs already had an open finding, so only one finding was issued in FFY2020. The data collected during the FFY21 monitoring visit verified that the one program that was issued a finding last year is now demonstrating full compliance with the regulatory requirements for timely steps and services. All files reviewed during the most recent Monitoring visit included timely steps and services. Therefore, this program had timely services for 100% of the children reviewed. In addition, the two individual cases of noncompliance identified the previous year were resolved as the children are no longer under the jurisdiction of the program. In addition, the Bureau was able to confirm that the CFC with longstanding noncompliance is correctly implementing the requirements through a subsequent review of a sample of manually provided IFSPs. The state was able to verify that the program was 100% compliant and that all children received their transition steps and services timely in their IFSP. Each individual case of noncompliance from FFY2009 was also resolved as the children are no longer within the jurisdiction of the program.</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acknowledged that "we have not historically captured the reasons for delay."</w:t>
      </w:r>
      <w:r w:rsidRPr="00ED172B">
        <w:rPr>
          <w:color w:val="000000" w:themeColor="text1"/>
        </w:rPr>
        <w:br/>
      </w:r>
      <w:r w:rsidRPr="00ED172B">
        <w:rPr>
          <w:color w:val="000000" w:themeColor="text1"/>
        </w:rPr>
        <w:br/>
        <w:t xml:space="preserve">In the State's local public reporting for FFY 2020, the State reported that two CFCs reported less than 100% correction for this indicator.  However, the State only reported on the status of correction of one CFC.  The State explained in the FFY 2021 SPP/APR that, "There were two CFCs with less than 100% compliance in FFY 2020, but one of these CFCs already had an open finding, so only one finding was issued in FFY2020."  </w:t>
      </w:r>
      <w:r w:rsidRPr="00ED172B">
        <w:rPr>
          <w:color w:val="000000" w:themeColor="text1"/>
        </w:rPr>
        <w:br/>
      </w:r>
      <w:r w:rsidRPr="00ED172B">
        <w:rPr>
          <w:color w:val="000000" w:themeColor="text1"/>
        </w:rPr>
        <w:br/>
        <w:t>The State further explained, "In addition, the Bureau was able to confirm that the CFC with longstanding noncompliance is correctly implementing the requirements through a subsequent review of a sample of manually provided IFSPs. The state was able to verify that the program was 100% compliant and that all children received their transition steps and services timely in their IFSP. Each individual case of noncompliance from FFY 2009 was also resolved as the children are no longer within the jurisdiction of the program."</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r w:rsidRPr="00ED172B">
        <w:rPr>
          <w:color w:val="000000" w:themeColor="text1"/>
        </w:rPr>
        <w:br/>
      </w:r>
      <w:r w:rsidRPr="00ED172B">
        <w:rPr>
          <w:color w:val="000000" w:themeColor="text1"/>
        </w:rPr>
        <w:br/>
        <w:t>The State did not provide the reasons for delay as required by the Measurement Table. The State must report reasons for delay for FFY 2022 in its FFY 2022 SPP/APR.</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78.50%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942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942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Illinois utilizes a data sharing agreement with the Illinois State Board of Education (ISBE), the State Education Agency (SEA), to assure that every child who reached 25 months of age or who started EI services after the age of 25 months were made known to the local education agency (LEA). This has been changed in response to stakeholder feedback from 27 months to ensure that transitions are achieved in a timely fashion. The Bureau of EI has confirmed that notifications were sent to the SEA and LEA at least 90 days prior to the toddler’s third birthday for all toddlers who reached 25 months of age. The calculation excludes children who were referred to the program less than 90 days prior to their third birthday. In FFY20/SFY21, Illinois demonstrated 100 percent compliance. ISBE implemented a new automated system to share the data with the LEAs in Illinois. Current improvement plans include a method to better update when a family relocates after the initial data is sent to help connect the more current LEA with the family to avoid any extra work of CFC to manually send the updated information. Illinois also continues to help update the data efficiently by working on reports indicating addresses not meeting United States Postal Service requirements. This practice has greatly reduced any misidentification of the LEA.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October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month of October does reflect the average number of children potentially eligible who exit the program through the year. This also aligns the data collection and reporting across all Compliance Indicators as well.</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77.80%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83.76%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82.51%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82.26%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88.32%</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82.94%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711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942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82.94%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84.39%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58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35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COVID (3) and Parent Delay (32). Other reasons for delayed transition planning conferences included eligibility determination less than 90 days before third birthday, school district delay, and CFC delay.</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October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month of October does reflect the average number of children potentially eligible who exit the program through the year. Using October's data also aligns the data collection and reporting across all Compliance Indicators.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2</w:t>
            </w:r>
          </w:p>
        </w:tc>
      </w:tr>
    </w:tbl>
    <w:p w14:paraId="0D85C54F" w14:textId="3D80AB5D" w:rsidR="00E06C1E" w:rsidRPr="00ED172B" w:rsidRDefault="00CD74B5" w:rsidP="00B83404">
      <w:pPr>
        <w:rPr>
          <w:color w:val="000000" w:themeColor="text1"/>
        </w:rPr>
      </w:pPr>
      <w:r>
        <w:rPr>
          <w:b/>
          <w:color w:val="000000" w:themeColor="text1"/>
        </w:rPr>
        <w:t>FFY 2020 Findings of Noncompliance Not Yet Verified as Corrected</w:t>
      </w:r>
    </w:p>
    <w:p w14:paraId="5FEF1614" w14:textId="77777777" w:rsidR="00E06C1E" w:rsidRPr="00ED172B" w:rsidRDefault="00E06C1E">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22EE7D0" w14:textId="7C8AC5D2" w:rsidR="00E06C1E" w:rsidRDefault="00860830">
      <w:pPr>
        <w:rPr>
          <w:color w:val="000000" w:themeColor="text1"/>
        </w:rPr>
      </w:pPr>
      <w:r w:rsidRPr="00ED172B">
        <w:rPr>
          <w:color w:val="000000" w:themeColor="text1"/>
        </w:rPr>
        <w:t xml:space="preserve">The single program that continues to demonstrate noncompliance may be selected as part of the pilot for our new process for addressing longstanding noncompliance. Even if not selected for this initiative, they will receive general information about the regulatory requirements for this indicator and may have to develop an improvement plan to address performance. Bureau staff continue to work closely with all programs to identify additional resources and technical assistance opportunities to support timely transition planning conferences. This program also receives performance data and feedback on a frequent basis. The Bureau is reviewing its correction of noncompliance procedures to incorporate engagement activities between the Bureau and program. In addition, improvement activities (e.g., root cause analysis, improvement plan, data collection, data analysis) to correct noncompliance and ensure correct implementation of </w:t>
      </w:r>
      <w:proofErr w:type="spellStart"/>
      <w:r w:rsidRPr="00ED172B">
        <w:rPr>
          <w:color w:val="000000" w:themeColor="text1"/>
        </w:rPr>
        <w:t>requlatory</w:t>
      </w:r>
      <w:proofErr w:type="spellEnd"/>
      <w:r w:rsidRPr="00ED172B">
        <w:rPr>
          <w:color w:val="000000" w:themeColor="text1"/>
        </w:rPr>
        <w:t xml:space="preserve"> requirements will be revised, as needed.</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FFY 2018</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r w:rsidR="00ED172B" w:rsidRPr="00ED172B" w14:paraId="423BF0B3" w14:textId="77777777" w:rsidTr="00986B99">
        <w:tc>
          <w:tcPr>
            <w:tcW w:w="954" w:type="pct"/>
            <w:shd w:val="clear" w:color="auto" w:fill="auto"/>
          </w:tcPr>
          <w:p w14:paraId="7C618054" w14:textId="50E5413D" w:rsidR="00E06C1E" w:rsidRPr="00ED172B" w:rsidRDefault="00860830" w:rsidP="00CD79C5">
            <w:pPr>
              <w:rPr>
                <w:rFonts w:cs="Arial"/>
                <w:color w:val="000000" w:themeColor="text1"/>
                <w:szCs w:val="16"/>
              </w:rPr>
            </w:pPr>
            <w:r w:rsidRPr="00ED172B">
              <w:rPr>
                <w:rFonts w:cs="Arial"/>
                <w:color w:val="000000" w:themeColor="text1"/>
                <w:szCs w:val="16"/>
              </w:rPr>
              <w:lastRenderedPageBreak/>
              <w:t>FFY 2017</w:t>
            </w:r>
          </w:p>
        </w:tc>
        <w:tc>
          <w:tcPr>
            <w:tcW w:w="1369" w:type="pct"/>
            <w:shd w:val="clear" w:color="auto" w:fill="auto"/>
          </w:tcPr>
          <w:p w14:paraId="4384FEF7" w14:textId="06049B4E"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60362BA9" w14:textId="53FAE770"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c>
          <w:tcPr>
            <w:tcW w:w="1292" w:type="pct"/>
            <w:shd w:val="clear" w:color="auto" w:fill="auto"/>
          </w:tcPr>
          <w:p w14:paraId="1935DBBF" w14:textId="5B8D837C"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The state reviewed subsequent data comprised of a sample of all children exiting Part C for one month (December) in the state's data system for the program demonstrating noncompliance. Based on this review, the State was able to verify that the program is now demonstrating full compliance with the regulatory requirements for timely transition conferences. They had timely transition conferences for 100% of the children in the sample.</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 xml:space="preserve">The state was also able to determine through a subsequent review of data that seven of the individual cases of noncompliance were corrected as the children had transition planning conferences, even though they were delayed. </w:t>
      </w:r>
      <w:proofErr w:type="gramStart"/>
      <w:r w:rsidRPr="00ED172B">
        <w:rPr>
          <w:color w:val="000000" w:themeColor="text1"/>
        </w:rPr>
        <w:t>Unfortunately</w:t>
      </w:r>
      <w:proofErr w:type="gramEnd"/>
      <w:r w:rsidRPr="00ED172B">
        <w:rPr>
          <w:color w:val="000000" w:themeColor="text1"/>
        </w:rPr>
        <w:t xml:space="preserve"> two individual cases of noncompliance were not able to be corrected prior to the children exiting the program. These cases, however, are resolved as the children are no longer under the jurisdiction of the program.</w:t>
      </w:r>
    </w:p>
    <w:p w14:paraId="2C246F44" w14:textId="5144990F"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0CCD5E25"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3DA16E22" w14:textId="77777777" w:rsidR="00866366" w:rsidRPr="00ED172B" w:rsidRDefault="00866366" w:rsidP="00866366">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50AED22" w14:textId="25B34CA2" w:rsidR="00866366" w:rsidRDefault="00866366" w:rsidP="00866366">
      <w:pPr>
        <w:rPr>
          <w:color w:val="000000" w:themeColor="text1"/>
        </w:rPr>
      </w:pPr>
      <w:r w:rsidRPr="00ED172B">
        <w:rPr>
          <w:color w:val="000000" w:themeColor="text1"/>
        </w:rPr>
        <w:t>The Bureau is continuing to access technical assistance to develop a process for addressing noncompliance. We anticipate beginning work with the CFCs to develop improvement plans that address performance. This process will include identifying barriers and receiving additional technical assistance from Bureau staff, Early Intervention Training Program staff, and other partners/program managers (as needed) on potential strategies for meeting the regulatory requirements and program expectations for Indicator 8c (timely transition planning conferences). We anticipate that Bureau and Training Program staff will work closely with these programs to identify additional resources and technical assistance opportunities to support timely transition planning conferences. The programs will continue to receive performance data and feedback on a frequent basis and will be supported in their understanding of this data. It is hoped that the additional support planned that includes examining root causes and attempting to resolve barriers to timely transition planning conferences will not be delayed again due to the pandemic.</w:t>
      </w:r>
    </w:p>
    <w:p w14:paraId="1D06ED5A" w14:textId="5CD88062"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2DCC61E6"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14D483FB" w14:textId="77777777" w:rsidR="00866366" w:rsidRPr="00ED172B" w:rsidRDefault="00866366" w:rsidP="00866366">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37D7FC57" w14:textId="77C3FEF2" w:rsidR="00866366" w:rsidRDefault="00866366" w:rsidP="00866366">
      <w:pPr>
        <w:rPr>
          <w:color w:val="000000" w:themeColor="text1"/>
        </w:rPr>
      </w:pPr>
      <w:r w:rsidRPr="00ED172B">
        <w:rPr>
          <w:color w:val="000000" w:themeColor="text1"/>
        </w:rPr>
        <w:t>The Bureau is continuing to access technical assistance to develop a process for addressing noncompliance. We anticipate beginning work with the CFCs to develop improvement plans that address performance. This process will include identifying barriers and receiving additional technical assistance from Bureau staff, Early Intervention Training Program staff, and other partners/program managers (as needed) on potential strategies for meeting the regulatory requirements and program expectations for Indicator 8c (timely transition planning conferences). We anticipate that Bureau and Training Program staff will work closely with these programs to identify additional resources and technical assistance opportunities to support timely transition planning conferences. The programs will continue to receive performance data and feedback on a frequent basis and will be supported in their understanding of this data. It is hoped that the additional support planned that includes examining root causes and attempting to resolve barriers to timely transition planning conferences will not be delayed again due to the pandemic.</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Because the State reported less than 100% compliance for FFY 2020, the State must report on the status of correction of noncompliance identified in FFY 2020 for this indicator. In addition, the State must demonstrate, in the FFY 2021 SPP/APR, that the remaining one (1) uncorrected finding of noncompliance identified in FFY 2019, two (2) uncorrected findings of noncompliance identified in FFY 2018, two (2) uncorrected findings of noncompliance identified in FFY 2017, and one (1) uncorrected finding of noncompliance identified in FFY 2015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FFY 2018, FFY 2017, and FFY 2015: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In addition, the State must clarify its reference to three programs with remaining noncompliance from FFY 2012.</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In FFY20, fifteen programs were out of compliance with this Indicator when APR data was reviewed. Of these fifteen, ten still had open findings from prior years. Through a subsequent review of a sample of one month's data (December) from the state’s database for the remaining five programs, the State was able to verify that three of these programs were now demonstrating full compliance (pre-finding correction) with the regulatory requirements for timely transition conferences. The State was also able to verify that individual instances of noncompliance were resolved for these three programs because the children are no longer under the jurisdiction of the program. Unfortunately, two of the programs were not able to demonstrate correction and were issued findings. </w:t>
      </w:r>
      <w:r w:rsidRPr="00ED172B">
        <w:rPr>
          <w:color w:val="000000" w:themeColor="text1"/>
        </w:rPr>
        <w:br/>
      </w:r>
      <w:r w:rsidRPr="00ED172B">
        <w:rPr>
          <w:color w:val="000000" w:themeColor="text1"/>
        </w:rPr>
        <w:br/>
        <w:t xml:space="preserve">For the remaining 2019 finding, the State was able to verify, through a subsequent review of a sample of one month of data (December) from the state database, that the program is now fully implementing the regulatory requirements for compliance with Indicator 8C. They had 100% compliance for all children in the sample. The State was also able to verify that seven of the individual instances of noncompliance were corrected because the children had transition planning conferences, albeit late, and the other two instances of noncompliance were resolved because the children were no longer under the jurisdiction of the program. </w:t>
      </w:r>
      <w:r w:rsidRPr="00ED172B">
        <w:rPr>
          <w:color w:val="000000" w:themeColor="text1"/>
        </w:rPr>
        <w:br/>
      </w:r>
      <w:r w:rsidRPr="00ED172B">
        <w:rPr>
          <w:color w:val="000000" w:themeColor="text1"/>
        </w:rPr>
        <w:br/>
        <w:t>For the two remaining findings from FFY2018 and the two remaining findings from FFY2017, the State has not been able to verify compliance. These programs may be selected to be part of piloting the process that we are developing with our technical assistance partners to address performance.</w:t>
      </w:r>
      <w:r w:rsidRPr="00ED172B">
        <w:rPr>
          <w:color w:val="000000" w:themeColor="text1"/>
        </w:rPr>
        <w:br/>
      </w:r>
      <w:r w:rsidRPr="00ED172B">
        <w:rPr>
          <w:color w:val="000000" w:themeColor="text1"/>
        </w:rPr>
        <w:lastRenderedPageBreak/>
        <w:br/>
        <w:t>Due to the limited number of rows in the table for uncorrected noncompliance, we are using this narrative box to report on older remaining noncompliance.</w:t>
      </w:r>
      <w:r w:rsidRPr="00ED172B">
        <w:rPr>
          <w:color w:val="000000" w:themeColor="text1"/>
        </w:rPr>
        <w:br/>
      </w:r>
      <w:r w:rsidRPr="00ED172B">
        <w:rPr>
          <w:color w:val="000000" w:themeColor="text1"/>
        </w:rPr>
        <w:br/>
        <w:t>FFY2015</w:t>
      </w:r>
      <w:r w:rsidRPr="00ED172B">
        <w:rPr>
          <w:color w:val="000000" w:themeColor="text1"/>
        </w:rPr>
        <w:br/>
        <w:t xml:space="preserve">The State has been unable to verify that the program with the one remaining finding from FFY2015 is now successfully implementing the regulatory requirements for timely transition planning. The Bureau continues to share data and strategies to help this CFC move toward the goal of 100% </w:t>
      </w:r>
      <w:proofErr w:type="spellStart"/>
      <w:proofErr w:type="gramStart"/>
      <w:r w:rsidRPr="00ED172B">
        <w:rPr>
          <w:color w:val="000000" w:themeColor="text1"/>
        </w:rPr>
        <w:t>compliance.This</w:t>
      </w:r>
      <w:proofErr w:type="spellEnd"/>
      <w:proofErr w:type="gramEnd"/>
      <w:r w:rsidRPr="00ED172B">
        <w:rPr>
          <w:color w:val="000000" w:themeColor="text1"/>
        </w:rPr>
        <w:t xml:space="preserve"> program may be selected to be part of piloting the process that we are developing with our technical assistance partners to address correction of noncompliance.</w:t>
      </w:r>
      <w:r w:rsidRPr="00ED172B">
        <w:rPr>
          <w:color w:val="000000" w:themeColor="text1"/>
        </w:rPr>
        <w:br/>
      </w:r>
      <w:r w:rsidRPr="00ED172B">
        <w:rPr>
          <w:color w:val="000000" w:themeColor="text1"/>
        </w:rPr>
        <w:br/>
        <w:t>FFY2012</w:t>
      </w:r>
      <w:r w:rsidRPr="00ED172B">
        <w:rPr>
          <w:color w:val="000000" w:themeColor="text1"/>
        </w:rPr>
        <w:br/>
        <w:t>The three remaining findings from 2012 remain uncorrected. The Bureau continues to share data and strategies to help these CFCs to move toward the goal of 100% compliance. These three programs may also be involved in the more intensive process we are currently developing with our technical assistance providers.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two (2) uncorrected findings of noncompliance identified in FFY 2020, two (2) uncorrected findings of noncompliance identified in FFY 2018, two (2) uncorrected findings of noncompliance identified in FFY 2017, one (1) uncorrected finding of noncompliance identified in FFY 2015, and three (3) uncorrected findings of noncompliance identified in FFY 2012 were corrected.</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FFY 2018, FFY 2017, FFY 2015, and FFY 2012: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w:t>
      </w:r>
      <w:r w:rsidRPr="00ED172B">
        <w:rPr>
          <w:color w:val="000000" w:themeColor="text1"/>
        </w:rPr>
        <w:lastRenderedPageBreak/>
        <w:t>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lastRenderedPageBreak/>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To increase the percentage of infants and toddlers with disabilities who demonstrate greater than expected progress in the acquisition and use of knowledge and skills in our pilot areas by .11 percentage points by </w:t>
      </w:r>
      <w:proofErr w:type="gramStart"/>
      <w:r w:rsidRPr="00ED172B">
        <w:rPr>
          <w:color w:val="000000" w:themeColor="text1"/>
        </w:rPr>
        <w:t>FFY2025</w:t>
      </w:r>
      <w:proofErr w:type="gramEnd"/>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5" w:name="_Hlk109646824"/>
      <w:r>
        <w:rPr>
          <w:b/>
          <w:bCs/>
        </w:rPr>
        <w:t>Provide a description of the subset of the population from the indicator.</w:t>
      </w:r>
    </w:p>
    <w:bookmarkEnd w:id="65"/>
    <w:p w14:paraId="20C5EC3E" w14:textId="17767E51" w:rsidR="00E46F5E" w:rsidRPr="005137B6" w:rsidRDefault="00E46F5E" w:rsidP="00E46F5E">
      <w:pPr>
        <w:rPr>
          <w:color w:val="000000" w:themeColor="text1"/>
        </w:rPr>
      </w:pPr>
      <w:r w:rsidRPr="00ED172B">
        <w:rPr>
          <w:color w:val="000000" w:themeColor="text1"/>
        </w:rPr>
        <w:t>In FFY21 State Systemic Improvement Plan efforts still focused on three pilot areas. As stated in the Phase 2 Plan, these sites</w:t>
      </w:r>
      <w:r w:rsidRPr="00ED172B">
        <w:rPr>
          <w:color w:val="000000" w:themeColor="text1"/>
        </w:rPr>
        <w:br/>
        <w:t>(Williamson County, Aurora, and East St. Louis) were selected to leverage resources and continue the work started during the Race to the Top Early</w:t>
      </w:r>
      <w:r w:rsidRPr="00ED172B">
        <w:rPr>
          <w:color w:val="000000" w:themeColor="text1"/>
        </w:rPr>
        <w:br/>
        <w:t>Learning Challenge Grant.</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6" w:name="_Hlk109646832"/>
      <w:r w:rsidRPr="00A5616C">
        <w:rPr>
          <w:b/>
          <w:bCs/>
        </w:rPr>
        <w:t>Is the State’s theory of action new or revised since the previous submission? (yes/no)</w:t>
      </w:r>
    </w:p>
    <w:bookmarkEnd w:id="66"/>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https://blogs.illinois.edu/files/6039/378910/105055.pdf (see Page 2)</w:t>
      </w:r>
    </w:p>
    <w:p w14:paraId="7076EF11" w14:textId="77777777" w:rsidR="006A3544" w:rsidRDefault="006A3544" w:rsidP="008517CB">
      <w:pPr>
        <w:rPr>
          <w:b/>
          <w:bCs/>
        </w:rPr>
      </w:pPr>
    </w:p>
    <w:p w14:paraId="106F39B4" w14:textId="77777777" w:rsidR="00A3455E" w:rsidRDefault="00A3455E" w:rsidP="00A3455E">
      <w:pPr>
        <w:pStyle w:val="Subhed"/>
      </w:pPr>
      <w:bookmarkStart w:id="67"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7"/>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67.28%</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67.23%</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67.25%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67.27%</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67.29%</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67.31%</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of children demonstrating greater than expected growth</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#of children exiting not comparable to same-aged peers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145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214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67.28%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67.23%</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67.76%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state continues to use the state's database as the source for FFY2021 data.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Data for the </w:t>
      </w:r>
      <w:proofErr w:type="spellStart"/>
      <w:r w:rsidRPr="00ED172B">
        <w:rPr>
          <w:color w:val="000000" w:themeColor="text1"/>
        </w:rPr>
        <w:t>SiMR</w:t>
      </w:r>
      <w:proofErr w:type="spellEnd"/>
      <w:r w:rsidRPr="00ED172B">
        <w:rPr>
          <w:color w:val="000000" w:themeColor="text1"/>
        </w:rPr>
        <w:t xml:space="preserve"> are collected through the Child Outcomes Summary Process that utilizes input from all IFSP team members. The data for the ratings is then entered by the child's service coordinator. Data are then pulled for each of the three pilot areas and summarized based on progress category. Since Illinois is currently implementing their SSIP in three areas, we have historically used a weighted average to compute the SIMR for the subset of the state where the SSIP is being implemented. The weighted average is computed by multiplying the summary statement value for the area by the total number of matched pairs for the area. Then summing these weighted percentages across the three areas and dividing the sum by the total number of </w:t>
      </w:r>
      <w:r w:rsidRPr="00ED172B">
        <w:rPr>
          <w:color w:val="000000" w:themeColor="text1"/>
        </w:rPr>
        <w:lastRenderedPageBreak/>
        <w:t>matched pairs across the three areas. The formula is ((SS1_area1* number of matched pairs_area</w:t>
      </w:r>
      <w:proofErr w:type="gramStart"/>
      <w:r w:rsidRPr="00ED172B">
        <w:rPr>
          <w:color w:val="000000" w:themeColor="text1"/>
        </w:rPr>
        <w:t>1)+</w:t>
      </w:r>
      <w:proofErr w:type="gramEnd"/>
      <w:r w:rsidRPr="00ED172B">
        <w:rPr>
          <w:color w:val="000000" w:themeColor="text1"/>
        </w:rPr>
        <w:t xml:space="preserve"> (SS1_area2* number of matched pairs_area2) + (SS1_area3* number of matched pairs_area3))/( number of matched pairs_area1+ number of matched pairs_area2+ number of matched pairs_area3). To adapt this methodology to the new data entry format required by the APR submission system, this year we computed the numerator by multiplying the total number of matched pairs by the weighted average percent computed using the formula above. We used the total number of matched pairs as the denominator.</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1"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1"/>
    <w:p w14:paraId="3191B04B" w14:textId="4B73F4C9" w:rsidR="005838E8" w:rsidRPr="000123EB" w:rsidRDefault="005838E8" w:rsidP="00741E58">
      <w:pPr>
        <w:rPr>
          <w:b/>
          <w:bCs/>
        </w:rPr>
      </w:pPr>
      <w:r w:rsidRPr="00ED172B">
        <w:rPr>
          <w:color w:val="000000" w:themeColor="text1"/>
        </w:rPr>
        <w:t>The state is experiencing caseload growth with declining service coordinator and provider numbers. This has led to unanticipated stressors on everyone's work. Families continue to be lost to contact at higher rates than previously experienced. Due to this, we have fewer matched pairs in the pilot areas than we did in FFY20. While we feel that the available data is valid and reliable, we were unable to complete exit ratings for many children we were serving. This, therefore, impacts our data completeness. We tried to mitigate the impact of COVID on data collection by offering options for virtual and hybrid service delivery. Teams within the pilot sites also increased the frequency for data collection, often moving beyond the initial, annual and exit requirements, to increase the likelihood that there was a usable rating if a family became unresponsive to communication attempts.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The state's current evaluation plan can be found here: https://blogs.illinois.edu/view/6480/136715403. It is hoped that in the coming year, leadership teams will have more opportunities to focus on family engagement efforts and begin using the fidelity tool to evaluate these efforts. It is only through consistent use of the desired evidence-based practices that we expect to see the anticipated positive change in the </w:t>
      </w:r>
      <w:proofErr w:type="spellStart"/>
      <w:r>
        <w:rPr>
          <w:color w:val="000000" w:themeColor="text1"/>
        </w:rPr>
        <w:t>SiMR</w:t>
      </w:r>
      <w:proofErr w:type="spellEnd"/>
      <w:r>
        <w:rPr>
          <w:color w:val="000000" w:themeColor="text1"/>
        </w:rPr>
        <w:t>.</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 xml:space="preserve">The local leadership teams (LTs) are an integral part of our infrastructure change. They allow us to be responsive to local needs and provide local support for improved practices. These teams have been conducting professional development activities, participating in evaluation activities, and planning for future activities in their local area. The work of these teams has been guided by the Benchmarks of Quality. </w:t>
      </w:r>
      <w:r w:rsidRPr="00ED172B">
        <w:rPr>
          <w:color w:val="000000" w:themeColor="text1"/>
        </w:rPr>
        <w:br/>
      </w:r>
      <w:r w:rsidRPr="00ED172B">
        <w:rPr>
          <w:color w:val="000000" w:themeColor="text1"/>
        </w:rPr>
        <w:br/>
        <w:t>We also continued to focus on our second coherent improvement strategy: Implement effective training for EI providers that focuses on evidence based, family capacity-building practices, and make related changes to the local support structure by creating leadership teams, providing technical assistance, and revising state policy and guidance documents, so that early intervention teams utilize practices that encourage the active participation of families in the intervention process by embedding intervention strategies into family/caregiver routines and activities. To support this strategy, LTs offered professional development on the practices and provided focused conversations for ongoing support. In addition, teams have discussed how they will begin using the fidelity tool to assess practice and guide local professional development opportunities.</w:t>
      </w:r>
      <w:r w:rsidRPr="00ED172B">
        <w:rPr>
          <w:color w:val="000000" w:themeColor="text1"/>
        </w:rPr>
        <w:br/>
      </w:r>
      <w:r w:rsidRPr="00ED172B">
        <w:rPr>
          <w:color w:val="000000" w:themeColor="text1"/>
        </w:rPr>
        <w:br/>
        <w:t>We have also completed our plans for scale up and will be creating leadership teams in five more Child and Family Connections offices (CFCs).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 xml:space="preserve">The local leadership teams (LTs) are a vital part of our infrastructure change that allow us to be responsive to local needs and provide local support for improved practices which is critical for a high-quality professional development (PD) system. These teams have been conducting professional development activities, participating in evaluation activities, and planning for future activities in their local area. The work of these teams has been guided by the Benchmarks of Quality and all teams have demonstrated significant progress towards achieving the benchmarks necessary for a well-functioning leadership team (100% of items now partially/fully in place). The Benchmarks continue to help the teams develop action plans which guide the activities that will support practice change in their local area. The Benchmarks of Quality support governance, accountability, professional development and technical assistance in each local area. Using the Benchmarks to drive activities keeps teams on track for implementing strategies that will help achieve the </w:t>
      </w:r>
      <w:proofErr w:type="spellStart"/>
      <w:r w:rsidRPr="00ED172B">
        <w:rPr>
          <w:color w:val="000000" w:themeColor="text1"/>
        </w:rPr>
        <w:t>SiMR</w:t>
      </w:r>
      <w:proofErr w:type="spellEnd"/>
      <w:r w:rsidRPr="00ED172B">
        <w:rPr>
          <w:color w:val="000000" w:themeColor="text1"/>
        </w:rPr>
        <w:t>, help sustain and further system improvement, and will be used to support scale-up. As mentioned above, existing teams have determined that leadership teams provide an integral support for scale up efforts. The next five sites will be supported by the existing leadership teams and will participate in the same capacity-building professional development opportunities that the original three sites received.</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 xml:space="preserve">The original LLTs will continue to receive and provide additional professional development (as needed) on the child outcomes summary process. This will build their capacity as well as the capacity of the teams providing services in their area. Evaluation data from these offerings will continue to be used </w:t>
      </w:r>
      <w:r w:rsidRPr="00ED172B">
        <w:rPr>
          <w:color w:val="000000" w:themeColor="text1"/>
        </w:rPr>
        <w:lastRenderedPageBreak/>
        <w:t>to plan next steps. It is believed that building the capacity of the leadership team will add an important infrastructure element for those struggling with implementing the process. In addition, stakeholders recommended engaging technical assistance support to review additional pieces of data to ensure that the assumptions we are making about improved COS accuracy are real and not indicative of decreased performance for the children in the pilot sites.</w:t>
      </w:r>
      <w:r w:rsidRPr="00ED172B">
        <w:rPr>
          <w:color w:val="000000" w:themeColor="text1"/>
        </w:rPr>
        <w:br/>
      </w:r>
      <w:r w:rsidRPr="00ED172B">
        <w:rPr>
          <w:color w:val="000000" w:themeColor="text1"/>
        </w:rPr>
        <w:br/>
        <w:t xml:space="preserve">The five new sites will create leadership teams who will begin receiving professional development and technical assistance so that they are able to support local early intervention teams use of practices that encourage the active participation of families in the intervention process by embedding intervention strategies into family/caregiver routines and activities.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We continue to utilize five Division for Early Childhood (DEC) Recommended Practices (RPs). These RPs were identified as critical for family engagement and addressing barriers to desired service provision.</w:t>
      </w:r>
      <w:r w:rsidRPr="00ED172B">
        <w:rPr>
          <w:color w:val="000000" w:themeColor="text1"/>
        </w:rPr>
        <w:br/>
        <w:t>F1. Practitioners build trusting and respectful partnerships with the family through interactions that are sensitive and responsive to cultural, linguistic, and socio-economic diversity.</w:t>
      </w:r>
      <w:r w:rsidRPr="00ED172B">
        <w:rPr>
          <w:color w:val="000000" w:themeColor="text1"/>
        </w:rPr>
        <w:br/>
        <w:t>INS4. Practitioners plan for and provide the level of support, accommodations, and adaptations needed for the child to access, participate, and learn within and across activities and routines.</w:t>
      </w:r>
      <w:r w:rsidRPr="00ED172B">
        <w:rPr>
          <w:color w:val="000000" w:themeColor="text1"/>
        </w:rPr>
        <w:br/>
        <w:t>TC2. Practitioners and families work together as a team to systematically and regularly exchange expertise, knowledge, and information to build team capacity and jointly solve problems, plan, and implement interventions.</w:t>
      </w:r>
      <w:r w:rsidRPr="00ED172B">
        <w:rPr>
          <w:color w:val="000000" w:themeColor="text1"/>
        </w:rPr>
        <w:br/>
        <w:t>INS13. Practitioners use coaching or consultation strategies with primary caregivers or other adults to facilitate positive adult-child interactions and instruction intentionally designed to promote child learning and development.</w:t>
      </w:r>
      <w:r w:rsidRPr="00ED172B">
        <w:rPr>
          <w:color w:val="000000" w:themeColor="text1"/>
        </w:rPr>
        <w:br/>
        <w:t>E1. Practitioners provide services and supports in natural and inclusive environments during daily routines and activities to promote the child’s access to and participation in learning experiences.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As noted above, our stakeholders selected five of the DEC Recommended Practices to guide our family engagement work. The first practice (F1) focuses on how practitioners interact with families and establish trusting, respectful partnerships. The second practice (INS4) focuses on the role of practitioners in helping families plan for and provide the support and adaptations the child needs in order to participate and learn across activities and routines. The third practice (TC2) focuses on the importance of practitioners and families working together to exchange information and expertise so that they build capacity and jointly plan and implement interventions. The fourth practice (INS13) focuses on the use of coaching with caregivers so that they experience positive adult-child interactions that promote child learning and development. The final practice (E1) highlights the importance of providing services within the context of daily routines and activities so that the child has multiple opportunities to engage in learning experiences.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These evidence-based practices, when implemented with fidelity, are intended to change provider practice. Taken in combination, these practices support enhanced parent/child interactions in the context of the family’s daily routines. We believe that use of these practices will ultimately enhance the caregiver’s capacity to support their child’s development. This, in turn, will lead to greater parental confidence and competence and more support for the child’s ability to acquire and use their knowledge and skills. </w:t>
      </w:r>
      <w:r w:rsidRPr="00ED172B">
        <w:rPr>
          <w:color w:val="000000" w:themeColor="text1"/>
        </w:rPr>
        <w:br/>
      </w:r>
      <w:r w:rsidRPr="00ED172B">
        <w:rPr>
          <w:color w:val="000000" w:themeColor="text1"/>
        </w:rPr>
        <w:br/>
        <w:t xml:space="preserve">Activities related to this strategy included ongoing professional development around the five selected Recommended Practices (addresses short-term outcome: Early intervention providers have acquired the knowledge necessary to implement selected RPs), continued focused conversations to support implementation (addresses intermediate outcome: Leadership teams will utilize reflection and ongoing PD activities to support local Early Intervention teams in implementing RPs), and the development of a practice profile to examine practice implementation (addresses intermediate outcome: Early Intervention teams utilize the selected RPs in their work with families).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The primary evaluations collected during this part of the implementation phase are related to professional development and attendees’ use of the RPs. These evaluations determine </w:t>
      </w:r>
      <w:proofErr w:type="gramStart"/>
      <w:r w:rsidRPr="00ED172B">
        <w:rPr>
          <w:color w:val="000000" w:themeColor="text1"/>
        </w:rPr>
        <w:t>whether or not</w:t>
      </w:r>
      <w:proofErr w:type="gramEnd"/>
      <w:r w:rsidRPr="00ED172B">
        <w:rPr>
          <w:color w:val="000000" w:themeColor="text1"/>
        </w:rPr>
        <w:t xml:space="preserve"> the intended outcomes were achieved by event participants and if there was a change in participants’ use of desired practices. Evaluation data continue to show positive changes. 95% of attendees reported gaining additional information or knowledge about the practices. In addition, over 90% of attendees report that the ongoing reflection activities support their competence with the practices. As can be seen by our evaluation plan, we believe that before practitioners can use the practices, they must have knowledge of the practices. While we have not yet collected data on their implementation of the practices, we plan to begin collecting this data over the next year.</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 xml:space="preserve">Though no additional progress monitoring data was collected to support the decision to continue the ongoing use of each practice. The fidelity tool was shared with the parent advisory </w:t>
      </w:r>
      <w:proofErr w:type="gramStart"/>
      <w:r w:rsidRPr="00ED172B">
        <w:rPr>
          <w:color w:val="000000" w:themeColor="text1"/>
        </w:rPr>
        <w:t>group</w:t>
      </w:r>
      <w:proofErr w:type="gramEnd"/>
      <w:r w:rsidRPr="00ED172B">
        <w:rPr>
          <w:color w:val="000000" w:themeColor="text1"/>
        </w:rPr>
        <w:t xml:space="preserve"> and they provided feedback on the utility of the tool. This feedback will be used to make any needed modifications to the tool.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The fidelity tool for the RPs is beginning to be used as a self-assessment in the three initial pilot areas. This will provide additional information about where teams are with their use of the practices and provide next steps for professional development. Use of the fidelity tool will lead to greater awareness of desired practices as well as information for LTs to use for ongoing professional development offerings and focused conversations. Greater awareness paired with ongoing professional development and reflection are anticipated to lead to greater use of the practices.</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lastRenderedPageBreak/>
        <w:t xml:space="preserve">As mentioned above, we are establishing leadership teams at five more CFCs to scale up practices in the coming fiscal year. These local leadership teams (LTs) will be a vital part of our infrastructure change that allows us to be responsive to local needs and provide local support for improved practices which is critical for a high-quality professional development (PD) system. These teams will participate in professional development activities and plan for future activities in their local area. The work of these teams will be guided by the Benchmarks of Quality and help the teams develop action plans to guide the activities that will support practice change in their local area. The Benchmarks of Quality support governance, accountability, professional development and technical assistance in each local area.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Illinois works to solicit broad stakeholder input via its various advisory bodies and workgroups. We continue to prioritize family membership on the Illinois Interagency Council on Early Intervention (IICEI), on the State Systemic Improvement Plan Leadership Teams, as well as all other workgroups.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Child and Family Connections (CFC) managers, and a designee from the Illinois Early Learning Council. The IICEI discusses programmatic and Bureau-specific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recommendations for consideration by the Bureau. </w:t>
      </w:r>
      <w:r w:rsidRPr="00ED172B">
        <w:rPr>
          <w:color w:val="000000" w:themeColor="text1"/>
        </w:rPr>
        <w:br/>
      </w:r>
      <w:r w:rsidRPr="00ED172B">
        <w:rPr>
          <w:color w:val="000000" w:themeColor="text1"/>
        </w:rPr>
        <w:br/>
        <w:t xml:space="preserve">Child and Family Outcomes Workgroup: The Child and Family Outcomes workgroup is a stakeholder group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rPr>
        <w:br/>
        <w:t>• Ensure that valid and reliable data are collected with consistency by field staff;</w:t>
      </w:r>
      <w:r w:rsidRPr="00ED172B">
        <w:rPr>
          <w:color w:val="000000" w:themeColor="text1"/>
        </w:rPr>
        <w:br/>
        <w:t xml:space="preserve">• Improve the validity of data reported on child and family outcomes; </w:t>
      </w:r>
      <w:r w:rsidRPr="00ED172B">
        <w:rPr>
          <w:color w:val="000000" w:themeColor="text1"/>
        </w:rPr>
        <w:br/>
        <w:t xml:space="preserve">• Improve response rates for Family Outcomes surveys, to increase representativeness and validity; </w:t>
      </w:r>
      <w:r w:rsidRPr="00ED172B">
        <w:rPr>
          <w:color w:val="000000" w:themeColor="text1"/>
        </w:rPr>
        <w:br/>
        <w:t xml:space="preserve">• Promote public awareness and training of child and family outcome measures; </w:t>
      </w:r>
      <w:r w:rsidRPr="00ED172B">
        <w:rPr>
          <w:color w:val="000000" w:themeColor="text1"/>
        </w:rPr>
        <w:br/>
        <w:t xml:space="preserve">• Explore options for linking child and family outcomes data; </w:t>
      </w:r>
      <w:r w:rsidRPr="00ED172B">
        <w:rPr>
          <w:color w:val="000000" w:themeColor="text1"/>
        </w:rPr>
        <w:br/>
        <w:t xml:space="preserve">• Support data review and analysis; </w:t>
      </w:r>
      <w:r w:rsidRPr="00ED172B">
        <w:rPr>
          <w:color w:val="000000" w:themeColor="text1"/>
        </w:rPr>
        <w:br/>
        <w:t xml:space="preserve">• Set baseline and target values; and </w:t>
      </w:r>
      <w:r w:rsidRPr="00ED172B">
        <w:rPr>
          <w:color w:val="000000" w:themeColor="text1"/>
        </w:rPr>
        <w:br/>
        <w:t>• Develop and implement improvement activities.</w:t>
      </w:r>
      <w:r w:rsidRPr="00ED172B">
        <w:rPr>
          <w:color w:val="000000" w:themeColor="text1"/>
        </w:rPr>
        <w:br/>
      </w:r>
      <w:r w:rsidRPr="00ED172B">
        <w:rPr>
          <w:color w:val="000000" w:themeColor="text1"/>
        </w:rPr>
        <w:br/>
        <w:t xml:space="preserve">CFC Managers: Illinois has 25 CFC offices that serve as the regional points of entry, and each CFC office is responsible for the implementation of the Early Intervention Services System within its specific geographic region. A CFC Program Manager is hired by each </w:t>
      </w:r>
      <w:proofErr w:type="gramStart"/>
      <w:r w:rsidRPr="00ED172B">
        <w:rPr>
          <w:color w:val="000000" w:themeColor="text1"/>
        </w:rPr>
        <w:t>CFC</w:t>
      </w:r>
      <w:proofErr w:type="gramEnd"/>
      <w:r w:rsidRPr="00ED172B">
        <w:rPr>
          <w:color w:val="000000" w:themeColor="text1"/>
        </w:rPr>
        <w:t xml:space="preserve"> and they are the point of contact to disseminate information to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when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rPr>
        <w:br/>
      </w:r>
      <w:r w:rsidRPr="00ED172B">
        <w:rPr>
          <w:color w:val="000000" w:themeColor="text1"/>
        </w:rPr>
        <w:br/>
        <w:t>In addition, there are multiple stakeholder groups that participate in the development of the State's Systemic Improvement Plan. These include the large SSIP stakeholder group, the leadership team workgroup, the local leadership teams, and the performance support workgroup.</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large SSIP stakeholder group continues to receive quarterly written updates summarizing implementation. Each summary asks for recipients to contact staff if they have questions about reported activities or suggestions for future activities. The summary also contains a reminder that those receiving the summary should share widely with those whose interests they represent on the large stakeholder group. Other stakeholders have been informed via information provided in the EI Partners’ quarterly newsletters (EI Training, EI Clearinghouse, and Provider Connections) and postings on their websites. The SSIP work has also been discussed at each monthly CFC Managers Meeting, each quarterly Illinois Interagency Council on Early Intervention (IICEI) meeting, and each monthly EI Partners’ meeting. In addition, the Early Intervention Training Program has a resource page dedicated to the State Systemic Improvement Plan (https://blogs.illinois.edu/view/6039/378910) and has created a specific resource page for materials that the local leadership teams are using. During the annual stakeholder workgroup meeting, participants review progress, review evaluation data, and provide input on the direction of future activities.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In order to optimize stakeholder involvement and engagement, we continue to utilize the expertise of a variety of groups. For example, the SSIP Stakeholder group (consisting of the state interagency coordinating council members, direct service providers, contracted Child &amp; Family Connections [CFCs which are regional entities that serve as points of entry for EI services] staff, parents, professional provider associations, the Part B/619 coordinator, IDHS planning/evaluation members, parent training and information center staff, and contracted EI partners for training, credentialing, monitoring and clearinghouse) provided feedback on the practice profile. The Leadership Team workgroup (consisting of Bureau staff, CFC managers, EI Training staff, EI Monitoring personnel, a parent liaison, and an external professional development/evaluation representative) met regularly to ensure that LT activities continued and to determine what (if any) system supports were necessary for continued functioning. The Performance Support workgroup (consisting of EI Bureau, Local Leadership Team members, ECTA representative, EI Training, EI Ombudsman, and EI Monitoring) provided input on the items within the practice profile, identified the need for new consents, shared concerns about the time it would take to score the profile and send feedback, and offered suggestions for making the process successful. Local Leadership Teams (consisting of CFC staff, EI Providers, EI Monitoring, EI Training and parents) continue to provide feedback on practice implementation successes/challenges and ongoing needs related to child outcomes summary support.</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lastRenderedPageBreak/>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Illinois has finalized its plans for scale up. Based on the current infrastructure and the intense work of implementing both coherent improvement strategies, we feel phasing in several CFC offices each year over the next 3-4 years is the most responsible use of available resources. The current plan would spread activities across the entire state in 4-5 years with full implementation by the end of FFY2025. These activities include establishing leadership teams and supporting the EI Partners with sufficient staff and resources to support the LTs and local providers in each new area. The training plan for these LTs will mirror the processes used for the initial pilots. We will build capacity within the leadership teams using existing curriculum and support these LTs as they begin to offer their own professional development to early intervention teams. They will continue to be supported by Training, Monitoring, and Bureau staff.</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Illinois is phasing in four groups of new LTs with training and on-going support (each group includes approximately 5-6 CFCs annually). The same evaluation and outcome measures used for the initial pilots will continue. Timing of activities and evaluation is dependent on which group a CFC is part of but will mirror the original work. Implementation will be guided by the local leadership team and the Benchmarks of Quality. Current pilots recommended replicating the original process. The next round of pilots will benefit from the existing fidelity tools rather than having to wait for their development. While it is anticipated that the LTs will take time to form and come together as a unified support, the materials to support their work have already been developed.</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Stakeholders have discussed concerns with the current state of the early intervention workforce. They are concerned about the limited provider pool and the existing workload of service coordinators. There are systemic efforts being planned to address these concerns. In addition, marketing efforts will focus on the additional supports available to these new sites as they plan for implementation.</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Heather </w:t>
      </w:r>
      <w:proofErr w:type="spellStart"/>
      <w:r w:rsidRPr="00ED172B">
        <w:rPr>
          <w:rFonts w:cs="Arial"/>
          <w:bCs/>
          <w:color w:val="000000" w:themeColor="text1"/>
          <w:szCs w:val="16"/>
        </w:rPr>
        <w:t>Hofferkamp</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heather.hofferkamp@illinois.gov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2172996300</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5:46:08</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D13497A" w14:textId="2C0CEDD8" w:rsidR="00EB672A" w:rsidRPr="00EB672A" w:rsidRDefault="00EB672A" w:rsidP="00EB672A">
      <w:pPr>
        <w:rPr>
          <w:b/>
          <w:bCs/>
          <w:sz w:val="20"/>
          <w:szCs w:val="28"/>
        </w:rPr>
      </w:pPr>
      <w:r w:rsidRPr="00EB672A">
        <w:rPr>
          <w:b/>
          <w:bCs/>
          <w:sz w:val="20"/>
          <w:szCs w:val="28"/>
        </w:rPr>
        <w:t>Illinois</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87.50%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9,638</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16,881</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57.09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68.11%</w:t>
            </w:r>
          </w:p>
        </w:tc>
        <w:tc>
          <w:tcPr>
            <w:tcW w:w="715" w:type="pct"/>
          </w:tcPr>
          <w:p w14:paraId="542CEEB9" w14:textId="37E21014" w:rsidR="00B03B19" w:rsidRPr="00210AC6" w:rsidRDefault="00B03B19" w:rsidP="00B03B19">
            <w:pPr>
              <w:rPr>
                <w:rFonts w:cs="Arial"/>
                <w:szCs w:val="16"/>
              </w:rPr>
            </w:pPr>
            <w:r w:rsidRPr="00A46401">
              <w:t>50.58%</w:t>
            </w:r>
          </w:p>
        </w:tc>
        <w:tc>
          <w:tcPr>
            <w:tcW w:w="714" w:type="pct"/>
          </w:tcPr>
          <w:p w14:paraId="082867DD" w14:textId="7F23B051" w:rsidR="00B03B19" w:rsidRPr="00210AC6" w:rsidRDefault="00B03B19" w:rsidP="00B03B19">
            <w:pPr>
              <w:rPr>
                <w:rFonts w:cs="Arial"/>
                <w:szCs w:val="16"/>
              </w:rPr>
            </w:pPr>
            <w:r w:rsidRPr="00A46401">
              <w:t>74.96%</w:t>
            </w:r>
          </w:p>
        </w:tc>
        <w:tc>
          <w:tcPr>
            <w:tcW w:w="714" w:type="pct"/>
          </w:tcPr>
          <w:p w14:paraId="798EA0C8" w14:textId="2776FB61" w:rsidR="00B03B19" w:rsidRPr="00210AC6" w:rsidRDefault="00B03B19" w:rsidP="00B03B19">
            <w:pPr>
              <w:rPr>
                <w:rFonts w:cs="Arial"/>
                <w:szCs w:val="16"/>
              </w:rPr>
            </w:pPr>
            <w:r w:rsidRPr="00A46401">
              <w:t>43.01%</w:t>
            </w:r>
          </w:p>
        </w:tc>
        <w:tc>
          <w:tcPr>
            <w:tcW w:w="714" w:type="pct"/>
          </w:tcPr>
          <w:p w14:paraId="53B8C0FF" w14:textId="1ABA1A1C" w:rsidR="00B03B19" w:rsidRPr="00210AC6" w:rsidRDefault="00B03B19" w:rsidP="00B03B19">
            <w:pPr>
              <w:rPr>
                <w:rFonts w:cs="Arial"/>
                <w:szCs w:val="16"/>
              </w:rPr>
            </w:pPr>
            <w:r w:rsidRPr="00A46401">
              <w:t>72.82%</w:t>
            </w:r>
          </w:p>
        </w:tc>
        <w:tc>
          <w:tcPr>
            <w:tcW w:w="713" w:type="pct"/>
          </w:tcPr>
          <w:p w14:paraId="71D0CC34" w14:textId="38E23520" w:rsidR="00B03B19" w:rsidRPr="00210AC6" w:rsidRDefault="00B03B19" w:rsidP="00B03B19">
            <w:pPr>
              <w:rPr>
                <w:rFonts w:cs="Arial"/>
                <w:szCs w:val="16"/>
              </w:rPr>
            </w:pPr>
            <w:r w:rsidRPr="00A46401">
              <w:t>47.53%</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67.01%</w:t>
            </w:r>
          </w:p>
        </w:tc>
        <w:tc>
          <w:tcPr>
            <w:tcW w:w="715" w:type="pct"/>
          </w:tcPr>
          <w:p w14:paraId="4A7F27F4" w14:textId="16E8DAC9" w:rsidR="00A96CE2" w:rsidRPr="00210AC6" w:rsidRDefault="00A96CE2" w:rsidP="00A96CE2">
            <w:pPr>
              <w:rPr>
                <w:rFonts w:cs="Arial"/>
                <w:szCs w:val="16"/>
              </w:rPr>
            </w:pPr>
            <w:r w:rsidRPr="00902025">
              <w:t>51.20%</w:t>
            </w:r>
          </w:p>
        </w:tc>
        <w:tc>
          <w:tcPr>
            <w:tcW w:w="714" w:type="pct"/>
          </w:tcPr>
          <w:p w14:paraId="0B2C982E" w14:textId="60B64CC6" w:rsidR="00A96CE2" w:rsidRPr="00210AC6" w:rsidRDefault="00A96CE2" w:rsidP="00A96CE2">
            <w:pPr>
              <w:rPr>
                <w:rFonts w:cs="Arial"/>
                <w:szCs w:val="16"/>
              </w:rPr>
            </w:pPr>
            <w:r w:rsidRPr="00902025">
              <w:t>75.28%</w:t>
            </w:r>
          </w:p>
        </w:tc>
        <w:tc>
          <w:tcPr>
            <w:tcW w:w="714" w:type="pct"/>
          </w:tcPr>
          <w:p w14:paraId="48D6DCB3" w14:textId="035BCB73" w:rsidR="00A96CE2" w:rsidRPr="00210AC6" w:rsidRDefault="00A96CE2" w:rsidP="00A96CE2">
            <w:pPr>
              <w:rPr>
                <w:rFonts w:cs="Arial"/>
                <w:szCs w:val="16"/>
              </w:rPr>
            </w:pPr>
            <w:r w:rsidRPr="00902025">
              <w:t>42.09%</w:t>
            </w:r>
          </w:p>
        </w:tc>
        <w:tc>
          <w:tcPr>
            <w:tcW w:w="714" w:type="pct"/>
          </w:tcPr>
          <w:p w14:paraId="75DD9D82" w14:textId="41901A3C" w:rsidR="00A96CE2" w:rsidRPr="00210AC6" w:rsidRDefault="00A96CE2" w:rsidP="00A96CE2">
            <w:pPr>
              <w:rPr>
                <w:rFonts w:cs="Arial"/>
                <w:szCs w:val="16"/>
              </w:rPr>
            </w:pPr>
            <w:r w:rsidRPr="00902025">
              <w:t>73.40%</w:t>
            </w:r>
          </w:p>
        </w:tc>
        <w:tc>
          <w:tcPr>
            <w:tcW w:w="713" w:type="pct"/>
          </w:tcPr>
          <w:p w14:paraId="51F0864D" w14:textId="7593AA05" w:rsidR="00A96CE2" w:rsidRPr="00210AC6" w:rsidRDefault="00A96CE2" w:rsidP="00A96CE2">
            <w:pPr>
              <w:rPr>
                <w:rFonts w:cs="Arial"/>
                <w:szCs w:val="16"/>
              </w:rPr>
            </w:pPr>
            <w:r w:rsidRPr="00902025">
              <w:t>47.08%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97.95%</w:t>
            </w:r>
          </w:p>
        </w:tc>
        <w:tc>
          <w:tcPr>
            <w:tcW w:w="832" w:type="pct"/>
          </w:tcPr>
          <w:p w14:paraId="6ABF6AB2" w14:textId="6D5B638F" w:rsidR="00CD6106" w:rsidRPr="00210AC6" w:rsidRDefault="00CD6106" w:rsidP="00CD6106">
            <w:pPr>
              <w:rPr>
                <w:rFonts w:cs="Arial"/>
                <w:szCs w:val="16"/>
              </w:rPr>
            </w:pPr>
            <w:r w:rsidRPr="00952E24">
              <w:t>NO</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99.49%</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98.65%</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84.39%</w:t>
            </w:r>
          </w:p>
        </w:tc>
        <w:tc>
          <w:tcPr>
            <w:tcW w:w="832" w:type="pct"/>
          </w:tcPr>
          <w:p w14:paraId="5F278F03" w14:textId="64084F84" w:rsidR="00CD6106" w:rsidRPr="00210AC6" w:rsidRDefault="00CD6106" w:rsidP="00CD6106">
            <w:pPr>
              <w:rPr>
                <w:rFonts w:cs="Arial"/>
                <w:szCs w:val="16"/>
              </w:rPr>
            </w:pPr>
            <w:r w:rsidRPr="00952E24">
              <w:t>NO</w:t>
            </w:r>
          </w:p>
        </w:tc>
        <w:tc>
          <w:tcPr>
            <w:tcW w:w="832" w:type="pct"/>
          </w:tcPr>
          <w:p w14:paraId="0BA64028" w14:textId="34BADFBB" w:rsidR="00CD6106" w:rsidRPr="00210AC6" w:rsidRDefault="00CD6106" w:rsidP="00CD6106">
            <w:pPr>
              <w:rPr>
                <w:rFonts w:cs="Arial"/>
                <w:szCs w:val="16"/>
              </w:rPr>
            </w:pPr>
            <w:r w:rsidRPr="00A55644">
              <w:t>1</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1</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Yes, 2 to 4 years</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9,638</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6</w:t>
            </w:r>
          </w:p>
        </w:tc>
        <w:tc>
          <w:tcPr>
            <w:tcW w:w="833" w:type="pct"/>
          </w:tcPr>
          <w:p w14:paraId="5470A154" w14:textId="77777777" w:rsidR="00B25161" w:rsidRPr="00E0465B" w:rsidRDefault="00B25161" w:rsidP="00B25161">
            <w:pPr>
              <w:rPr>
                <w:rFonts w:cs="Arial"/>
                <w:bCs/>
                <w:szCs w:val="16"/>
              </w:rPr>
            </w:pPr>
            <w:r w:rsidRPr="00E0465B">
              <w:rPr>
                <w:rFonts w:cs="Arial"/>
                <w:bCs/>
                <w:szCs w:val="16"/>
              </w:rPr>
              <w:t>2,394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2,363</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2,764</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2,111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0.06%</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24.84%</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24.52%</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28.68%</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21.90%</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6</w:t>
            </w:r>
          </w:p>
        </w:tc>
        <w:tc>
          <w:tcPr>
            <w:tcW w:w="833" w:type="pct"/>
          </w:tcPr>
          <w:p w14:paraId="6AACF40D" w14:textId="77777777" w:rsidR="00B25161" w:rsidRPr="00E0465B" w:rsidRDefault="00B25161" w:rsidP="00B25161">
            <w:pPr>
              <w:rPr>
                <w:rFonts w:cs="Arial"/>
                <w:bCs/>
                <w:szCs w:val="16"/>
              </w:rPr>
            </w:pPr>
            <w:r w:rsidRPr="00E0465B">
              <w:rPr>
                <w:rFonts w:cs="Arial"/>
                <w:bCs/>
                <w:szCs w:val="16"/>
              </w:rPr>
              <w:t>2,243</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3,244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3,490</w:t>
            </w:r>
          </w:p>
        </w:tc>
        <w:tc>
          <w:tcPr>
            <w:tcW w:w="833" w:type="pct"/>
          </w:tcPr>
          <w:p w14:paraId="0F4D0987" w14:textId="77777777" w:rsidR="00B25161" w:rsidRPr="00E0465B" w:rsidRDefault="00B25161" w:rsidP="00B25161">
            <w:pPr>
              <w:rPr>
                <w:rFonts w:cs="Arial"/>
                <w:bCs/>
                <w:szCs w:val="16"/>
              </w:rPr>
            </w:pPr>
            <w:r w:rsidRPr="00E0465B">
              <w:rPr>
                <w:rFonts w:cs="Arial"/>
                <w:bCs/>
                <w:szCs w:val="16"/>
              </w:rPr>
              <w:t>655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0.06%</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23.27%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33.66%</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36.21%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6.80%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8</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2,282</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2,767</w:t>
            </w:r>
          </w:p>
        </w:tc>
        <w:tc>
          <w:tcPr>
            <w:tcW w:w="833" w:type="pct"/>
          </w:tcPr>
          <w:p w14:paraId="4915D083" w14:textId="77777777" w:rsidR="00B25161" w:rsidRPr="00E0465B" w:rsidRDefault="00B25161" w:rsidP="00B25161">
            <w:pPr>
              <w:rPr>
                <w:rFonts w:cs="Arial"/>
                <w:bCs/>
                <w:szCs w:val="16"/>
              </w:rPr>
            </w:pPr>
            <w:r w:rsidRPr="00E0465B">
              <w:rPr>
                <w:rFonts w:cs="Arial"/>
                <w:bCs/>
                <w:szCs w:val="16"/>
              </w:rPr>
              <w:t>3,369</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1,212</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23.68%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28.71%</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34.96%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12.58%</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68.11%</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50.58%</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74.96%</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43.01%</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72.82%</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47.53%</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8,669</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67.01%</w:t>
            </w:r>
          </w:p>
        </w:tc>
        <w:tc>
          <w:tcPr>
            <w:tcW w:w="409" w:type="pct"/>
          </w:tcPr>
          <w:p w14:paraId="6338C1B2" w14:textId="7BC386DE" w:rsidR="002163B7" w:rsidRPr="002163B7" w:rsidRDefault="002163B7" w:rsidP="002163B7">
            <w:pPr>
              <w:rPr>
                <w:rFonts w:cs="Arial"/>
                <w:bCs/>
                <w:szCs w:val="16"/>
              </w:rPr>
            </w:pPr>
            <w:r w:rsidRPr="002163B7">
              <w:rPr>
                <w:rFonts w:cs="Arial"/>
                <w:bCs/>
                <w:szCs w:val="16"/>
              </w:rPr>
              <w:t>7,527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68.11%</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1.11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0.0074</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1.5000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0.1336</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10,450</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75.28%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8,983</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74.96%</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-0.32</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0.0062</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-0.5119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0.6087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9,822</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73.40%</w:t>
            </w:r>
          </w:p>
        </w:tc>
        <w:tc>
          <w:tcPr>
            <w:tcW w:w="409" w:type="pct"/>
          </w:tcPr>
          <w:p w14:paraId="1B3E02C2" w14:textId="2CE8465F" w:rsidR="002163B7" w:rsidRPr="002163B7" w:rsidRDefault="002163B7" w:rsidP="002163B7">
            <w:pPr>
              <w:rPr>
                <w:rFonts w:cs="Arial"/>
                <w:bCs/>
                <w:szCs w:val="16"/>
              </w:rPr>
            </w:pPr>
            <w:r w:rsidRPr="002163B7">
              <w:rPr>
                <w:rFonts w:cs="Arial"/>
                <w:bCs/>
                <w:szCs w:val="16"/>
              </w:rPr>
              <w:t>8,426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72.82%</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-0.57</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0.0066</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-0.8720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0.3832</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11,104</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51.20%</w:t>
            </w:r>
          </w:p>
        </w:tc>
        <w:tc>
          <w:tcPr>
            <w:tcW w:w="409" w:type="pct"/>
          </w:tcPr>
          <w:p w14:paraId="5EAAAE8A" w14:textId="57AB6E77" w:rsidR="002163B7" w:rsidRPr="002163B7" w:rsidRDefault="002163B7" w:rsidP="002163B7">
            <w:pPr>
              <w:rPr>
                <w:rFonts w:cs="Arial"/>
                <w:bCs/>
                <w:szCs w:val="16"/>
              </w:rPr>
            </w:pPr>
            <w:r w:rsidRPr="002163B7">
              <w:rPr>
                <w:rFonts w:cs="Arial"/>
                <w:bCs/>
                <w:szCs w:val="16"/>
              </w:rPr>
              <w:t>9,638</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50.58%</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-0.62</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0.0070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-0.8862</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0.3755</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11,104</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42.09%</w:t>
            </w:r>
          </w:p>
        </w:tc>
        <w:tc>
          <w:tcPr>
            <w:tcW w:w="409" w:type="pct"/>
          </w:tcPr>
          <w:p w14:paraId="646CA85A" w14:textId="3C895BAE" w:rsidR="002163B7" w:rsidRPr="002163B7" w:rsidRDefault="002163B7" w:rsidP="002163B7">
            <w:pPr>
              <w:rPr>
                <w:rFonts w:cs="Arial"/>
                <w:bCs/>
                <w:szCs w:val="16"/>
              </w:rPr>
            </w:pPr>
            <w:r w:rsidRPr="002163B7">
              <w:rPr>
                <w:rFonts w:cs="Arial"/>
                <w:bCs/>
                <w:szCs w:val="16"/>
              </w:rPr>
              <w:t>9,638</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43.01%</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0.91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0.0069</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1.3277</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0.1843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11,104</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47.08%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9,638</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47.53%</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0.45</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0.0070</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0.6452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0.5188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48359637" w14:textId="77777777" w:rsidR="00EB672A" w:rsidRPr="00EB672A" w:rsidRDefault="00EB672A" w:rsidP="00EB672A">
      <w:pPr>
        <w:rPr>
          <w:b/>
          <w:bCs/>
          <w:sz w:val="20"/>
          <w:szCs w:val="28"/>
        </w:rPr>
      </w:pPr>
      <w:r w:rsidRPr="00EB672A">
        <w:rPr>
          <w:b/>
          <w:bCs/>
          <w:sz w:val="20"/>
          <w:szCs w:val="28"/>
        </w:rPr>
        <w:t>Illinois</w:t>
      </w:r>
    </w:p>
    <w:p w14:paraId="1B1D2588" w14:textId="77777777" w:rsidR="00EB672A" w:rsidRPr="00EB672A" w:rsidRDefault="00EB672A" w:rsidP="00EB672A"/>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12043E93" w14:textId="77777777" w:rsidR="00093B37" w:rsidRDefault="00093B37">
      <w:pPr>
        <w:spacing w:before="0" w:after="200" w:line="276" w:lineRule="auto"/>
      </w:pPr>
    </w:p>
    <w:p w14:paraId="2D73293C" w14:textId="4545A3DB" w:rsidR="00A241E8" w:rsidRDefault="00EB672A">
      <w:pPr>
        <w:spacing w:before="0" w:after="200" w:line="276" w:lineRule="auto"/>
      </w:pPr>
      <w:r>
        <w:object w:dxaOrig="1540" w:dyaOrig="997" w14:anchorId="6BF4603D">
          <v:shape id="_x0000_i1026" type="#_x0000_t75" alt="IL-C-DR-2021-22" style="width:77.25pt;height:49.5pt" o:ole="">
            <v:imagedata r:id="rId14" o:title=""/>
          </v:shape>
          <o:OLEObject Type="Embed" ProgID="Acrobat.Document.2020" ShapeID="_x0000_i1026" DrawAspect="Icon" ObjectID="_1749223869"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EB672A"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102143990">
    <w:abstractNumId w:val="7"/>
  </w:num>
  <w:num w:numId="2" w16cid:durableId="1105032711">
    <w:abstractNumId w:val="16"/>
  </w:num>
  <w:num w:numId="3" w16cid:durableId="473303610">
    <w:abstractNumId w:val="9"/>
  </w:num>
  <w:num w:numId="4" w16cid:durableId="230847894">
    <w:abstractNumId w:val="8"/>
  </w:num>
  <w:num w:numId="5" w16cid:durableId="1197041300">
    <w:abstractNumId w:val="18"/>
  </w:num>
  <w:num w:numId="6" w16cid:durableId="1101493675">
    <w:abstractNumId w:val="0"/>
  </w:num>
  <w:num w:numId="7" w16cid:durableId="1839223616">
    <w:abstractNumId w:val="1"/>
  </w:num>
  <w:num w:numId="8" w16cid:durableId="1994411663">
    <w:abstractNumId w:val="14"/>
  </w:num>
  <w:num w:numId="9" w16cid:durableId="1664045523">
    <w:abstractNumId w:val="13"/>
  </w:num>
  <w:num w:numId="10" w16cid:durableId="748507360">
    <w:abstractNumId w:val="3"/>
  </w:num>
  <w:num w:numId="11" w16cid:durableId="1921402171">
    <w:abstractNumId w:val="2"/>
  </w:num>
  <w:num w:numId="12" w16cid:durableId="585460469">
    <w:abstractNumId w:val="5"/>
  </w:num>
  <w:num w:numId="13" w16cid:durableId="1225986284">
    <w:abstractNumId w:val="11"/>
  </w:num>
  <w:num w:numId="14" w16cid:durableId="1629386657">
    <w:abstractNumId w:val="10"/>
  </w:num>
  <w:num w:numId="15" w16cid:durableId="507909908">
    <w:abstractNumId w:val="12"/>
  </w:num>
  <w:num w:numId="16" w16cid:durableId="298654646">
    <w:abstractNumId w:val="15"/>
  </w:num>
  <w:num w:numId="17" w16cid:durableId="716858853">
    <w:abstractNumId w:val="4"/>
  </w:num>
  <w:num w:numId="18" w16cid:durableId="621962596">
    <w:abstractNumId w:val="6"/>
  </w:num>
  <w:num w:numId="19" w16cid:durableId="146303784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3B37"/>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72A"/>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4f36bac4-6705-4a36-974b-7c07450fedf2"/>
    <ds:schemaRef ds:uri="http://schemas.microsoft.com/office/infopath/2007/PartnerControls"/>
    <ds:schemaRef ds:uri="http://schemas.openxmlformats.org/package/2006/metadata/core-properties"/>
    <ds:schemaRef ds:uri="292db1e8-b3d0-4356-8ef3-2a6d7ed77883"/>
    <ds:schemaRef ds:uri="http://www.w3.org/XML/1998/namespac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1F1C1945-477D-4F65-B482-77F23CFE56D4}"/>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62</Pages>
  <Words>34389</Words>
  <Characters>196022</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2023-06-25T22:43:00Z</dcterms:created>
  <dcterms:modified xsi:type="dcterms:W3CDTF">2023-06-25T22:43:00Z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