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Iowa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1) Met target and no slippage: Indicators C6, C8B</w:t>
      </w:r>
      <w:r w:rsidRPr="00ED172B">
        <w:rPr>
          <w:color w:val="000000" w:themeColor="text1"/>
        </w:rPr>
        <w:br/>
        <w:t>2) Did not meet target and no slippage: Indicators C1, C2, C5, C7, C8A, C8C</w:t>
      </w:r>
      <w:r w:rsidRPr="00ED172B">
        <w:rPr>
          <w:color w:val="000000" w:themeColor="text1"/>
        </w:rPr>
        <w:br/>
        <w:t xml:space="preserve">3) Did not meet target and slippage: Indicator C3 </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Infrastructure</w:t>
      </w:r>
      <w:r w:rsidRPr="00ED172B">
        <w:rPr>
          <w:color w:val="000000" w:themeColor="text1"/>
          <w:szCs w:val="16"/>
        </w:rPr>
        <w:br/>
        <w:t xml:space="preserve">Iowa’s Early ACCESS Integrated System of Early Intervention Services (Early ACCESS or EA) was established to implement Part C of the Individuals with Disabilities Education Act 2004 (IDEA). Iowa developed a statewide system of interagency agreements among four Signatory Agencies: Iowa Departments of Education, Public Health, Human Services, and University of Iowa Child Health Specialty Clinics. The Department of Education is the Lead Agency; each Signatory Agency has personnel on the Early ACCESS (EA) State Team responsible for the implementation and monitoring of the EA system. </w:t>
      </w:r>
      <w:r w:rsidRPr="00ED172B">
        <w:rPr>
          <w:color w:val="000000" w:themeColor="text1"/>
          <w:szCs w:val="16"/>
        </w:rPr>
        <w:br/>
      </w:r>
      <w:r w:rsidRPr="00ED172B">
        <w:rPr>
          <w:color w:val="000000" w:themeColor="text1"/>
          <w:szCs w:val="16"/>
        </w:rPr>
        <w:br/>
        <w:t>In 1974, Iowa established a law requiring a free appropriate public education (FAPE) to meet the needs of children, under 21 requiring special education [Chapter 256B.2(3)]. It mandated the creation of statewide intermediate education agencies, or Area Education Agencies (AEAs), to provide equity in services in accordance with IDEA. The nine AEAs (Regional Grantees or Regions) are responsible for child find, early intervention services, service coordination, transition, personnel development, special education services and support.</w:t>
      </w:r>
      <w:r w:rsidRPr="00ED172B">
        <w:rPr>
          <w:color w:val="000000" w:themeColor="text1"/>
          <w:szCs w:val="16"/>
        </w:rPr>
        <w:br/>
      </w:r>
      <w:r w:rsidRPr="00ED172B">
        <w:rPr>
          <w:color w:val="000000" w:themeColor="text1"/>
          <w:szCs w:val="16"/>
        </w:rPr>
        <w:br/>
        <w:t>Framework for General Supervision</w:t>
      </w:r>
      <w:r w:rsidRPr="00ED172B">
        <w:rPr>
          <w:color w:val="000000" w:themeColor="text1"/>
          <w:szCs w:val="16"/>
        </w:rPr>
        <w:br/>
        <w:t xml:space="preserve">The ECTA Center developed Streamlining and Integrating Part C General Supervision Activities (2012) to provide a framework for a general supervision system. Early ACCESS operationalized the six-step monitoring and program improvement framework to implement general supervision activities. </w:t>
      </w:r>
      <w:r w:rsidRPr="00ED172B">
        <w:rPr>
          <w:color w:val="000000" w:themeColor="text1"/>
          <w:szCs w:val="16"/>
        </w:rPr>
        <w:br/>
      </w:r>
      <w:r w:rsidRPr="00ED172B">
        <w:rPr>
          <w:color w:val="000000" w:themeColor="text1"/>
          <w:szCs w:val="16"/>
        </w:rPr>
        <w:br/>
        <w:t xml:space="preserve">Step 1: Identify an Issue </w:t>
      </w:r>
      <w:r w:rsidRPr="00ED172B">
        <w:rPr>
          <w:color w:val="000000" w:themeColor="text1"/>
          <w:szCs w:val="16"/>
        </w:rPr>
        <w:br/>
        <w:t xml:space="preserve">The EA State Team annually conducts monitoring activities of Regional Grantees using data collected on compliance indicators through data systems. The lead agency maintains statewide procedures for monitoring compliance and assuring the collection of valid and reliable data; it facilitates the review and analysis of data to ensure accuracy and consistency. The findings determine necessary actions and responses for noncompliance or performance issues requiring corrective action or improvement activities. Additional information gathered from monitoring activities is utilized to address procedural or data entry issues to ensure accurate and reliable data. Iowa uses the following data systems for statewide monitoring activities to identify performance and compliance issues. </w:t>
      </w:r>
      <w:r w:rsidRPr="00ED172B">
        <w:rPr>
          <w:color w:val="000000" w:themeColor="text1"/>
          <w:szCs w:val="16"/>
        </w:rPr>
        <w:br/>
      </w:r>
      <w:r w:rsidRPr="00ED172B">
        <w:rPr>
          <w:color w:val="000000" w:themeColor="text1"/>
          <w:szCs w:val="16"/>
        </w:rPr>
        <w:br/>
        <w:t>Consolidated Accountability and Support Application (CASA) is a state-level system for data reports, compliance information, and monitoring. The system includes a corrective action log for citations of noncompliance and facilitates communication and notifications between the Lead Agency and Regional Grantees. The application records required actions, dates, and documentation.</w:t>
      </w:r>
      <w:r w:rsidRPr="00ED172B">
        <w:rPr>
          <w:color w:val="000000" w:themeColor="text1"/>
          <w:szCs w:val="16"/>
        </w:rPr>
        <w:br/>
      </w:r>
      <w:r w:rsidRPr="00ED172B">
        <w:rPr>
          <w:color w:val="000000" w:themeColor="text1"/>
          <w:szCs w:val="16"/>
        </w:rPr>
        <w:br/>
        <w:t xml:space="preserve">Iowa used a cloud-based survey system to collect family outcomes data (Indicator 4) in FFY 2021. The lead agency uses the Family Outcomes Survey-Revised: Part C (2010) and is responsible for distributing and collecting surveys sent to all families whose children were in EA for at least 6 months. Surveys were disseminated </w:t>
      </w:r>
      <w:proofErr w:type="gramStart"/>
      <w:r w:rsidRPr="00ED172B">
        <w:rPr>
          <w:color w:val="000000" w:themeColor="text1"/>
          <w:szCs w:val="16"/>
        </w:rPr>
        <w:t>by:</w:t>
      </w:r>
      <w:proofErr w:type="gramEnd"/>
      <w:r w:rsidRPr="00ED172B">
        <w:rPr>
          <w:color w:val="000000" w:themeColor="text1"/>
          <w:szCs w:val="16"/>
        </w:rPr>
        <w:t xml:space="preserve"> 1) a link to an online survey emailed to families; and 2) paper copies with postage paid return envelopes to families who preferred a paper survey. The survey included questions with demographic variables for age-range of child, child’s race/ethnicity, and zip code. </w:t>
      </w:r>
      <w:r w:rsidRPr="00ED172B">
        <w:rPr>
          <w:color w:val="000000" w:themeColor="text1"/>
          <w:szCs w:val="16"/>
        </w:rPr>
        <w:br/>
      </w:r>
      <w:r w:rsidRPr="00ED172B">
        <w:rPr>
          <w:color w:val="000000" w:themeColor="text1"/>
          <w:szCs w:val="16"/>
        </w:rPr>
        <w:br/>
        <w:t xml:space="preserve">Iowa’s IDEA data systems, Legacy and ACHIEVE, support the statewide </w:t>
      </w:r>
      <w:proofErr w:type="gramStart"/>
      <w:r w:rsidRPr="00ED172B">
        <w:rPr>
          <w:color w:val="000000" w:themeColor="text1"/>
          <w:szCs w:val="16"/>
        </w:rPr>
        <w:t>web-based</w:t>
      </w:r>
      <w:proofErr w:type="gramEnd"/>
      <w:r w:rsidRPr="00ED172B">
        <w:rPr>
          <w:color w:val="000000" w:themeColor="text1"/>
          <w:szCs w:val="16"/>
        </w:rPr>
        <w:t xml:space="preserve"> IFSP and provides data for Part C Section 618 (Indicators 2, 5, 6, 9, 10) and APR Indicators 1, 3, and 7. </w:t>
      </w:r>
      <w:r w:rsidRPr="00ED172B">
        <w:rPr>
          <w:color w:val="000000" w:themeColor="text1"/>
          <w:szCs w:val="16"/>
        </w:rPr>
        <w:br/>
      </w:r>
      <w:r w:rsidRPr="00ED172B">
        <w:rPr>
          <w:color w:val="000000" w:themeColor="text1"/>
          <w:szCs w:val="16"/>
        </w:rPr>
        <w:br/>
        <w:t>Steps 2 and 3: Determine the Extent/Level of the Issue and Determine the Cause of the Issue</w:t>
      </w:r>
      <w:r w:rsidRPr="00ED172B">
        <w:rPr>
          <w:color w:val="000000" w:themeColor="text1"/>
          <w:szCs w:val="16"/>
        </w:rPr>
        <w:br/>
        <w:t>Iowa analyzes data to determine the level, extent, and cause of issues. Iowa IDEA general supervision responsibilities utilize infrastructure supports including governance structures, project management processes, and statewide tools.</w:t>
      </w:r>
      <w:r w:rsidRPr="00ED172B">
        <w:rPr>
          <w:color w:val="000000" w:themeColor="text1"/>
          <w:szCs w:val="16"/>
        </w:rPr>
        <w:br/>
        <w:t xml:space="preserve">- Procedures Governance Council (PGC) is responsible for statewide procedures and guidance for EA providers. This includes maintaining awareness of information and guidance provided by OSEP to ensure compliance with IDEA. The PGC serves as the collaborative structure for procedures and system processes used for differentiated accountability. </w:t>
      </w:r>
      <w:r w:rsidRPr="00ED172B">
        <w:rPr>
          <w:color w:val="000000" w:themeColor="text1"/>
          <w:szCs w:val="16"/>
        </w:rPr>
        <w:br/>
        <w:t xml:space="preserve">- Professional Learning Governance Council (PLGC) is responsible for professional learning for EA providers and administrators. The PLGC supports statewide development and dissemination of early intervention services which lead to improved outcomes for infants, toddlers, and families. </w:t>
      </w:r>
      <w:r w:rsidRPr="00ED172B">
        <w:rPr>
          <w:color w:val="000000" w:themeColor="text1"/>
          <w:szCs w:val="16"/>
        </w:rPr>
        <w:br/>
        <w:t>- ACHIEVE Governance Council (AGC) is responsible for Iowa’s data systems and the documentation of support and services provided within the EA system. The AGC is facilitating the maintenance of the Legacy System as well as the ongoing development and implementation of Iowa’s new data system, ACHIEVE.</w:t>
      </w:r>
      <w:r w:rsidRPr="00ED172B">
        <w:rPr>
          <w:color w:val="000000" w:themeColor="text1"/>
          <w:szCs w:val="16"/>
        </w:rPr>
        <w:br/>
      </w:r>
      <w:r w:rsidRPr="00ED172B">
        <w:rPr>
          <w:color w:val="000000" w:themeColor="text1"/>
          <w:szCs w:val="16"/>
        </w:rPr>
        <w:br/>
        <w:t>Step 4: Assign Accountability for the Issue</w:t>
      </w:r>
      <w:r w:rsidRPr="00ED172B">
        <w:rPr>
          <w:color w:val="000000" w:themeColor="text1"/>
          <w:szCs w:val="16"/>
        </w:rPr>
        <w:br/>
        <w:t xml:space="preserve">Corrective action or improvement plans are a system output as a result of Step 4 activities. After State monitoring activities are complete, findings of noncompliance or areas needing improved performance are identified. Notification of performance on IDEA requirements is made to Regional Grantees through regional data profiles and annual determinations. Regional Grantees are also notified of noncompliance or performance issues and any required corrective actions or improvement activities. </w:t>
      </w:r>
      <w:r w:rsidRPr="00ED172B">
        <w:rPr>
          <w:color w:val="000000" w:themeColor="text1"/>
          <w:szCs w:val="16"/>
        </w:rPr>
        <w:br/>
      </w:r>
      <w:r w:rsidRPr="00ED172B">
        <w:rPr>
          <w:color w:val="000000" w:themeColor="text1"/>
          <w:szCs w:val="16"/>
        </w:rPr>
        <w:br/>
        <w:t>The EA quality assurance/monitoring consultant verifies results prior to releasing notification to the Regional Grantees. When written notification is sent, the 365-day timeline begins. Citations for individual child noncompliance are included in the notification to Regional Grantees, as well as when a Corrective Action Plan (CAP) or improvement activities are required. The CAP requires Regional Grantees to conduct a root cause analysis. Additionally, the EA State Team has regularly scheduled meetings to discuss related topics with EA Regional Administration and Leadership Team.</w:t>
      </w:r>
      <w:r w:rsidRPr="00ED172B">
        <w:rPr>
          <w:color w:val="000000" w:themeColor="text1"/>
          <w:szCs w:val="16"/>
        </w:rPr>
        <w:br/>
      </w:r>
      <w:r w:rsidRPr="00ED172B">
        <w:rPr>
          <w:color w:val="000000" w:themeColor="text1"/>
          <w:szCs w:val="16"/>
        </w:rPr>
        <w:lastRenderedPageBreak/>
        <w:br/>
        <w:t>Step 5: Ensure and Verify Resolution of the Issues</w:t>
      </w:r>
      <w:r w:rsidRPr="00ED172B">
        <w:rPr>
          <w:color w:val="000000" w:themeColor="text1"/>
          <w:szCs w:val="16"/>
        </w:rPr>
        <w:br/>
        <w:t>Iowa uses new data pulled from the Iowa’s data systems, Legacy and ACHIEVE, to verify correction of noncompliance or resolution of the issue. When findings of noncompliance occur, the Lead Agency requires all individual findings of noncompliance be corrected and verified within 365 days. The lead agency quality assurance consultant is responsible for monitoring correction of all individual child noncompliance including a verification process of correction (Prong 2) within the 365-day timeline.</w:t>
      </w:r>
      <w:r w:rsidRPr="00ED172B">
        <w:rPr>
          <w:color w:val="000000" w:themeColor="text1"/>
          <w:szCs w:val="16"/>
        </w:rPr>
        <w:br/>
      </w:r>
      <w:r w:rsidRPr="00ED172B">
        <w:rPr>
          <w:color w:val="000000" w:themeColor="text1"/>
          <w:szCs w:val="16"/>
        </w:rPr>
        <w:br/>
        <w:t>As part of the verification (Prong 2) process, the lead agency conducts a review of data from five IFSPs with dates subsequent to the corrective activities in each Region. If Regional Grantees do not achieve 100% compliance during the first verification process, they are required to complete additional corrective or improvement actions. After those actions are completed, the verification process is repeated by the lead agency with review of five additional IFSPs dated after the correction period. Regions must reach 100% compliance through the verification process within 365 days to report timely and accurate corrections. Corrective actions include assuring EA services were provided even though the required timeline (C1, C7, C8) was not met, unless the child was no longer in the jurisdiction of the EA system.</w:t>
      </w:r>
      <w:r w:rsidRPr="00ED172B">
        <w:rPr>
          <w:color w:val="000000" w:themeColor="text1"/>
          <w:szCs w:val="16"/>
        </w:rPr>
        <w:br/>
      </w:r>
      <w:r w:rsidRPr="00ED172B">
        <w:rPr>
          <w:color w:val="000000" w:themeColor="text1"/>
          <w:szCs w:val="16"/>
        </w:rPr>
        <w:br/>
        <w:t>Step 6: Follow Up on Resolution of the Issue</w:t>
      </w:r>
      <w:r w:rsidRPr="00ED172B">
        <w:rPr>
          <w:color w:val="000000" w:themeColor="text1"/>
          <w:szCs w:val="16"/>
        </w:rPr>
        <w:br/>
        <w:t xml:space="preserve">The resolution of issues is necessary when performance has not </w:t>
      </w:r>
      <w:proofErr w:type="gramStart"/>
      <w:r w:rsidRPr="00ED172B">
        <w:rPr>
          <w:color w:val="000000" w:themeColor="text1"/>
          <w:szCs w:val="16"/>
        </w:rPr>
        <w:t>improved</w:t>
      </w:r>
      <w:proofErr w:type="gramEnd"/>
      <w:r w:rsidRPr="00ED172B">
        <w:rPr>
          <w:color w:val="000000" w:themeColor="text1"/>
          <w:szCs w:val="16"/>
        </w:rPr>
        <w:t xml:space="preserve"> or noncompliance is not corrected in a timely manner. States are required to have in place a range of formalized strategies and/or sanctions for enforcement with written timelines. Such sanctions may include:</w:t>
      </w:r>
      <w:r w:rsidRPr="00ED172B">
        <w:rPr>
          <w:color w:val="000000" w:themeColor="text1"/>
          <w:szCs w:val="16"/>
        </w:rPr>
        <w:br/>
        <w:t>- Requiring training and technical assistance;</w:t>
      </w:r>
      <w:r w:rsidRPr="00ED172B">
        <w:rPr>
          <w:color w:val="000000" w:themeColor="text1"/>
          <w:szCs w:val="16"/>
        </w:rPr>
        <w:br/>
        <w:t>- Directing use of funds;</w:t>
      </w:r>
      <w:r w:rsidRPr="00ED172B">
        <w:rPr>
          <w:color w:val="000000" w:themeColor="text1"/>
          <w:szCs w:val="16"/>
        </w:rPr>
        <w:br/>
        <w:t>- Imposing special conditions on contracts;</w:t>
      </w:r>
      <w:r w:rsidRPr="00ED172B">
        <w:rPr>
          <w:color w:val="000000" w:themeColor="text1"/>
          <w:szCs w:val="16"/>
        </w:rPr>
        <w:br/>
        <w:t>- Denying or recouping payments; and</w:t>
      </w:r>
      <w:r w:rsidRPr="00ED172B">
        <w:rPr>
          <w:color w:val="000000" w:themeColor="text1"/>
          <w:szCs w:val="16"/>
        </w:rPr>
        <w:br/>
        <w:t>- Terminating contracts.</w:t>
      </w:r>
      <w:r w:rsidRPr="00ED172B">
        <w:rPr>
          <w:color w:val="000000" w:themeColor="text1"/>
          <w:szCs w:val="16"/>
        </w:rPr>
        <w:br/>
      </w:r>
      <w:r w:rsidRPr="00ED172B">
        <w:rPr>
          <w:color w:val="000000" w:themeColor="text1"/>
          <w:szCs w:val="16"/>
        </w:rPr>
        <w:br/>
        <w:t>To date, Iowa has a record of completing accurate and timely corrections of noncompliance and has not employed sanctions. State and regional policies ensure, if needed, sanctions could be used to guarantee resolution of issues identified in previous steps of the framework.</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EA State Team, which is representative of the four signatory agencies, provides training and technical assistance for Regional Grantees and directly supports completion of any corrective action and continuous improvement activities. Training and technical assistance (framework outputs) are provided for evidence-based implementation and intervention practices, implementation of corrective action plans or improvement activities, and SPP/APR indicators. When technical assistance addressing compliance is individualized for a Regional Grantee, the EA quality assurance consultant is responsible for ensuring the needs are met. Additionally, regularly scheduled meetings with Regional Grantees provide opportunities for the EA State Team to identify technical assistance needs, provide resources, and assist with solutions to address monitoring, performance topics, and other system and regional needs.</w:t>
      </w:r>
      <w:r w:rsidRPr="00ED172B">
        <w:rPr>
          <w:color w:val="000000" w:themeColor="text1"/>
          <w:szCs w:val="16"/>
        </w:rPr>
        <w:br/>
      </w:r>
      <w:r w:rsidRPr="00ED172B">
        <w:rPr>
          <w:color w:val="000000" w:themeColor="text1"/>
          <w:szCs w:val="16"/>
        </w:rPr>
        <w:br/>
        <w:t xml:space="preserve">Statewide Leadership Meetings </w:t>
      </w:r>
      <w:r w:rsidRPr="00ED172B">
        <w:rPr>
          <w:color w:val="000000" w:themeColor="text1"/>
          <w:szCs w:val="16"/>
        </w:rPr>
        <w:br/>
        <w:t>The EA State Team meets with Area Education Agency Directors of Special Education (Regional Grantee Administrators), Early ACCESS Grantee Leadership Team, and the Signatory Agency Leadership Team to provide technical assistance and to obtain input and recommendations regarding regional needs. A priority is placed on activities supportive of consistency in communication and implementation of IDEA across the statewide system. These meetings provide opportunities for:</w:t>
      </w:r>
      <w:r w:rsidRPr="00ED172B">
        <w:rPr>
          <w:color w:val="000000" w:themeColor="text1"/>
          <w:szCs w:val="16"/>
        </w:rPr>
        <w:br/>
        <w:t>- Statewide discussion and collaboration;</w:t>
      </w:r>
      <w:r w:rsidRPr="00ED172B">
        <w:rPr>
          <w:color w:val="000000" w:themeColor="text1"/>
          <w:szCs w:val="16"/>
        </w:rPr>
        <w:br/>
        <w:t>- Dissemination of information;</w:t>
      </w:r>
      <w:r w:rsidRPr="00ED172B">
        <w:rPr>
          <w:color w:val="000000" w:themeColor="text1"/>
          <w:szCs w:val="16"/>
        </w:rPr>
        <w:br/>
        <w:t>- Activities to support Early ACCESS (IDEA Part C) Regional Grantee leadership and providers;</w:t>
      </w:r>
      <w:r w:rsidRPr="00ED172B">
        <w:rPr>
          <w:color w:val="000000" w:themeColor="text1"/>
          <w:szCs w:val="16"/>
        </w:rPr>
        <w:br/>
        <w:t>- Reciprocal learning; and,</w:t>
      </w:r>
      <w:r w:rsidRPr="00ED172B">
        <w:rPr>
          <w:color w:val="000000" w:themeColor="text1"/>
          <w:szCs w:val="16"/>
        </w:rPr>
        <w:br/>
        <w:t>- Coordination with the early care, health, and education systems.</w:t>
      </w:r>
      <w:r w:rsidRPr="00ED172B">
        <w:rPr>
          <w:color w:val="000000" w:themeColor="text1"/>
          <w:szCs w:val="16"/>
        </w:rPr>
        <w:br/>
      </w:r>
      <w:r w:rsidRPr="00ED172B">
        <w:rPr>
          <w:color w:val="000000" w:themeColor="text1"/>
          <w:szCs w:val="16"/>
        </w:rPr>
        <w:br/>
        <w:t xml:space="preserve">The Regional Grantee Administrators, Iowa’s State Director of Special Education, and the Lead Agency’s Chief of the Bureau of Early Childhood meet monthly to provide information and collaboration on the implementation of statewide activities addressing Early ACCESS and special education. During the last two years, this leadership team has also utilized weekly, virtual meetings to discuss more timely topics, in particular in regard to ACHIEVE. The Bureau Chief is the Early ACCESS liaison to the Regional Grantee Administrators (also referred to as AEA Directors of Special Education). </w:t>
      </w:r>
      <w:r w:rsidRPr="00ED172B">
        <w:rPr>
          <w:color w:val="000000" w:themeColor="text1"/>
          <w:szCs w:val="16"/>
        </w:rPr>
        <w:br/>
      </w:r>
      <w:r w:rsidRPr="00ED172B">
        <w:rPr>
          <w:color w:val="000000" w:themeColor="text1"/>
          <w:szCs w:val="16"/>
        </w:rPr>
        <w:br/>
        <w:t>The EA Grantee Leadership Team (also known as the EA Leadership Group) meets four times per year. Approximately 30 members attend meetings which include Regional Grantee liaisons, signatory agency liaisons, Early ACCESS coordinator, Chief of the Bureau of Early Childhood, Iowa Educational Services for the Blind and Visually Impaired liaison, and Area Education Agency Director of Special Education. The EA Grantee Leadership Team meetings allow for training and technical assistance to occur either during the meeting or to plan/coordinate technical assistance efforts needed throughout the state. Meeting minutes, support and guidance documents, and video recordings of training and technical assistance are shared with the members.</w:t>
      </w:r>
      <w:r w:rsidRPr="00ED172B">
        <w:rPr>
          <w:color w:val="000000" w:themeColor="text1"/>
          <w:szCs w:val="16"/>
        </w:rPr>
        <w:br/>
      </w:r>
      <w:r w:rsidRPr="00ED172B">
        <w:rPr>
          <w:color w:val="000000" w:themeColor="text1"/>
          <w:szCs w:val="16"/>
        </w:rPr>
        <w:br/>
        <w:t>The Signatory Agency Leadership Team meets as needed and includes an administrator and consultant/liaison from Iowa Department of Public Health, Iowa Department of Human Services, Child Health Specialty Clinics of the University of Iowa, and the Iowa Department of Education. These individuals are also appointed members of the Iowa Council for Early ACCESS. Every five years, the signatory agencies execute a Memorandum of Agreement (MOA) which describes how each state agency will support the Early ACCESS system. In 2018, a new five-year MOA was signed, and an action plan created to ensure goals are met. Included in the action plan are strategies to incorporate the self-assessment for each of the components of the Early Childhood Technical Assistance Center’s System Framework for a High Quality Part C System.</w:t>
      </w:r>
      <w:r w:rsidRPr="00ED172B">
        <w:rPr>
          <w:color w:val="000000" w:themeColor="text1"/>
          <w:szCs w:val="16"/>
        </w:rPr>
        <w:br/>
      </w:r>
      <w:r w:rsidRPr="00ED172B">
        <w:rPr>
          <w:color w:val="000000" w:themeColor="text1"/>
          <w:szCs w:val="16"/>
        </w:rPr>
        <w:br/>
        <w:t xml:space="preserve">The EA State Team provides professional learning and technical assistance to support Early ACCESS service coordinators, providers, data technicians, and administrators to support the implementation of Iowa’s Early ACCESS </w:t>
      </w:r>
      <w:proofErr w:type="spellStart"/>
      <w:r w:rsidRPr="00ED172B">
        <w:rPr>
          <w:color w:val="000000" w:themeColor="text1"/>
          <w:szCs w:val="16"/>
        </w:rPr>
        <w:t>system.The</w:t>
      </w:r>
      <w:proofErr w:type="spellEnd"/>
      <w:r w:rsidRPr="00ED172B">
        <w:rPr>
          <w:color w:val="000000" w:themeColor="text1"/>
          <w:szCs w:val="16"/>
        </w:rPr>
        <w:t xml:space="preserve"> EA State Team includes the Part C coordinator, CSPD consultant, quality assurance/monitoring consultant, data consultant, autism consultant, and the Chief of the Bureau of Early Childhood from the Lead Agency (Iowa Department of Education) and an Early ACCESS liaison from each of the other three signatory agencies (Iowa Department of Public Health, Child Health Specialty Clinics, and the Iowa Department of Human Services). The EA State Team meets twice a month to address Early ACCESS system needs related to procedures, policies, personnel development, data systems, data, monitoring and compliance, collaboration, and Early ACCESS system improvement. Lead Agency consultants for Medicaid and IDEA Part B 619 attend as needed. The EA State Team is responsible for providing professional learning and technical assistance for the Regional Grantees as well as facilitating technical assistance from national experts and OSEP-funded centers and resources. In addition, designated staff from the EA State Team are members of Iowa’s leadership team responsible for the development and implementation of Iowa’s data systems, Legacy and ACHIEVE. </w:t>
      </w:r>
      <w:r w:rsidRPr="00ED172B">
        <w:rPr>
          <w:color w:val="000000" w:themeColor="text1"/>
          <w:szCs w:val="16"/>
        </w:rPr>
        <w:br/>
      </w:r>
      <w:r w:rsidRPr="00ED172B">
        <w:rPr>
          <w:color w:val="000000" w:themeColor="text1"/>
          <w:szCs w:val="16"/>
        </w:rPr>
        <w:br/>
      </w:r>
      <w:r w:rsidRPr="00ED172B">
        <w:rPr>
          <w:color w:val="000000" w:themeColor="text1"/>
          <w:szCs w:val="16"/>
        </w:rPr>
        <w:lastRenderedPageBreak/>
        <w:t>Iowa’s Early ACCESS system continues to focus on implementing the Guiding Principles and Practices for Delivery of Family Centered Services (2004). These principles and practices serve as the foundation for designing and delivering family centered services by all Early ACCESS providers and partners. The principles guiding practices are:</w:t>
      </w:r>
      <w:r w:rsidRPr="00ED172B">
        <w:rPr>
          <w:color w:val="000000" w:themeColor="text1"/>
          <w:szCs w:val="16"/>
        </w:rPr>
        <w:br/>
        <w:t>1) The overriding purpose of providing family-centered help is family empowerment, which in turn benefits the well-being and development of the child.</w:t>
      </w:r>
      <w:r w:rsidRPr="00ED172B">
        <w:rPr>
          <w:color w:val="000000" w:themeColor="text1"/>
          <w:szCs w:val="16"/>
        </w:rPr>
        <w:br/>
        <w:t>2) Mutual trust, respect, honesty, and open communication characterize the family/provider relationship.</w:t>
      </w:r>
      <w:r w:rsidRPr="00ED172B">
        <w:rPr>
          <w:color w:val="000000" w:themeColor="text1"/>
          <w:szCs w:val="16"/>
        </w:rPr>
        <w:br/>
        <w:t>3) Families are active participants in all aspects of decision-making. They are the ultimate decision-makers in the amount, type of assistance, and the support they seek to use.</w:t>
      </w:r>
      <w:r w:rsidRPr="00ED172B">
        <w:rPr>
          <w:color w:val="000000" w:themeColor="text1"/>
          <w:szCs w:val="16"/>
        </w:rPr>
        <w:br/>
        <w:t>4) The ongoing work between families and providers is about identifying family concerns (priorities, hopes, needs, outcomes, or wishes), finding family strengths, and the services and supports that will provide necessary resources to meet those needs.</w:t>
      </w:r>
      <w:r w:rsidRPr="00ED172B">
        <w:rPr>
          <w:color w:val="000000" w:themeColor="text1"/>
          <w:szCs w:val="16"/>
        </w:rPr>
        <w:br/>
        <w:t>5) Efforts are made to build upon and use families’ informal community support systems before relying solely on professional, formal services.</w:t>
      </w:r>
      <w:r w:rsidRPr="00ED172B">
        <w:rPr>
          <w:color w:val="000000" w:themeColor="text1"/>
          <w:szCs w:val="16"/>
        </w:rPr>
        <w:br/>
        <w:t>6) Providers across all disciplines collaborate with families to provide resources that best match what the family needs.</w:t>
      </w:r>
      <w:r w:rsidRPr="00ED172B">
        <w:rPr>
          <w:color w:val="000000" w:themeColor="text1"/>
          <w:szCs w:val="16"/>
        </w:rPr>
        <w:br/>
        <w:t>7) Support and resources need to be flexible, individualized and responsive to the changing needs of families.</w:t>
      </w:r>
      <w:r w:rsidRPr="00ED172B">
        <w:rPr>
          <w:color w:val="000000" w:themeColor="text1"/>
          <w:szCs w:val="16"/>
        </w:rPr>
        <w:br/>
        <w:t>8) Providers are cognizant and respectful of families’ culture, beliefs, and attitudes as they plan and carry out all interventions.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Iowa’s Comprehensive System of Personnel Development (CSPD) has multiple system components in place at state and local levels to ensure early interventionists are effectively providing services to improve results for eligible infants and toddlers with disabilities and their families, including: 1) Service Coordination (SC) Training; 2) Iowa Distance Mentoring Model of Personnel Development (IA DMM); and 3) Early Childhood Comprehensive System of Personnel Development (EC CSPD). </w:t>
      </w:r>
      <w:r w:rsidRPr="00ED172B">
        <w:rPr>
          <w:color w:val="000000" w:themeColor="text1"/>
          <w:szCs w:val="16"/>
        </w:rPr>
        <w:br/>
      </w:r>
      <w:r w:rsidRPr="00ED172B">
        <w:rPr>
          <w:color w:val="000000" w:themeColor="text1"/>
          <w:szCs w:val="16"/>
        </w:rPr>
        <w:br/>
        <w:t>Service Coordination Training</w:t>
      </w:r>
      <w:r w:rsidRPr="00ED172B">
        <w:rPr>
          <w:color w:val="000000" w:themeColor="text1"/>
          <w:szCs w:val="16"/>
        </w:rPr>
        <w:br/>
        <w:t xml:space="preserve">The Iowa Administrative Rules for Early ACCESS state, “…a service coordinator must be a person who has completed a competency-based training program with content related to knowledge and understanding of eligible children, these rules, the nature and scope of services in Early ACCESS in the state, and the system of payments for services, as well as service coordination responsibilities and strategies. The competency-based training program, approved by the department, shall include different training formats and differentiated training to reflect the background and knowledge of the trainees…” [281-120.34(5)]. </w:t>
      </w:r>
      <w:r w:rsidRPr="00ED172B">
        <w:rPr>
          <w:color w:val="000000" w:themeColor="text1"/>
          <w:szCs w:val="16"/>
        </w:rPr>
        <w:br/>
      </w:r>
      <w:r w:rsidRPr="00ED172B">
        <w:rPr>
          <w:color w:val="000000" w:themeColor="text1"/>
          <w:szCs w:val="16"/>
        </w:rPr>
        <w:br/>
        <w:t>Iowa ensures Early ACCESS service coordinators meet the established qualifications by successfully completing training. Iowa’s Early ACCESS Service Coordination Competency Training consists of six components: 1) shadowing experienced service coordinators; 2) successful completion of the five online training modules; 3) completing and turning in five application activities; 4) one face-to-face workshop that is six hours and occurs after the service coordinator has had an active caseload for at least 60 days and has completed the online modules; 5) mentoring; and 6) being observed and receiving feedback on an early intervention home visit. The training process is completed in approximately eight months, though it may take up to one year, depending on when the Early ACCESS service coordinator begins employment.</w:t>
      </w:r>
      <w:r w:rsidRPr="00ED172B">
        <w:rPr>
          <w:color w:val="000000" w:themeColor="text1"/>
          <w:szCs w:val="16"/>
        </w:rPr>
        <w:br/>
      </w:r>
      <w:r w:rsidRPr="00ED172B">
        <w:rPr>
          <w:color w:val="000000" w:themeColor="text1"/>
          <w:szCs w:val="16"/>
        </w:rPr>
        <w:br/>
        <w:t xml:space="preserve">The Early ACCESS Service Coordination Competency Training is annually reviewed and revised to provide knowledge and skills for service coordinators. Revisions are based upon data from Regional Grantee administrators and liaisons, Early ACCESS service coordinators, and the Early ACCESS State Team. </w:t>
      </w:r>
      <w:r w:rsidRPr="00ED172B">
        <w:rPr>
          <w:color w:val="000000" w:themeColor="text1"/>
          <w:szCs w:val="16"/>
        </w:rPr>
        <w:br/>
      </w:r>
      <w:r w:rsidRPr="00ED172B">
        <w:rPr>
          <w:color w:val="000000" w:themeColor="text1"/>
          <w:szCs w:val="16"/>
        </w:rPr>
        <w:br/>
        <w:t>Iowa Distance Mentoring Model of Personnel Development (IA DMM)</w:t>
      </w:r>
      <w:r w:rsidRPr="00ED172B">
        <w:rPr>
          <w:color w:val="000000" w:themeColor="text1"/>
          <w:szCs w:val="16"/>
        </w:rPr>
        <w:br/>
        <w:t>The Iowa Distance Mentoring Model (IA DMM) for Early ACCESS is a professional development approach designed to facilitate coordinated and consistent implementation of high-quality early intervention (EI) services and support. Beginning in 2013, the IA DMM for Early ACCESS has been a multi-year project with the Communication and Early Childhood Research and Practice Center (CEC-RAP) at Florida State University. The Early ACCESS CSPD coordinator has collaborated with the CEC-RAP Center to provide professional development and coaching support to build capacity and sustain the implementation of evidence-based service delivery. Incorporating evidence-based practices for professional development with technology strategies and supports, DMM engages Early ACCESS providers, service coordinators, and program administrators in a systematic change process to increase the use of evidence-based practices with children and families.</w:t>
      </w:r>
      <w:r w:rsidRPr="00ED172B">
        <w:rPr>
          <w:color w:val="000000" w:themeColor="text1"/>
          <w:szCs w:val="16"/>
        </w:rPr>
        <w:br/>
      </w:r>
      <w:r w:rsidRPr="00ED172B">
        <w:rPr>
          <w:color w:val="000000" w:themeColor="text1"/>
          <w:szCs w:val="16"/>
        </w:rPr>
        <w:br/>
        <w:t>Local, state, and national personnel have joined together to design, implement, and evaluate an innovative personnel development approach to improve outcomes for young children and their families. IA DMM uses evidence-based professional development practices including individualized coaching with performance-based feedback and peer mentoring to promote situated learning. The desired outcome is to align Early ACCESS services and support to current evidence-based practices for family centered services in natural environments. The focus is on improved outcomes for infants and toddlers enrolled in Iowa’s Early ACCESS system and their families. Improved outcomes promote learning and development in preparation for each child’s success in school and community settings. The scope includes a comprehensive family-centered model of early intervention service delivery designed to support Early ACCESS providers' use of embedded intervention strategies in everyday family routines and activities, as well as evidence-based adult learning strategies including caregiver coaching.</w:t>
      </w:r>
      <w:r w:rsidRPr="00ED172B">
        <w:rPr>
          <w:color w:val="000000" w:themeColor="text1"/>
          <w:szCs w:val="16"/>
        </w:rPr>
        <w:br/>
      </w:r>
      <w:r w:rsidRPr="00ED172B">
        <w:rPr>
          <w:color w:val="000000" w:themeColor="text1"/>
          <w:szCs w:val="16"/>
        </w:rPr>
        <w:br/>
        <w:t>The Active Implementation Frameworks from the National Implementation Research Network (NIRN) are applied continually to increase the capacity of Early ACCESS service providers to implement, scale, and sustain the evidence-based practices of coaching caregivers in family guided routines based interventions (FGRBI). Iowa ensures the following components are in place to support the success of implementation: 1) implementation teams at regional and state levels; 2) usable interventions; 3) implementation drivers; 4) stages of implementation; and 5) improvement cycles.</w:t>
      </w:r>
      <w:r w:rsidRPr="00ED172B">
        <w:rPr>
          <w:color w:val="000000" w:themeColor="text1"/>
          <w:szCs w:val="16"/>
        </w:rPr>
        <w:br/>
      </w:r>
      <w:r w:rsidRPr="00ED172B">
        <w:rPr>
          <w:color w:val="000000" w:themeColor="text1"/>
          <w:szCs w:val="16"/>
        </w:rPr>
        <w:br/>
        <w:t xml:space="preserve">Project evaluation is a critical element of IA DMM. The evaluation plan continues to measure change on four system levels: 1) family participants, 2) direct service providers, 3) implementing agencies (regional implementation teams), and 4) state level systems (state implementation team and Lead Agency). To date, the focus has been building the internal capacity of providers in Early ACCESS to provide coaching and FGRBI expertise to their peers. While these efforts continue, Iowa has also begun planning efforts with the Regional Grantee Administrators to organize the state and regional infrastructure for professional learning and coaching of service providers to support statewide scaling and sustainability. </w:t>
      </w:r>
      <w:r w:rsidRPr="00ED172B">
        <w:rPr>
          <w:color w:val="000000" w:themeColor="text1"/>
          <w:szCs w:val="16"/>
        </w:rPr>
        <w:br/>
      </w:r>
      <w:r w:rsidRPr="00ED172B">
        <w:rPr>
          <w:color w:val="000000" w:themeColor="text1"/>
          <w:szCs w:val="16"/>
        </w:rPr>
        <w:br/>
        <w:t xml:space="preserve">Early Childhood Comprehensive System of Personnel Development (EC CSPD) </w:t>
      </w:r>
      <w:r w:rsidRPr="00ED172B">
        <w:rPr>
          <w:color w:val="000000" w:themeColor="text1"/>
          <w:szCs w:val="16"/>
        </w:rPr>
        <w:br/>
        <w:t xml:space="preserve">The partnership between Iowa and the National Early Childhood Personnel Center (ECPC) was established through an intensive technical assistance grant designed to build state capacity to foster professional development of the early childhood education workforce that 1) enhanced knowledge and skills of practitioners and those who support them including administrators, technical assistance providers, and faculty; 2) supported the implementation and sustainability of evidence-based practices; and 3) increased the size of the workforce skilled in providing inclusive intervention practices. </w:t>
      </w:r>
      <w:r w:rsidRPr="00ED172B">
        <w:rPr>
          <w:color w:val="000000" w:themeColor="text1"/>
          <w:szCs w:val="16"/>
        </w:rPr>
        <w:br/>
      </w:r>
      <w:r w:rsidRPr="00ED172B">
        <w:rPr>
          <w:color w:val="000000" w:themeColor="text1"/>
          <w:szCs w:val="16"/>
        </w:rPr>
        <w:br/>
        <w:t>Since the intensive technical assistance from ECPC concluded, Iowa continues to:</w:t>
      </w:r>
      <w:r w:rsidRPr="00ED172B">
        <w:rPr>
          <w:color w:val="000000" w:themeColor="text1"/>
          <w:szCs w:val="16"/>
        </w:rPr>
        <w:br/>
        <w:t>- Utilize a framework model for a high quality, effective, and efficient Comprehensive System of Personnel Development;</w:t>
      </w:r>
      <w:r w:rsidRPr="00ED172B">
        <w:rPr>
          <w:color w:val="000000" w:themeColor="text1"/>
          <w:szCs w:val="16"/>
        </w:rPr>
        <w:br/>
        <w:t xml:space="preserve">- Meet with the core EC CSPD Team with cross agency members, including Iowa’s IDEA Part C and Part B 619 coordinators, who routinely meets to </w:t>
      </w:r>
      <w:r w:rsidRPr="00ED172B">
        <w:rPr>
          <w:color w:val="000000" w:themeColor="text1"/>
          <w:szCs w:val="16"/>
        </w:rPr>
        <w:lastRenderedPageBreak/>
        <w:t>support and sustain EC CSPD efforts in the field;</w:t>
      </w:r>
      <w:r w:rsidRPr="00ED172B">
        <w:rPr>
          <w:color w:val="000000" w:themeColor="text1"/>
          <w:szCs w:val="16"/>
        </w:rPr>
        <w:br/>
        <w:t xml:space="preserve">- Explore, install, implement, and standardize a comprehensive system of personnel development including the Cross-Disciplinary Early Childhood Competencies; </w:t>
      </w:r>
      <w:r w:rsidRPr="00ED172B">
        <w:rPr>
          <w:color w:val="000000" w:themeColor="text1"/>
          <w:szCs w:val="16"/>
        </w:rPr>
        <w:br/>
        <w:t>- Partner with pre-service and in-service professional development providers across disciplines (community colleges, institutes of higher education, and area education agencies);</w:t>
      </w:r>
      <w:r w:rsidRPr="00ED172B">
        <w:rPr>
          <w:color w:val="000000" w:themeColor="text1"/>
          <w:szCs w:val="16"/>
        </w:rPr>
        <w:br/>
        <w:t>- Develop, review, and revise support materials to ensure that products are useful, practical, and reflect a high-quality system; and</w:t>
      </w:r>
      <w:r w:rsidRPr="00ED172B">
        <w:rPr>
          <w:color w:val="000000" w:themeColor="text1"/>
          <w:szCs w:val="16"/>
        </w:rPr>
        <w:br/>
        <w:t>- Encourage and support state early childhood stakeholders to be instrumental in providing their leadership and expertise on implementation teams designed to develop and sustain an accountable and effective personnel development infrastructure.</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State’s Interagency Coordinating Council (SICC) or Iowa Council for Early ACCESS (ICEA), Regional Grantee Administrators, Early ACCESS (EA) Grantee Leadership Team, Early ACCESS SSIP Team, and Early ACCESS ad hoc task teams provide stakeholder input on SPP/APR indicators, SSIP development and implementation, and IDEA reporting requirements. The Early ACCESS facilitator ensures that the composition of the ICEA meets the Iowa Administrative Rules for Early ACCESS. Regional Grantee administrators include the special education directors from each of Iowa’s nine area education agencies (AEA). The EA Grantee Leadership Team represents approximately 30 members from each of the following: Lead Agency, signatory agencies; Regional Grantees; and Iowa Educational Services for the Blind and Visually Impaired.</w:t>
      </w:r>
      <w:r w:rsidRPr="00ED172B">
        <w:rPr>
          <w:color w:val="000000" w:themeColor="text1"/>
          <w:szCs w:val="16"/>
        </w:rPr>
        <w:br/>
      </w:r>
      <w:r w:rsidRPr="00ED172B">
        <w:rPr>
          <w:color w:val="000000" w:themeColor="text1"/>
          <w:szCs w:val="16"/>
        </w:rPr>
        <w:br/>
        <w:t>A five-step process was used by the EA State Team with each stakeholder group to review and discuss data and provide input for the FFY 2021 APR:</w:t>
      </w:r>
      <w:r w:rsidRPr="00ED172B">
        <w:rPr>
          <w:color w:val="000000" w:themeColor="text1"/>
          <w:szCs w:val="16"/>
        </w:rPr>
        <w:br/>
        <w:t>1. The importance of stakeholder input regarding the EA system is reviewed. This includes ensuring stakeholder feedback is reported in the APR and used for improvement activities.</w:t>
      </w:r>
      <w:r w:rsidRPr="00ED172B">
        <w:rPr>
          <w:color w:val="000000" w:themeColor="text1"/>
          <w:szCs w:val="16"/>
        </w:rPr>
        <w:br/>
        <w:t>2. Stakeholders are provided baseline, target, and trend data for each compliance and performance indicator.</w:t>
      </w:r>
      <w:r w:rsidRPr="00ED172B">
        <w:rPr>
          <w:color w:val="000000" w:themeColor="text1"/>
          <w:szCs w:val="16"/>
        </w:rPr>
        <w:br/>
        <w:t xml:space="preserve">3. Members work in small and large groups to analyze data and draw conclusions. </w:t>
      </w:r>
      <w:r w:rsidRPr="00ED172B">
        <w:rPr>
          <w:color w:val="000000" w:themeColor="text1"/>
          <w:szCs w:val="16"/>
        </w:rPr>
        <w:br/>
        <w:t>4. A question-and-answer period occurs to clarify data questions and concepts. The EA State Team facilitates discussion and answers questions.</w:t>
      </w:r>
      <w:r w:rsidRPr="00ED172B">
        <w:rPr>
          <w:color w:val="000000" w:themeColor="text1"/>
          <w:szCs w:val="16"/>
        </w:rPr>
        <w:br/>
        <w:t>5. Conclusions and comments regarding targets, progress or slippage of meeting targets, root causes, and improvement activities are shared and agreed upon (indicating consensus).</w:t>
      </w:r>
      <w:r w:rsidRPr="00ED172B">
        <w:rPr>
          <w:color w:val="000000" w:themeColor="text1"/>
          <w:szCs w:val="16"/>
        </w:rPr>
        <w:br/>
      </w:r>
      <w:r w:rsidRPr="00ED172B">
        <w:rPr>
          <w:color w:val="000000" w:themeColor="text1"/>
          <w:szCs w:val="16"/>
        </w:rPr>
        <w:br/>
        <w:t>Discussion notes, comments, and analysis conclusions are documented and provided to EA and Lead Agency staff to include in the APR for each indicator where appropriate. Questions requiring additional data are collected for the APR. The EA State Team is responsible for obtaining additional information and data for deeper analysis and discussion at subsequent meetings.</w:t>
      </w:r>
      <w:r w:rsidRPr="00ED172B">
        <w:rPr>
          <w:color w:val="000000" w:themeColor="text1"/>
          <w:szCs w:val="16"/>
        </w:rPr>
        <w:br/>
      </w:r>
      <w:r w:rsidRPr="00ED172B">
        <w:rPr>
          <w:color w:val="000000" w:themeColor="text1"/>
          <w:szCs w:val="16"/>
        </w:rPr>
        <w:br/>
        <w:t xml:space="preserve">The specific stakeholder groups regularly engage in topics of IDEA Part C implementation and evaluation including an annual review of Iowa’s IDEA Part C Annual Performance Report. These groups and other stakeholders have been involved in activities specific to the development of the FFY 2021 APR. </w:t>
      </w:r>
      <w:r w:rsidRPr="00ED172B">
        <w:rPr>
          <w:color w:val="000000" w:themeColor="text1"/>
          <w:szCs w:val="16"/>
        </w:rPr>
        <w:br/>
      </w:r>
      <w:r w:rsidRPr="00ED172B">
        <w:rPr>
          <w:color w:val="000000" w:themeColor="text1"/>
          <w:szCs w:val="16"/>
        </w:rPr>
        <w:br/>
        <w:t xml:space="preserve">1. State Interagency Coordinating Council (Iowa Council for Early ACCESS); five meetings held annually </w:t>
      </w:r>
      <w:r w:rsidRPr="00ED172B">
        <w:rPr>
          <w:color w:val="000000" w:themeColor="text1"/>
          <w:szCs w:val="16"/>
        </w:rPr>
        <w:br/>
        <w:t>-Early ACCESS Service Providers</w:t>
      </w:r>
      <w:r w:rsidRPr="00ED172B">
        <w:rPr>
          <w:color w:val="000000" w:themeColor="text1"/>
          <w:szCs w:val="16"/>
        </w:rPr>
        <w:br/>
        <w:t>-Early ACCESS Signatory Agencies (Departments of Health, Human Services, and Iowa Child Health Specialty Clinics)</w:t>
      </w:r>
      <w:r w:rsidRPr="00ED172B">
        <w:rPr>
          <w:color w:val="000000" w:themeColor="text1"/>
          <w:szCs w:val="16"/>
        </w:rPr>
        <w:br/>
        <w:t xml:space="preserve">-Early Head Start / Head Start </w:t>
      </w:r>
      <w:r w:rsidRPr="00ED172B">
        <w:rPr>
          <w:color w:val="000000" w:themeColor="text1"/>
          <w:szCs w:val="16"/>
        </w:rPr>
        <w:br/>
        <w:t>-Iowa IDEA Part C Lead Agency (Department of Education)</w:t>
      </w:r>
      <w:r w:rsidRPr="00ED172B">
        <w:rPr>
          <w:color w:val="000000" w:themeColor="text1"/>
          <w:szCs w:val="16"/>
        </w:rPr>
        <w:br/>
        <w:t>-Medical / Health Care Providers</w:t>
      </w:r>
      <w:r w:rsidRPr="00ED172B">
        <w:rPr>
          <w:color w:val="000000" w:themeColor="text1"/>
          <w:szCs w:val="16"/>
        </w:rPr>
        <w:br/>
        <w:t>-Mental Health Providers</w:t>
      </w:r>
      <w:r w:rsidRPr="00ED172B">
        <w:rPr>
          <w:color w:val="000000" w:themeColor="text1"/>
          <w:szCs w:val="16"/>
        </w:rPr>
        <w:br/>
        <w:t>-Parent Training and Information Center</w:t>
      </w:r>
      <w:r w:rsidRPr="00ED172B">
        <w:rPr>
          <w:color w:val="000000" w:themeColor="text1"/>
          <w:szCs w:val="16"/>
        </w:rPr>
        <w:br/>
        <w:t>-Parents of Children with Disabilities</w:t>
      </w:r>
      <w:r w:rsidRPr="00ED172B">
        <w:rPr>
          <w:color w:val="000000" w:themeColor="text1"/>
          <w:szCs w:val="16"/>
        </w:rPr>
        <w:br/>
        <w:t>-Personnel Preparation / Institutes of Higher Education</w:t>
      </w:r>
      <w:r w:rsidRPr="00ED172B">
        <w:rPr>
          <w:color w:val="000000" w:themeColor="text1"/>
          <w:szCs w:val="16"/>
        </w:rPr>
        <w:br/>
        <w:t>-Private Health Insurance / Insurance Commission</w:t>
      </w:r>
      <w:r w:rsidRPr="00ED172B">
        <w:rPr>
          <w:color w:val="000000" w:themeColor="text1"/>
          <w:szCs w:val="16"/>
        </w:rPr>
        <w:br/>
        <w:t xml:space="preserve">-Special Education / IDEA Part B 619 </w:t>
      </w:r>
      <w:r w:rsidRPr="00ED172B">
        <w:rPr>
          <w:color w:val="000000" w:themeColor="text1"/>
          <w:szCs w:val="16"/>
        </w:rPr>
        <w:br/>
        <w:t>-State Legislators</w:t>
      </w:r>
      <w:r w:rsidRPr="00ED172B">
        <w:rPr>
          <w:color w:val="000000" w:themeColor="text1"/>
          <w:szCs w:val="16"/>
        </w:rPr>
        <w:br/>
      </w:r>
      <w:r w:rsidRPr="00ED172B">
        <w:rPr>
          <w:color w:val="000000" w:themeColor="text1"/>
          <w:szCs w:val="16"/>
        </w:rPr>
        <w:br/>
        <w:t>2. Regional Grantee Administrators (Directors of Special Education) for nine Regional Grantees; weekly and monthly meetings.</w:t>
      </w:r>
      <w:r w:rsidRPr="00ED172B">
        <w:rPr>
          <w:color w:val="000000" w:themeColor="text1"/>
          <w:szCs w:val="16"/>
        </w:rPr>
        <w:br/>
      </w:r>
      <w:r w:rsidRPr="00ED172B">
        <w:rPr>
          <w:color w:val="000000" w:themeColor="text1"/>
          <w:szCs w:val="16"/>
        </w:rPr>
        <w:br/>
        <w:t>3. Early ACCESS Grantee Leadership Team; five meetings held annually</w:t>
      </w:r>
      <w:r w:rsidRPr="00ED172B">
        <w:rPr>
          <w:color w:val="000000" w:themeColor="text1"/>
          <w:szCs w:val="16"/>
        </w:rPr>
        <w:br/>
        <w:t>-Regional Grantee Administration</w:t>
      </w:r>
      <w:r w:rsidRPr="00ED172B">
        <w:rPr>
          <w:color w:val="000000" w:themeColor="text1"/>
          <w:szCs w:val="16"/>
        </w:rPr>
        <w:br/>
        <w:t>-Regional Grantees</w:t>
      </w:r>
      <w:r w:rsidRPr="00ED172B">
        <w:rPr>
          <w:color w:val="000000" w:themeColor="text1"/>
          <w:szCs w:val="16"/>
        </w:rPr>
        <w:br/>
        <w:t>-Signatory Agencies</w:t>
      </w:r>
      <w:r w:rsidRPr="00ED172B">
        <w:rPr>
          <w:color w:val="000000" w:themeColor="text1"/>
          <w:szCs w:val="16"/>
        </w:rPr>
        <w:br/>
        <w:t>-Specialized Lead Consultants</w:t>
      </w:r>
      <w:r w:rsidRPr="00ED172B">
        <w:rPr>
          <w:color w:val="000000" w:themeColor="text1"/>
          <w:szCs w:val="16"/>
        </w:rPr>
        <w:br/>
      </w:r>
      <w:r w:rsidRPr="00ED172B">
        <w:rPr>
          <w:color w:val="000000" w:themeColor="text1"/>
          <w:szCs w:val="16"/>
        </w:rPr>
        <w:br/>
        <w:t>4. Early ACCESS SSIP (C11) Team; held every 2 months</w:t>
      </w:r>
      <w:r w:rsidRPr="00ED172B">
        <w:rPr>
          <w:color w:val="000000" w:themeColor="text1"/>
          <w:szCs w:val="16"/>
        </w:rPr>
        <w:br/>
        <w:t xml:space="preserve">-EA CSPD </w:t>
      </w:r>
      <w:r w:rsidRPr="00ED172B">
        <w:rPr>
          <w:color w:val="000000" w:themeColor="text1"/>
          <w:szCs w:val="16"/>
        </w:rPr>
        <w:br/>
        <w:t>-Lead Agency EA Leadership</w:t>
      </w:r>
      <w:r w:rsidRPr="00ED172B">
        <w:rPr>
          <w:color w:val="000000" w:themeColor="text1"/>
          <w:szCs w:val="16"/>
        </w:rPr>
        <w:br/>
        <w:t>-Regional Grantee Administration</w:t>
      </w:r>
      <w:r w:rsidRPr="00ED172B">
        <w:rPr>
          <w:color w:val="000000" w:themeColor="text1"/>
          <w:szCs w:val="16"/>
        </w:rPr>
        <w:br/>
      </w:r>
      <w:r w:rsidRPr="00ED172B">
        <w:rPr>
          <w:color w:val="000000" w:themeColor="text1"/>
          <w:szCs w:val="16"/>
        </w:rPr>
        <w:br/>
        <w:t>5. Early ACCESS Ad Hoc Task Teams; as needed</w:t>
      </w:r>
      <w:r w:rsidRPr="00ED172B">
        <w:rPr>
          <w:color w:val="000000" w:themeColor="text1"/>
          <w:szCs w:val="16"/>
        </w:rPr>
        <w:br/>
      </w:r>
      <w:r w:rsidRPr="00ED172B">
        <w:rPr>
          <w:color w:val="000000" w:themeColor="text1"/>
          <w:szCs w:val="16"/>
        </w:rPr>
        <w:br/>
        <w:t xml:space="preserve">In addition to the review of APR indicator data, stakeholders and EA regional and state-level implementation teams routinely review data related to the ongoing implementation and continuous improvement of the IDEA Part C State Systemic Improvement Plan (SSIP), or indicator C11. Data related to the SSIP </w:t>
      </w:r>
      <w:proofErr w:type="gramStart"/>
      <w:r w:rsidRPr="00ED172B">
        <w:rPr>
          <w:color w:val="000000" w:themeColor="text1"/>
          <w:szCs w:val="16"/>
        </w:rPr>
        <w:t>includes:</w:t>
      </w:r>
      <w:proofErr w:type="gramEnd"/>
      <w:r w:rsidRPr="00ED172B">
        <w:rPr>
          <w:color w:val="000000" w:themeColor="text1"/>
          <w:szCs w:val="16"/>
        </w:rPr>
        <w:t xml:space="preserve"> services provided; frequency and intensity of services; disaggregated early childhood outcomes data; and family outcome data. Stakeholders provide input and decisions at scheduled meetings throughout the year as well as between meetings when a need for input is identified.</w:t>
      </w:r>
      <w:r w:rsidRPr="00ED172B">
        <w:rPr>
          <w:color w:val="000000" w:themeColor="text1"/>
          <w:szCs w:val="16"/>
        </w:rPr>
        <w:br/>
      </w:r>
      <w:r w:rsidRPr="00ED172B">
        <w:rPr>
          <w:color w:val="000000" w:themeColor="text1"/>
          <w:szCs w:val="16"/>
        </w:rPr>
        <w:br/>
        <w:t>More recently, members of the EA State Team have convened ad hoc meetings with Regional Grantee Administrators to specifically review data and reporting details. These will contribute to a revised consolidated report for general supervision activities to be submitted and reviewed by the Lead Agency and EA State Team annually, at minimum.</w:t>
      </w:r>
      <w:r w:rsidRPr="00ED172B">
        <w:rPr>
          <w:color w:val="000000" w:themeColor="text1"/>
          <w:szCs w:val="16"/>
        </w:rPr>
        <w:br/>
      </w:r>
      <w:r w:rsidRPr="00ED172B">
        <w:rPr>
          <w:color w:val="000000" w:themeColor="text1"/>
          <w:szCs w:val="16"/>
        </w:rPr>
        <w:br/>
        <w:t>The data are used to inform decisions about personnel development related to the use of evidence-based practices as well as addressing barriers for successful implementation.</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lastRenderedPageBreak/>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As a primary means of involvement, parent members of ICEA have been involved in every aspect of stakeholder engagement. As with all ICEA members, parents analyzed the historical data of each indicator and engaged in the discussions regarding improvement strategies to reach the targets. Discussions of data were intentionally structured to provide a means for active, two-way communication among stakeholders. </w:t>
      </w:r>
      <w:r w:rsidRPr="00ED172B">
        <w:rPr>
          <w:color w:val="000000" w:themeColor="text1"/>
          <w:szCs w:val="16"/>
        </w:rPr>
        <w:br/>
      </w:r>
      <w:r w:rsidRPr="00ED172B">
        <w:rPr>
          <w:color w:val="000000" w:themeColor="text1"/>
          <w:szCs w:val="16"/>
        </w:rPr>
        <w:br/>
        <w:t xml:space="preserve">Evaluation of progress is conducted by comparing annual indicator data to the identified targets. Additional evaluation methods may be added as improvement strategies are </w:t>
      </w:r>
      <w:proofErr w:type="gramStart"/>
      <w:r w:rsidRPr="00ED172B">
        <w:rPr>
          <w:color w:val="000000" w:themeColor="text1"/>
          <w:szCs w:val="16"/>
        </w:rPr>
        <w:t>implemented</w:t>
      </w:r>
      <w:proofErr w:type="gramEnd"/>
      <w:r w:rsidRPr="00ED172B">
        <w:rPr>
          <w:color w:val="000000" w:themeColor="text1"/>
          <w:szCs w:val="16"/>
        </w:rPr>
        <w:t xml:space="preserve"> and progress data are shared and reviewed with stakeholders.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Activities for increasing capacity of parent involvement included Lead Agency hosted public webinars, in-person meetings, and online surveys. The Lead Agency and EA State Team also worked with leadership from Iowa's Parent Training and Information Center (PTIC) to connect with families for input and feedback in stakeholder activities.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Stakeholder engagement and public input for Iowa's FFY 2021 APR for Early ACCESS Integrated System of Early Intervention Services included:</w:t>
      </w:r>
      <w:r w:rsidRPr="00ED172B">
        <w:rPr>
          <w:color w:val="000000" w:themeColor="text1"/>
          <w:szCs w:val="16"/>
        </w:rPr>
        <w:br/>
        <w:t>-- Routine discussions and input from Regional Grantee Administrators, Grantee Leadership, signatory agencies, and Iowa Council for Early ACCESS (ICEA); and,</w:t>
      </w:r>
      <w:r w:rsidRPr="00ED172B">
        <w:rPr>
          <w:color w:val="000000" w:themeColor="text1"/>
          <w:szCs w:val="16"/>
        </w:rPr>
        <w:br/>
        <w:t>-- Public stakeholders are provided access to Iowa’s FFY 2021 APR from the Lead Agency's web page, using direct links to the OSEP public reporting web page.</w:t>
      </w:r>
      <w:r w:rsidRPr="00ED172B">
        <w:rPr>
          <w:color w:val="000000" w:themeColor="text1"/>
          <w:szCs w:val="16"/>
        </w:rPr>
        <w:br/>
      </w:r>
      <w:r w:rsidRPr="00ED172B">
        <w:rPr>
          <w:color w:val="000000" w:themeColor="text1"/>
          <w:szCs w:val="16"/>
        </w:rPr>
        <w:br/>
        <w:t xml:space="preserve">Evaluating progress: </w:t>
      </w:r>
      <w:r w:rsidRPr="00ED172B">
        <w:rPr>
          <w:color w:val="000000" w:themeColor="text1"/>
          <w:szCs w:val="16"/>
        </w:rPr>
        <w:br/>
        <w:t>Progress of the state’s performance on the indicators is shared annually with ICEA; members are involved in any needed revisions to targets or baseline data. Regional Grantee Administrators (AEA Directors of Special Education) also annually review both state and regional data. Current and future efforts include public posting of state and regional data as well as routine data reviews with various stakeholder groups. Routines also include stakeholder discussion of current strategies, impact, and considerations for improvement. The data and acquired information from stakeholders assist the Lead Agency and signatory partners with adjustments of priorities and activities in the state’s improvement plan.</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June 2023: A direct link to the final submitted FFY 2021 APR will be provided on the Lead Agency’s public reporting website for early intervention and special education, which is the end result of the target setting, data analysis, development of improvement strategies, and evaluation.</w:t>
      </w:r>
      <w:r w:rsidRPr="00ED172B">
        <w:rPr>
          <w:color w:val="000000" w:themeColor="text1"/>
          <w:szCs w:val="16"/>
        </w:rPr>
        <w:br/>
      </w:r>
      <w:r w:rsidRPr="00ED172B">
        <w:rPr>
          <w:color w:val="000000" w:themeColor="text1"/>
          <w:szCs w:val="16"/>
        </w:rPr>
        <w:br/>
        <w:t>Ongoing: Progress of the State’s performance on the indicators is shared with ICEA and Regional Grantees through scheduled routine data reviews, which include making needed revisions to targets or baseline data.</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Lead Agency publicly reported performance and progress and/or slippage in meeting the APR indicator targets of each Regional Grantee (AEA) through the following channels and timelines:</w:t>
      </w:r>
      <w:r w:rsidRPr="00ED172B">
        <w:rPr>
          <w:color w:val="000000" w:themeColor="text1"/>
          <w:szCs w:val="16"/>
        </w:rPr>
        <w:br/>
      </w:r>
      <w:r w:rsidRPr="00ED172B">
        <w:rPr>
          <w:color w:val="000000" w:themeColor="text1"/>
          <w:szCs w:val="16"/>
        </w:rPr>
        <w:br/>
        <w:t>AEA Regional Data Profiles posted on the Iowa Department of Education website under “District and Area Education Agency (AEA) Data Profiles” no later than 120 days from submission at: https://educateiowa.gov/pk-12/special-education/special-education-public-reporting#District_and_Area_Education_Agency_AEA_Data_Profiles</w:t>
      </w:r>
      <w:r w:rsidRPr="00ED172B">
        <w:rPr>
          <w:color w:val="000000" w:themeColor="text1"/>
          <w:szCs w:val="16"/>
        </w:rPr>
        <w:br/>
      </w:r>
      <w:r w:rsidRPr="00ED172B">
        <w:rPr>
          <w:color w:val="000000" w:themeColor="text1"/>
          <w:szCs w:val="16"/>
        </w:rPr>
        <w:br/>
        <w:t>Iowa Part C State Performance Plan (SPP)/Annual Performance Report (APR) posted on Iowa Department of Education website under “State Performance Plan and Annual Performance Report” no later than 120 days from submission at:</w:t>
      </w:r>
      <w:r w:rsidRPr="00ED172B">
        <w:rPr>
          <w:color w:val="000000" w:themeColor="text1"/>
          <w:szCs w:val="16"/>
        </w:rPr>
        <w:br/>
        <w:t>https://educateiowa.gov/pk-12/special-education/special-education-public-reporting#State_Performance_Plan_and_Annual_Performance_Report</w:t>
      </w:r>
      <w:r w:rsidRPr="00ED172B">
        <w:rPr>
          <w:color w:val="000000" w:themeColor="text1"/>
          <w:szCs w:val="16"/>
        </w:rPr>
        <w:br/>
      </w:r>
      <w:r w:rsidRPr="00ED172B">
        <w:rPr>
          <w:color w:val="000000" w:themeColor="text1"/>
          <w:szCs w:val="16"/>
        </w:rPr>
        <w:br/>
        <w:t>AEA Regional Data Profiles and Iowa Part C SPP/APR provided electronically to the following groups no later than 120 days from submission:</w:t>
      </w:r>
      <w:r w:rsidRPr="00ED172B">
        <w:rPr>
          <w:color w:val="000000" w:themeColor="text1"/>
          <w:szCs w:val="16"/>
        </w:rPr>
        <w:br/>
        <w:t>-Iowa Council for Early ACCESS;</w:t>
      </w:r>
      <w:r w:rsidRPr="00ED172B">
        <w:rPr>
          <w:color w:val="000000" w:themeColor="text1"/>
          <w:szCs w:val="16"/>
        </w:rPr>
        <w:br/>
        <w:t>-Regional Grantee Administrators;</w:t>
      </w:r>
      <w:r w:rsidRPr="00ED172B">
        <w:rPr>
          <w:color w:val="000000" w:themeColor="text1"/>
          <w:szCs w:val="16"/>
        </w:rPr>
        <w:br/>
        <w:t xml:space="preserve">-Early ACCESS Grantee Leadership Team; </w:t>
      </w:r>
      <w:r w:rsidRPr="00ED172B">
        <w:rPr>
          <w:color w:val="000000" w:themeColor="text1"/>
          <w:szCs w:val="16"/>
        </w:rPr>
        <w:br/>
        <w:t>-Lead Agency Administration; and,</w:t>
      </w:r>
      <w:r w:rsidRPr="00ED172B">
        <w:rPr>
          <w:color w:val="000000" w:themeColor="text1"/>
          <w:szCs w:val="16"/>
        </w:rPr>
        <w:br/>
        <w:t>-Regional and State Implementation Teams.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Iowa's Lead Agency has regular calls with the OSEP State Lead for Part C to discuss continuous improvement efforts. Information from technical assistance centers shared by the OSEP State Lead were reviewed and used with the ICEA and Early ACCESS Regional Grantees. The Early ACCESS State Team has used the OSEP-funded Early Childhood Technical Assistance (ECTA) Center training materials and resources to ensure quality professional development for Early Childhood Outcomes (ECO) occurs at the agency level (e.g., Decision Tree for summary rating discussions, age-expected child development resources and Child Outcomes Summary process materials). Use of the ECO materials </w:t>
      </w:r>
      <w:proofErr w:type="gramStart"/>
      <w:r w:rsidRPr="00ED172B">
        <w:rPr>
          <w:color w:val="000000" w:themeColor="text1"/>
        </w:rPr>
        <w:t>has</w:t>
      </w:r>
      <w:proofErr w:type="gramEnd"/>
      <w:r w:rsidRPr="00ED172B">
        <w:rPr>
          <w:color w:val="000000" w:themeColor="text1"/>
        </w:rPr>
        <w:t xml:space="preserve"> provided the Lead Agency assurance all IFSP teams in the state have access to training on how to implement consistent procedures for gathering, analyzing, and reporting these data. </w:t>
      </w:r>
      <w:r w:rsidRPr="00ED172B">
        <w:rPr>
          <w:color w:val="000000" w:themeColor="text1"/>
        </w:rPr>
        <w:br/>
      </w:r>
      <w:r w:rsidRPr="00ED172B">
        <w:rPr>
          <w:color w:val="000000" w:themeColor="text1"/>
        </w:rPr>
        <w:br/>
        <w:t xml:space="preserve">As a result of technical assistance, Iowa has taken several steps to intentionally address the ECO process within the state system. Internally, a state level team consisting of staff and administration from early intervention (Part C) and special education (Part B 619, 611) was convened specifically to review and address ECO processes and data use. One identified need has been consistent statewide procedures and practices in collecting child outcome data from early intervention through preschool. As part of Iowa's Comprehensive System of Personnel Development, the State is requiring the completion of ECTA Childhood Outcomes Summary Process online module for service coordinators and providers serving children, birth to three. </w:t>
      </w:r>
      <w:r w:rsidRPr="00ED172B">
        <w:rPr>
          <w:color w:val="000000" w:themeColor="text1"/>
        </w:rPr>
        <w:br/>
      </w:r>
      <w:r w:rsidRPr="00ED172B">
        <w:rPr>
          <w:color w:val="000000" w:themeColor="text1"/>
        </w:rPr>
        <w:br/>
        <w:t xml:space="preserve">Throughout the 2021-22 program year, Iowa has also utilized national experts to lead statewide community of practice webinars for Early ACCESS service providers targeting practices related to Early Childhood Outcomes, authentic assessment, and family guided </w:t>
      </w:r>
      <w:proofErr w:type="gramStart"/>
      <w:r w:rsidRPr="00ED172B">
        <w:rPr>
          <w:color w:val="000000" w:themeColor="text1"/>
        </w:rPr>
        <w:t>routines based</w:t>
      </w:r>
      <w:proofErr w:type="gramEnd"/>
      <w:r w:rsidRPr="00ED172B">
        <w:rPr>
          <w:color w:val="000000" w:themeColor="text1"/>
        </w:rPr>
        <w:t xml:space="preserve"> interventions. In addition to professional learning, Iowa’s new IFSP/IEP system, ACHIEVE, has intentionally integrated Early Childhood Outcomes concepts and terminology throughout processes for the evaluation, eligibility determination, and IFSP development. For example, IFSP Teams interact with an embedded ECO Decision Tree within ACHIEVE to determine children’s functioning within age expectations at entry, annually, and at exit of services.</w:t>
      </w:r>
      <w:r w:rsidRPr="00ED172B">
        <w:rPr>
          <w:color w:val="000000" w:themeColor="text1"/>
        </w:rPr>
        <w:br/>
      </w:r>
      <w:r w:rsidRPr="00ED172B">
        <w:rPr>
          <w:color w:val="000000" w:themeColor="text1"/>
        </w:rPr>
        <w:br/>
        <w:t>Additional professional learning modules have been developed in partnership with Regional Grantee professional learning leads to address early intervention evaluation and assessment practices; integration of Early Childhood Outcomes into present levels of development; child and family outcomes; and progress monitoring. A third statewide professional development series was compiled through collaborative efforts with IDEA Part C and 619 national and local experts to scaffold provider knowledge and application of child development learning progressions.</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The State's determinations for both 2021 and 2022 were Needs Assistance. Pursuant to sections 616(e)(1) and 642 of the IDEA and 34 C.F.R. § 303.704(a), OSEP's June 22, 2022, determination letter informed the State that it must report with its FFY 2021 SPP/APR submission, due February 1, 2023,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2022 and 2023 is Needs Assistance. In the State's 2023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r>
      <w:r w:rsidRPr="00ED172B">
        <w:rPr>
          <w:color w:val="000000" w:themeColor="text1"/>
        </w:rPr>
        <w:br/>
        <w:t>The State must report, with its FFY 2022 SPP/APR submission, due February 1, 2024,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100.00%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98.80%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99.56%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98.26%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NVR</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99.54%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590</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662</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99.54%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99.85%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71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Regional grantees provided reasons for delay related to family cancellations, staff schedules, agency closure for holidays, and staff illness.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Services are considered timely if initiated within 30 calendar days from the date in which parental consent for services was obtained. Data are based on the actual number of days, not the average, between the date of parental consent for services and the date documented on the IFSP service log notes for delivery of first service.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 xml:space="preserve">The data was selected from the full reporting period.  </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Data for this indicator were taken from Iowa's data systems, Legacy and ACHIEVE, for the current full reporting period and reflect all new early intervention services from both initial IFSPs and subsequent IFSPs. The monitoring cycle occurs annually with all Regional Grantees. A random sample of children from all Regional Grantees was created ensuring a confidence level of 95% +/- 5% margin of error. The lead agency conducted the reviews using an Excel data collection form. Data are based on the actual number of days, not the average, between the parental consent for services and the date documented on the IFSP service log notes for delivery of first service. Services are considered timely if initiated within 30 calendar days from the date in which parental consent for services was obtained (state criteria).</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Three Regional Grantees (AEAs) did not meet the 100% target in FFY 2020 and were notified of findings of noncompliance. The Regional Grantees were required to analyze root causes and correct each case of noncompliance, unless the child was no longer within the jurisdiction of the Early ACCESS program, as soon as possible and no later than one year from the date of notification of noncompliance. The corrective actions were completed, followed by verification by the lead agency.</w:t>
      </w:r>
      <w:r w:rsidRPr="00ED172B">
        <w:rPr>
          <w:color w:val="000000" w:themeColor="text1"/>
        </w:rPr>
        <w:br/>
      </w:r>
      <w:r w:rsidRPr="00ED172B">
        <w:rPr>
          <w:color w:val="000000" w:themeColor="text1"/>
        </w:rPr>
        <w:br/>
        <w:t xml:space="preserve">The Regional Grantees made corrections with the </w:t>
      </w:r>
      <w:proofErr w:type="gramStart"/>
      <w:r w:rsidRPr="00ED172B">
        <w:rPr>
          <w:color w:val="000000" w:themeColor="text1"/>
        </w:rPr>
        <w:t>365 day</w:t>
      </w:r>
      <w:proofErr w:type="gramEnd"/>
      <w:r w:rsidRPr="00ED172B">
        <w:rPr>
          <w:color w:val="000000" w:themeColor="text1"/>
        </w:rPr>
        <w:t xml:space="preserve"> timeline (including the State's verification of correction) and met requirements for timely correction. The lead agency quality assurance/monitoring consultant was responsible for verifying timely corrections. In each Region with findings of noncompliance, after technical assistance and corrective activities occurred, a follow-up review of data from five IFSPs with dates subsequent to the corrective activities was conducted. All three Regional Grantees demonstrated implementation of the requirement with 100% compliance through additional data review by the lead agency. </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During FFY 2020, three instances of noncompliance were identified within three Regional Grantees. The lead agency notified each Regional Grantee of the noncompliance and verified the individual cases were corrected by (a) verifying services were eventually provided unless the child was no longer within the jurisdiction of the Early ACCESS program, and (b) verifying each Regional Grantee performing below 100 percent compliance during the prior reporting period is correctly implementing requirements.</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96.10%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96.60%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96.60%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96.60%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96.60%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96.60%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99.07%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98.39%</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97.76%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98.29%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93.99%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96.60%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96.64%</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96.68%</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96.72%</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96.76%</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State’s Interagency Coordinating Council (SICC) or Iowa Council for Early ACCESS (ICEA), Regional Grantee Administrators, Early ACCESS (EA) Grantee Leadership Team, Early ACCESS SSIP Team, and Early ACCESS ad hoc task teams provide stakeholder input on SPP/APR indicators, SSIP development and implementation, and IDEA reporting requirements. The Early ACCESS facilitator ensures that the composition of the ICEA meets the Iowa Administrative Rules for Early ACCESS. Regional Grantee administrators include the special education directors from each of Iowa’s nine area education agencies (AEA). The EA Grantee Leadership Team represents approximately 30 members from each of the following: Lead Agency, signatory agencies; Regional Grantees; and Iowa Educational Services for the Blind and Visually Impaired.</w:t>
      </w:r>
      <w:r w:rsidRPr="00ED172B">
        <w:rPr>
          <w:color w:val="000000" w:themeColor="text1"/>
        </w:rPr>
        <w:br/>
      </w:r>
      <w:r w:rsidRPr="00ED172B">
        <w:rPr>
          <w:color w:val="000000" w:themeColor="text1"/>
        </w:rPr>
        <w:br/>
        <w:t>A five-step process was used by the EA State Team with each stakeholder group to review and discuss data and provide input for the FFY 2021 APR:</w:t>
      </w:r>
      <w:r w:rsidRPr="00ED172B">
        <w:rPr>
          <w:color w:val="000000" w:themeColor="text1"/>
        </w:rPr>
        <w:br/>
        <w:t>1. The importance of stakeholder input regarding the EA system is reviewed. This includes ensuring stakeholder feedback is reported in the APR and used for improvement activities.</w:t>
      </w:r>
      <w:r w:rsidRPr="00ED172B">
        <w:rPr>
          <w:color w:val="000000" w:themeColor="text1"/>
        </w:rPr>
        <w:br/>
        <w:t>2. Stakeholders are provided baseline, target, and trend data for each compliance and performance indicator.</w:t>
      </w:r>
      <w:r w:rsidRPr="00ED172B">
        <w:rPr>
          <w:color w:val="000000" w:themeColor="text1"/>
        </w:rPr>
        <w:br/>
        <w:t xml:space="preserve">3. Members work in small and large groups to analyze data and draw conclusions. </w:t>
      </w:r>
      <w:r w:rsidRPr="00ED172B">
        <w:rPr>
          <w:color w:val="000000" w:themeColor="text1"/>
        </w:rPr>
        <w:br/>
        <w:t>4. A question-and-answer period occurs to clarify data questions and concepts. The EA State Team facilitates discussion and answers questions.</w:t>
      </w:r>
      <w:r w:rsidRPr="00ED172B">
        <w:rPr>
          <w:color w:val="000000" w:themeColor="text1"/>
        </w:rPr>
        <w:br/>
        <w:t>5. Conclusions and comments regarding targets, progress or slippage of meeting targets, root causes, and improvement activities are shared and agreed upon (indicating consensus).</w:t>
      </w:r>
      <w:r w:rsidRPr="00ED172B">
        <w:rPr>
          <w:color w:val="000000" w:themeColor="text1"/>
        </w:rPr>
        <w:br/>
      </w:r>
      <w:r w:rsidRPr="00ED172B">
        <w:rPr>
          <w:color w:val="000000" w:themeColor="text1"/>
        </w:rPr>
        <w:br/>
        <w:t>Discussion notes, comments, and analysis conclusions are documented and provided to EA and Lead Agency staff to include in the APR for each indicator where appropriate. Questions requiring additional data are collected for the APR. The EA State Team is responsible for obtaining additional information and data for deeper analysis and discussion at subsequent meetings.</w:t>
      </w:r>
      <w:r w:rsidRPr="00ED172B">
        <w:rPr>
          <w:color w:val="000000" w:themeColor="text1"/>
        </w:rPr>
        <w:br/>
      </w:r>
      <w:r w:rsidRPr="00ED172B">
        <w:rPr>
          <w:color w:val="000000" w:themeColor="text1"/>
        </w:rPr>
        <w:br/>
        <w:t xml:space="preserve">The specific stakeholder groups regularly engage in topics of IDEA Part C implementation and evaluation including an annual review of Iowa’s IDEA Part C Annual Performance Report. These groups and other stakeholders have been involved in activities specific to the development of the FFY 2021 APR. </w:t>
      </w:r>
      <w:r w:rsidRPr="00ED172B">
        <w:rPr>
          <w:color w:val="000000" w:themeColor="text1"/>
        </w:rPr>
        <w:br/>
      </w:r>
      <w:r w:rsidRPr="00ED172B">
        <w:rPr>
          <w:color w:val="000000" w:themeColor="text1"/>
        </w:rPr>
        <w:br/>
        <w:t xml:space="preserve">1. State Interagency Coordinating Council (Iowa Council for Early ACCESS); five meetings held annually </w:t>
      </w:r>
      <w:r w:rsidRPr="00ED172B">
        <w:rPr>
          <w:color w:val="000000" w:themeColor="text1"/>
        </w:rPr>
        <w:br/>
        <w:t>-Early ACCESS Service Providers</w:t>
      </w:r>
      <w:r w:rsidRPr="00ED172B">
        <w:rPr>
          <w:color w:val="000000" w:themeColor="text1"/>
        </w:rPr>
        <w:br/>
        <w:t>-Early ACCESS Signatory Agencies (Departments of Health, Human Services, and Iowa Child Health Specialty Clinics)</w:t>
      </w:r>
      <w:r w:rsidRPr="00ED172B">
        <w:rPr>
          <w:color w:val="000000" w:themeColor="text1"/>
        </w:rPr>
        <w:br/>
        <w:t xml:space="preserve">-Early Head Start / Head Start </w:t>
      </w:r>
      <w:r w:rsidRPr="00ED172B">
        <w:rPr>
          <w:color w:val="000000" w:themeColor="text1"/>
        </w:rPr>
        <w:br/>
        <w:t>-Iowa IDEA Part C Lead Agency (Department of Education)</w:t>
      </w:r>
      <w:r w:rsidRPr="00ED172B">
        <w:rPr>
          <w:color w:val="000000" w:themeColor="text1"/>
        </w:rPr>
        <w:br/>
        <w:t>-Medical / Health Care Providers</w:t>
      </w:r>
      <w:r w:rsidRPr="00ED172B">
        <w:rPr>
          <w:color w:val="000000" w:themeColor="text1"/>
        </w:rPr>
        <w:br/>
        <w:t>-Mental Health Providers</w:t>
      </w:r>
      <w:r w:rsidRPr="00ED172B">
        <w:rPr>
          <w:color w:val="000000" w:themeColor="text1"/>
        </w:rPr>
        <w:br/>
      </w:r>
      <w:r w:rsidRPr="00ED172B">
        <w:rPr>
          <w:color w:val="000000" w:themeColor="text1"/>
        </w:rPr>
        <w:lastRenderedPageBreak/>
        <w:t>-Parent Training and Information Center</w:t>
      </w:r>
      <w:r w:rsidRPr="00ED172B">
        <w:rPr>
          <w:color w:val="000000" w:themeColor="text1"/>
        </w:rPr>
        <w:br/>
        <w:t>-Parents of Children with Disabilities</w:t>
      </w:r>
      <w:r w:rsidRPr="00ED172B">
        <w:rPr>
          <w:color w:val="000000" w:themeColor="text1"/>
        </w:rPr>
        <w:br/>
        <w:t>-Personnel Preparation / Institutes of Higher Education</w:t>
      </w:r>
      <w:r w:rsidRPr="00ED172B">
        <w:rPr>
          <w:color w:val="000000" w:themeColor="text1"/>
        </w:rPr>
        <w:br/>
        <w:t>-Private Health Insurance / Insurance Commission</w:t>
      </w:r>
      <w:r w:rsidRPr="00ED172B">
        <w:rPr>
          <w:color w:val="000000" w:themeColor="text1"/>
        </w:rPr>
        <w:br/>
        <w:t xml:space="preserve">-Special Education / IDEA Part B 619 </w:t>
      </w:r>
      <w:r w:rsidRPr="00ED172B">
        <w:rPr>
          <w:color w:val="000000" w:themeColor="text1"/>
        </w:rPr>
        <w:br/>
        <w:t>-State Legislators</w:t>
      </w:r>
      <w:r w:rsidRPr="00ED172B">
        <w:rPr>
          <w:color w:val="000000" w:themeColor="text1"/>
        </w:rPr>
        <w:br/>
      </w:r>
      <w:r w:rsidRPr="00ED172B">
        <w:rPr>
          <w:color w:val="000000" w:themeColor="text1"/>
        </w:rPr>
        <w:br/>
        <w:t>2. Regional Grantee Administrators (Directors of Special Education) for nine Regional Grantees; weekly and monthly meetings.</w:t>
      </w:r>
      <w:r w:rsidRPr="00ED172B">
        <w:rPr>
          <w:color w:val="000000" w:themeColor="text1"/>
        </w:rPr>
        <w:br/>
      </w:r>
      <w:r w:rsidRPr="00ED172B">
        <w:rPr>
          <w:color w:val="000000" w:themeColor="text1"/>
        </w:rPr>
        <w:br/>
        <w:t>3. Early ACCESS Grantee Leadership Team; five meetings held annually</w:t>
      </w:r>
      <w:r w:rsidRPr="00ED172B">
        <w:rPr>
          <w:color w:val="000000" w:themeColor="text1"/>
        </w:rPr>
        <w:br/>
        <w:t>-Regional Grantee Administration</w:t>
      </w:r>
      <w:r w:rsidRPr="00ED172B">
        <w:rPr>
          <w:color w:val="000000" w:themeColor="text1"/>
        </w:rPr>
        <w:br/>
        <w:t>-Regional Grantees</w:t>
      </w:r>
      <w:r w:rsidRPr="00ED172B">
        <w:rPr>
          <w:color w:val="000000" w:themeColor="text1"/>
        </w:rPr>
        <w:br/>
        <w:t>-Signatory Agencies</w:t>
      </w:r>
      <w:r w:rsidRPr="00ED172B">
        <w:rPr>
          <w:color w:val="000000" w:themeColor="text1"/>
        </w:rPr>
        <w:br/>
        <w:t>-Specialized Lead Consultants</w:t>
      </w:r>
      <w:r w:rsidRPr="00ED172B">
        <w:rPr>
          <w:color w:val="000000" w:themeColor="text1"/>
        </w:rPr>
        <w:br/>
      </w:r>
      <w:r w:rsidRPr="00ED172B">
        <w:rPr>
          <w:color w:val="000000" w:themeColor="text1"/>
        </w:rPr>
        <w:br/>
        <w:t>4. Early ACCESS SSIP (C11) Team; held every 2 months</w:t>
      </w:r>
      <w:r w:rsidRPr="00ED172B">
        <w:rPr>
          <w:color w:val="000000" w:themeColor="text1"/>
        </w:rPr>
        <w:br/>
        <w:t xml:space="preserve">-EA CSPD </w:t>
      </w:r>
      <w:r w:rsidRPr="00ED172B">
        <w:rPr>
          <w:color w:val="000000" w:themeColor="text1"/>
        </w:rPr>
        <w:br/>
        <w:t>-Lead Agency EA Leadership</w:t>
      </w:r>
      <w:r w:rsidRPr="00ED172B">
        <w:rPr>
          <w:color w:val="000000" w:themeColor="text1"/>
        </w:rPr>
        <w:br/>
        <w:t>-Regional Grantee Administration</w:t>
      </w:r>
      <w:r w:rsidRPr="00ED172B">
        <w:rPr>
          <w:color w:val="000000" w:themeColor="text1"/>
        </w:rPr>
        <w:br/>
      </w:r>
      <w:r w:rsidRPr="00ED172B">
        <w:rPr>
          <w:color w:val="000000" w:themeColor="text1"/>
        </w:rPr>
        <w:br/>
        <w:t>5. Early ACCESS Ad Hoc Task Teams; as needed</w:t>
      </w:r>
      <w:r w:rsidRPr="00ED172B">
        <w:rPr>
          <w:color w:val="000000" w:themeColor="text1"/>
        </w:rPr>
        <w:br/>
      </w:r>
      <w:r w:rsidRPr="00ED172B">
        <w:rPr>
          <w:color w:val="000000" w:themeColor="text1"/>
        </w:rPr>
        <w:br/>
        <w:t xml:space="preserve">In addition to the review of APR indicator data, stakeholders and EA regional and state-level implementation teams routinely review data related to the ongoing implementation and continuous improvement of the IDEA Part C State Systemic Improvement Plan (SSIP), or indicator C11. Data related to the SSIP </w:t>
      </w:r>
      <w:proofErr w:type="gramStart"/>
      <w:r w:rsidRPr="00ED172B">
        <w:rPr>
          <w:color w:val="000000" w:themeColor="text1"/>
        </w:rPr>
        <w:t>includes:</w:t>
      </w:r>
      <w:proofErr w:type="gramEnd"/>
      <w:r w:rsidRPr="00ED172B">
        <w:rPr>
          <w:color w:val="000000" w:themeColor="text1"/>
        </w:rPr>
        <w:t xml:space="preserve"> services provided; frequency and intensity of services; disaggregated early childhood outcomes data; and family outcome data. Stakeholders provide input and decisions at scheduled meetings throughout the year as well as between meetings when a need for input is identified.</w:t>
      </w:r>
      <w:r w:rsidRPr="00ED172B">
        <w:rPr>
          <w:color w:val="000000" w:themeColor="text1"/>
        </w:rPr>
        <w:br/>
      </w:r>
      <w:r w:rsidRPr="00ED172B">
        <w:rPr>
          <w:color w:val="000000" w:themeColor="text1"/>
        </w:rPr>
        <w:br/>
        <w:t>More recently, members of the EA State Team have convened ad hoc meetings with Regional Grantee Administrators to specifically review data and reporting details. These will contribute to a revised consolidated report for general supervision activities to be submitted and reviewed by the Lead Agency and EA State Team annually, at minimum.</w:t>
      </w:r>
      <w:r w:rsidRPr="00ED172B">
        <w:rPr>
          <w:color w:val="000000" w:themeColor="text1"/>
        </w:rPr>
        <w:br/>
      </w:r>
      <w:r w:rsidRPr="00ED172B">
        <w:rPr>
          <w:color w:val="000000" w:themeColor="text1"/>
        </w:rPr>
        <w:br/>
        <w:t>The data are used to inform decisions about personnel development related to the use of evidence-based practices as well as addressing barriers for successful implementation.</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2,596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2,722</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2,596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2,722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93.99%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96.60%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95.37%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State’s Interagency Coordinating Council (SICC) or Iowa Council for Early ACCESS (ICEA), Regional Grantee Administrators, Early ACCESS (EA) Grantee Leadership Team, Early ACCESS SSIP Team, and Early ACCESS ad hoc task teams provide stakeholder input on SPP/APR indicators, SSIP development and implementation, and IDEA reporting requirements. The Early ACCESS facilitator ensures that the composition of the ICEA meets the Iowa Administrative Rules for Early ACCESS. Regional Grantee administrators include the special education directors from each of Iowa’s nine area education agencies (AEA). The EA Grantee Leadership Team represents approximately 30 members from each of the following: Lead Agency, signatory agencies; Regional Grantees; and Iowa Educational Services for the Blind and Visually Impaired.</w:t>
      </w:r>
      <w:r w:rsidRPr="00ED172B">
        <w:rPr>
          <w:color w:val="000000" w:themeColor="text1"/>
        </w:rPr>
        <w:br/>
      </w:r>
      <w:r w:rsidRPr="00ED172B">
        <w:rPr>
          <w:color w:val="000000" w:themeColor="text1"/>
        </w:rPr>
        <w:br/>
        <w:t>A five-step process was used by the EA State Team with each stakeholder group to review and discuss data and provide input for the FFY 2021 APR:</w:t>
      </w:r>
      <w:r w:rsidRPr="00ED172B">
        <w:rPr>
          <w:color w:val="000000" w:themeColor="text1"/>
        </w:rPr>
        <w:br/>
        <w:t>1. The importance of stakeholder input regarding the EA system is reviewed. This includes ensuring stakeholder feedback is reported in the APR and used for improvement activities.</w:t>
      </w:r>
      <w:r w:rsidRPr="00ED172B">
        <w:rPr>
          <w:color w:val="000000" w:themeColor="text1"/>
        </w:rPr>
        <w:br/>
        <w:t>2. Stakeholders are provided baseline, target, and trend data for each compliance and performance indicator.</w:t>
      </w:r>
      <w:r w:rsidRPr="00ED172B">
        <w:rPr>
          <w:color w:val="000000" w:themeColor="text1"/>
        </w:rPr>
        <w:br/>
        <w:t xml:space="preserve">3. Members work in small and large groups to analyze data and draw conclusions. </w:t>
      </w:r>
      <w:r w:rsidRPr="00ED172B">
        <w:rPr>
          <w:color w:val="000000" w:themeColor="text1"/>
        </w:rPr>
        <w:br/>
        <w:t>4. A question-and-answer period occurs to clarify data questions and concepts. The EA State Team facilitates discussion and answers questions.</w:t>
      </w:r>
      <w:r w:rsidRPr="00ED172B">
        <w:rPr>
          <w:color w:val="000000" w:themeColor="text1"/>
        </w:rPr>
        <w:br/>
        <w:t>5. Conclusions and comments regarding targets, progress or slippage of meeting targets, root causes, and improvement activities are shared and agreed upon (indicating consensus).</w:t>
      </w:r>
      <w:r w:rsidRPr="00ED172B">
        <w:rPr>
          <w:color w:val="000000" w:themeColor="text1"/>
        </w:rPr>
        <w:br/>
      </w:r>
      <w:r w:rsidRPr="00ED172B">
        <w:rPr>
          <w:color w:val="000000" w:themeColor="text1"/>
        </w:rPr>
        <w:br/>
        <w:t>Discussion notes, comments, and analysis conclusions are documented and provided to EA and Lead Agency staff to include in the APR for each indicator where appropriate. Questions requiring additional data are collected for the APR. The EA State Team is responsible for obtaining additional information and data for deeper analysis and discussion at subsequent meetings.</w:t>
      </w:r>
      <w:r w:rsidRPr="00ED172B">
        <w:rPr>
          <w:color w:val="000000" w:themeColor="text1"/>
        </w:rPr>
        <w:br/>
      </w:r>
      <w:r w:rsidRPr="00ED172B">
        <w:rPr>
          <w:color w:val="000000" w:themeColor="text1"/>
        </w:rPr>
        <w:br/>
        <w:t xml:space="preserve">The specific stakeholder groups regularly engage in topics of IDEA Part C implementation and evaluation including an annual review of Iowa’s IDEA Part C Annual Performance Report. These groups and other stakeholders have been involved in activities specific to the development of the FFY 2021 APR. </w:t>
      </w:r>
      <w:r w:rsidRPr="00ED172B">
        <w:rPr>
          <w:color w:val="000000" w:themeColor="text1"/>
        </w:rPr>
        <w:br/>
      </w:r>
      <w:r w:rsidRPr="00ED172B">
        <w:rPr>
          <w:color w:val="000000" w:themeColor="text1"/>
        </w:rPr>
        <w:br/>
        <w:t xml:space="preserve">1. State Interagency Coordinating Council (Iowa Council for Early ACCESS); five meetings held annually </w:t>
      </w:r>
      <w:r w:rsidRPr="00ED172B">
        <w:rPr>
          <w:color w:val="000000" w:themeColor="text1"/>
        </w:rPr>
        <w:br/>
        <w:t>-Early ACCESS Service Providers</w:t>
      </w:r>
      <w:r w:rsidRPr="00ED172B">
        <w:rPr>
          <w:color w:val="000000" w:themeColor="text1"/>
        </w:rPr>
        <w:br/>
        <w:t>-Early ACCESS Signatory Agencies (Departments of Health, Human Services, and Iowa Child Health Specialty Clinics)</w:t>
      </w:r>
      <w:r w:rsidRPr="00ED172B">
        <w:rPr>
          <w:color w:val="000000" w:themeColor="text1"/>
        </w:rPr>
        <w:br/>
        <w:t xml:space="preserve">-Early Head Start / Head Start </w:t>
      </w:r>
      <w:r w:rsidRPr="00ED172B">
        <w:rPr>
          <w:color w:val="000000" w:themeColor="text1"/>
        </w:rPr>
        <w:br/>
        <w:t>-Iowa IDEA Part C Lead Agency (Department of Education)</w:t>
      </w:r>
      <w:r w:rsidRPr="00ED172B">
        <w:rPr>
          <w:color w:val="000000" w:themeColor="text1"/>
        </w:rPr>
        <w:br/>
        <w:t>-Medical / Health Care Providers</w:t>
      </w:r>
      <w:r w:rsidRPr="00ED172B">
        <w:rPr>
          <w:color w:val="000000" w:themeColor="text1"/>
        </w:rPr>
        <w:br/>
        <w:t>-Mental Health Providers</w:t>
      </w:r>
      <w:r w:rsidRPr="00ED172B">
        <w:rPr>
          <w:color w:val="000000" w:themeColor="text1"/>
        </w:rPr>
        <w:br/>
        <w:t>-Parent Training and Information Center</w:t>
      </w:r>
      <w:r w:rsidRPr="00ED172B">
        <w:rPr>
          <w:color w:val="000000" w:themeColor="text1"/>
        </w:rPr>
        <w:br/>
        <w:t>-Parents of Children with Disabilities</w:t>
      </w:r>
      <w:r w:rsidRPr="00ED172B">
        <w:rPr>
          <w:color w:val="000000" w:themeColor="text1"/>
        </w:rPr>
        <w:br/>
        <w:t>-Personnel Preparation / Institutes of Higher Education</w:t>
      </w:r>
      <w:r w:rsidRPr="00ED172B">
        <w:rPr>
          <w:color w:val="000000" w:themeColor="text1"/>
        </w:rPr>
        <w:br/>
        <w:t>-Private Health Insurance / Insurance Commission</w:t>
      </w:r>
      <w:r w:rsidRPr="00ED172B">
        <w:rPr>
          <w:color w:val="000000" w:themeColor="text1"/>
        </w:rPr>
        <w:br/>
        <w:t xml:space="preserve">-Special Education / IDEA Part B 619 </w:t>
      </w:r>
      <w:r w:rsidRPr="00ED172B">
        <w:rPr>
          <w:color w:val="000000" w:themeColor="text1"/>
        </w:rPr>
        <w:br/>
        <w:t>-State Legislators</w:t>
      </w:r>
      <w:r w:rsidRPr="00ED172B">
        <w:rPr>
          <w:color w:val="000000" w:themeColor="text1"/>
        </w:rPr>
        <w:br/>
      </w:r>
      <w:r w:rsidRPr="00ED172B">
        <w:rPr>
          <w:color w:val="000000" w:themeColor="text1"/>
        </w:rPr>
        <w:br/>
        <w:t>2. Regional Grantee Administrators (Directors of Special Education) for nine Regional Grantees; weekly and monthly meetings.</w:t>
      </w:r>
      <w:r w:rsidRPr="00ED172B">
        <w:rPr>
          <w:color w:val="000000" w:themeColor="text1"/>
        </w:rPr>
        <w:br/>
      </w:r>
      <w:r w:rsidRPr="00ED172B">
        <w:rPr>
          <w:color w:val="000000" w:themeColor="text1"/>
        </w:rPr>
        <w:br/>
        <w:t>3. Early ACCESS Grantee Leadership Team; five meetings held annually</w:t>
      </w:r>
      <w:r w:rsidRPr="00ED172B">
        <w:rPr>
          <w:color w:val="000000" w:themeColor="text1"/>
        </w:rPr>
        <w:br/>
        <w:t>-Regional Grantee Administration</w:t>
      </w:r>
      <w:r w:rsidRPr="00ED172B">
        <w:rPr>
          <w:color w:val="000000" w:themeColor="text1"/>
        </w:rPr>
        <w:br/>
        <w:t>-Regional Grantees</w:t>
      </w:r>
      <w:r w:rsidRPr="00ED172B">
        <w:rPr>
          <w:color w:val="000000" w:themeColor="text1"/>
        </w:rPr>
        <w:br/>
        <w:t>-Signatory Agencies</w:t>
      </w:r>
      <w:r w:rsidRPr="00ED172B">
        <w:rPr>
          <w:color w:val="000000" w:themeColor="text1"/>
        </w:rPr>
        <w:br/>
        <w:t>-Specialized Lead Consultants</w:t>
      </w:r>
      <w:r w:rsidRPr="00ED172B">
        <w:rPr>
          <w:color w:val="000000" w:themeColor="text1"/>
        </w:rPr>
        <w:br/>
      </w:r>
      <w:r w:rsidRPr="00ED172B">
        <w:rPr>
          <w:color w:val="000000" w:themeColor="text1"/>
        </w:rPr>
        <w:br/>
        <w:t>4. Early ACCESS SSIP (C11) Team; held every 2 months</w:t>
      </w:r>
      <w:r w:rsidRPr="00ED172B">
        <w:rPr>
          <w:color w:val="000000" w:themeColor="text1"/>
        </w:rPr>
        <w:br/>
        <w:t xml:space="preserve">-EA CSPD </w:t>
      </w:r>
      <w:r w:rsidRPr="00ED172B">
        <w:rPr>
          <w:color w:val="000000" w:themeColor="text1"/>
        </w:rPr>
        <w:br/>
        <w:t>-Lead Agency EA Leadership</w:t>
      </w:r>
      <w:r w:rsidRPr="00ED172B">
        <w:rPr>
          <w:color w:val="000000" w:themeColor="text1"/>
        </w:rPr>
        <w:br/>
        <w:t>-Regional Grantee Administration</w:t>
      </w:r>
      <w:r w:rsidRPr="00ED172B">
        <w:rPr>
          <w:color w:val="000000" w:themeColor="text1"/>
        </w:rPr>
        <w:br/>
      </w:r>
      <w:r w:rsidRPr="00ED172B">
        <w:rPr>
          <w:color w:val="000000" w:themeColor="text1"/>
        </w:rPr>
        <w:br/>
        <w:t>5. Early ACCESS Ad Hoc Task Teams; as needed</w:t>
      </w:r>
      <w:r w:rsidRPr="00ED172B">
        <w:rPr>
          <w:color w:val="000000" w:themeColor="text1"/>
        </w:rPr>
        <w:br/>
      </w:r>
      <w:r w:rsidRPr="00ED172B">
        <w:rPr>
          <w:color w:val="000000" w:themeColor="text1"/>
        </w:rPr>
        <w:br/>
        <w:t xml:space="preserve">In addition to the review of APR indicator data, stakeholders and EA regional and state-level implementation teams routinely review data related to the ongoing implementation and continuous improvement of the IDEA Part C State Systemic Improvement Plan (SSIP), or indicator C11. Data related to the SSIP </w:t>
      </w:r>
      <w:proofErr w:type="gramStart"/>
      <w:r w:rsidRPr="00ED172B">
        <w:rPr>
          <w:color w:val="000000" w:themeColor="text1"/>
        </w:rPr>
        <w:t>includes:</w:t>
      </w:r>
      <w:proofErr w:type="gramEnd"/>
      <w:r w:rsidRPr="00ED172B">
        <w:rPr>
          <w:color w:val="000000" w:themeColor="text1"/>
        </w:rPr>
        <w:t xml:space="preserve"> services provided; frequency and intensity of services; disaggregated early childhood outcomes data; and family outcome data. Stakeholders provide input and decisions at scheduled meetings throughout the year as well as between meetings when a need for input is identified.</w:t>
      </w:r>
      <w:r w:rsidRPr="00ED172B">
        <w:rPr>
          <w:color w:val="000000" w:themeColor="text1"/>
        </w:rPr>
        <w:br/>
      </w:r>
      <w:r w:rsidRPr="00ED172B">
        <w:rPr>
          <w:color w:val="000000" w:themeColor="text1"/>
        </w:rPr>
        <w:br/>
        <w:t>More recently, members of the EA State Team have convened ad hoc meetings with Regional Grantee Administrators to specifically review data and reporting details. These will contribute to a revised consolidated report for general supervision activities to be submitted and reviewed by the Lead Agency and EA State Team annually, at minimum.</w:t>
      </w:r>
      <w:r w:rsidRPr="00ED172B">
        <w:rPr>
          <w:color w:val="000000" w:themeColor="text1"/>
        </w:rPr>
        <w:br/>
      </w:r>
      <w:r w:rsidRPr="00ED172B">
        <w:rPr>
          <w:color w:val="000000" w:themeColor="text1"/>
        </w:rPr>
        <w:br/>
        <w:t>The data are used to inform decisions about personnel development related to the use of evidence-based practices as well as addressing barriers for successful implementation.</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lastRenderedPageBreak/>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45.63%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46.13%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46.63%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46.63%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46.29%</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46.29%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45.53%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46.36%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46.29%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45.83%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44.23%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70.90%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71.40%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71.90%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71.90%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59.67%</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59.67%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65.24%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60.46%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59.67%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54.78%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53.32%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51.33%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51.83%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52.33%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52.33%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51.21%</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51.21%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50.48%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53.86%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51.63%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50.93%</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51.09%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51.59%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52.09%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52.09%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42.94%</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42.94%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48.39%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42.94%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36.92%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38.10%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57.08%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57.58%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58.08%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58.08%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57.40%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57.40%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58.54%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55.02%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57.40%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53.83%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54.56%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72.24%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72.74%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73.24%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73.24%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63.08%</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63.08%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68.24%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63.32%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63.08%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58.42%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55.95%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46.29%</w:t>
            </w:r>
          </w:p>
        </w:tc>
        <w:tc>
          <w:tcPr>
            <w:tcW w:w="918" w:type="pct"/>
          </w:tcPr>
          <w:p w14:paraId="7A62957C" w14:textId="59554121" w:rsidR="009E2382" w:rsidRPr="00ED172B" w:rsidRDefault="009E2382" w:rsidP="002242B8">
            <w:pPr>
              <w:jc w:val="center"/>
              <w:rPr>
                <w:color w:val="000000" w:themeColor="text1"/>
              </w:rPr>
            </w:pPr>
            <w:r>
              <w:rPr>
                <w:color w:val="000000" w:themeColor="text1"/>
              </w:rPr>
              <w:t>48.63%</w:t>
            </w:r>
          </w:p>
        </w:tc>
        <w:tc>
          <w:tcPr>
            <w:tcW w:w="918" w:type="pct"/>
          </w:tcPr>
          <w:p w14:paraId="330DB307" w14:textId="4DD70DCA" w:rsidR="009E2382" w:rsidRPr="00ED172B" w:rsidRDefault="009E2382" w:rsidP="002242B8">
            <w:pPr>
              <w:jc w:val="center"/>
              <w:rPr>
                <w:color w:val="000000" w:themeColor="text1"/>
              </w:rPr>
            </w:pPr>
            <w:r>
              <w:rPr>
                <w:color w:val="000000" w:themeColor="text1"/>
              </w:rPr>
              <w:t>50.97%</w:t>
            </w:r>
          </w:p>
        </w:tc>
        <w:tc>
          <w:tcPr>
            <w:tcW w:w="917" w:type="pct"/>
          </w:tcPr>
          <w:p w14:paraId="1E535134" w14:textId="174673D1" w:rsidR="009E2382" w:rsidRPr="00ED172B" w:rsidRDefault="009E2382" w:rsidP="002242B8">
            <w:pPr>
              <w:jc w:val="center"/>
              <w:rPr>
                <w:color w:val="000000" w:themeColor="text1"/>
              </w:rPr>
            </w:pPr>
            <w:r>
              <w:rPr>
                <w:color w:val="000000" w:themeColor="text1"/>
              </w:rPr>
              <w:t>53.31%</w:t>
            </w:r>
          </w:p>
        </w:tc>
        <w:tc>
          <w:tcPr>
            <w:tcW w:w="916" w:type="pct"/>
          </w:tcPr>
          <w:p w14:paraId="7D5EFC26" w14:textId="3AFE59A1" w:rsidR="009E2382" w:rsidRPr="00ED172B" w:rsidRDefault="009E2382" w:rsidP="002242B8">
            <w:pPr>
              <w:jc w:val="center"/>
              <w:rPr>
                <w:color w:val="000000" w:themeColor="text1"/>
              </w:rPr>
            </w:pPr>
            <w:r>
              <w:rPr>
                <w:color w:val="000000" w:themeColor="text1"/>
              </w:rPr>
              <w:t>55.65%</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59.67%</w:t>
            </w:r>
          </w:p>
        </w:tc>
        <w:tc>
          <w:tcPr>
            <w:tcW w:w="918" w:type="pct"/>
          </w:tcPr>
          <w:p w14:paraId="1DD5AC15" w14:textId="552D0AAC" w:rsidR="009E2382" w:rsidRPr="00ED172B" w:rsidRDefault="009E2382" w:rsidP="002242B8">
            <w:pPr>
              <w:jc w:val="center"/>
              <w:rPr>
                <w:color w:val="000000" w:themeColor="text1"/>
              </w:rPr>
            </w:pPr>
            <w:r>
              <w:rPr>
                <w:color w:val="000000" w:themeColor="text1"/>
              </w:rPr>
              <w:t>59.77%</w:t>
            </w:r>
          </w:p>
        </w:tc>
        <w:tc>
          <w:tcPr>
            <w:tcW w:w="918" w:type="pct"/>
          </w:tcPr>
          <w:p w14:paraId="29377148" w14:textId="76F6C6ED" w:rsidR="009E2382" w:rsidRPr="00ED172B" w:rsidRDefault="009E2382" w:rsidP="002242B8">
            <w:pPr>
              <w:jc w:val="center"/>
              <w:rPr>
                <w:color w:val="000000" w:themeColor="text1"/>
              </w:rPr>
            </w:pPr>
            <w:r>
              <w:rPr>
                <w:color w:val="000000" w:themeColor="text1"/>
              </w:rPr>
              <w:t>59.87%</w:t>
            </w:r>
          </w:p>
        </w:tc>
        <w:tc>
          <w:tcPr>
            <w:tcW w:w="917" w:type="pct"/>
          </w:tcPr>
          <w:p w14:paraId="3F8E8EE0" w14:textId="1AB30A36" w:rsidR="009E2382" w:rsidRPr="00ED172B" w:rsidRDefault="009E2382" w:rsidP="002242B8">
            <w:pPr>
              <w:jc w:val="center"/>
              <w:rPr>
                <w:color w:val="000000" w:themeColor="text1"/>
              </w:rPr>
            </w:pPr>
            <w:r>
              <w:rPr>
                <w:color w:val="000000" w:themeColor="text1"/>
              </w:rPr>
              <w:t>59.97%</w:t>
            </w:r>
          </w:p>
        </w:tc>
        <w:tc>
          <w:tcPr>
            <w:tcW w:w="916" w:type="pct"/>
          </w:tcPr>
          <w:p w14:paraId="5B0C0E7A" w14:textId="73E7E860" w:rsidR="009E2382" w:rsidRPr="00ED172B" w:rsidRDefault="009E2382" w:rsidP="002242B8">
            <w:pPr>
              <w:jc w:val="center"/>
              <w:rPr>
                <w:color w:val="000000" w:themeColor="text1"/>
              </w:rPr>
            </w:pPr>
            <w:r>
              <w:rPr>
                <w:color w:val="000000" w:themeColor="text1"/>
              </w:rPr>
              <w:t>60.07%</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51.21%</w:t>
            </w:r>
          </w:p>
        </w:tc>
        <w:tc>
          <w:tcPr>
            <w:tcW w:w="918" w:type="pct"/>
          </w:tcPr>
          <w:p w14:paraId="7EDAF97B" w14:textId="4B219601" w:rsidR="009E2382" w:rsidRPr="00ED172B" w:rsidRDefault="009E2382" w:rsidP="002242B8">
            <w:pPr>
              <w:jc w:val="center"/>
              <w:rPr>
                <w:color w:val="000000" w:themeColor="text1"/>
              </w:rPr>
            </w:pPr>
            <w:r>
              <w:rPr>
                <w:color w:val="000000" w:themeColor="text1"/>
              </w:rPr>
              <w:t>54.06%</w:t>
            </w:r>
          </w:p>
        </w:tc>
        <w:tc>
          <w:tcPr>
            <w:tcW w:w="918" w:type="pct"/>
          </w:tcPr>
          <w:p w14:paraId="31A1D7D3" w14:textId="003191E1" w:rsidR="009E2382" w:rsidRPr="00ED172B" w:rsidRDefault="009E2382" w:rsidP="002242B8">
            <w:pPr>
              <w:jc w:val="center"/>
              <w:rPr>
                <w:color w:val="000000" w:themeColor="text1"/>
              </w:rPr>
            </w:pPr>
            <w:r>
              <w:rPr>
                <w:color w:val="000000" w:themeColor="text1"/>
              </w:rPr>
              <w:t>56.91%</w:t>
            </w:r>
          </w:p>
        </w:tc>
        <w:tc>
          <w:tcPr>
            <w:tcW w:w="917" w:type="pct"/>
          </w:tcPr>
          <w:p w14:paraId="493915A7" w14:textId="24756F38" w:rsidR="009E2382" w:rsidRPr="00ED172B" w:rsidRDefault="009E2382" w:rsidP="002242B8">
            <w:pPr>
              <w:jc w:val="center"/>
              <w:rPr>
                <w:color w:val="000000" w:themeColor="text1"/>
              </w:rPr>
            </w:pPr>
            <w:r>
              <w:rPr>
                <w:color w:val="000000" w:themeColor="text1"/>
              </w:rPr>
              <w:t>59.76%</w:t>
            </w:r>
          </w:p>
        </w:tc>
        <w:tc>
          <w:tcPr>
            <w:tcW w:w="916" w:type="pct"/>
          </w:tcPr>
          <w:p w14:paraId="2E008F25" w14:textId="53C173A2" w:rsidR="009E2382" w:rsidRPr="00ED172B" w:rsidRDefault="009E2382" w:rsidP="002242B8">
            <w:pPr>
              <w:jc w:val="center"/>
              <w:rPr>
                <w:color w:val="000000" w:themeColor="text1"/>
              </w:rPr>
            </w:pPr>
            <w:r>
              <w:rPr>
                <w:color w:val="000000" w:themeColor="text1"/>
              </w:rPr>
              <w:t>62.21%</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42.94%</w:t>
            </w:r>
          </w:p>
        </w:tc>
        <w:tc>
          <w:tcPr>
            <w:tcW w:w="918" w:type="pct"/>
          </w:tcPr>
          <w:p w14:paraId="5980DE18" w14:textId="10CD7859" w:rsidR="009E2382" w:rsidRPr="00ED172B" w:rsidRDefault="009E2382" w:rsidP="002242B8">
            <w:pPr>
              <w:jc w:val="center"/>
              <w:rPr>
                <w:color w:val="000000" w:themeColor="text1"/>
              </w:rPr>
            </w:pPr>
            <w:r>
              <w:rPr>
                <w:color w:val="000000" w:themeColor="text1"/>
              </w:rPr>
              <w:t>43.33%</w:t>
            </w:r>
          </w:p>
        </w:tc>
        <w:tc>
          <w:tcPr>
            <w:tcW w:w="918" w:type="pct"/>
          </w:tcPr>
          <w:p w14:paraId="3FD51CD4" w14:textId="4E5875CE" w:rsidR="009E2382" w:rsidRPr="00ED172B" w:rsidRDefault="009E2382" w:rsidP="002242B8">
            <w:pPr>
              <w:jc w:val="center"/>
              <w:rPr>
                <w:color w:val="000000" w:themeColor="text1"/>
              </w:rPr>
            </w:pPr>
            <w:r>
              <w:rPr>
                <w:color w:val="000000" w:themeColor="text1"/>
              </w:rPr>
              <w:t>43.71%</w:t>
            </w:r>
          </w:p>
        </w:tc>
        <w:tc>
          <w:tcPr>
            <w:tcW w:w="917" w:type="pct"/>
          </w:tcPr>
          <w:p w14:paraId="3A7274FD" w14:textId="38B9FCB4" w:rsidR="009E2382" w:rsidRPr="00ED172B" w:rsidRDefault="009E2382" w:rsidP="002242B8">
            <w:pPr>
              <w:jc w:val="center"/>
              <w:rPr>
                <w:color w:val="000000" w:themeColor="text1"/>
              </w:rPr>
            </w:pPr>
            <w:r>
              <w:rPr>
                <w:color w:val="000000" w:themeColor="text1"/>
              </w:rPr>
              <w:t>44.09%</w:t>
            </w:r>
          </w:p>
        </w:tc>
        <w:tc>
          <w:tcPr>
            <w:tcW w:w="916" w:type="pct"/>
          </w:tcPr>
          <w:p w14:paraId="53FEE354" w14:textId="77777777" w:rsidR="009E2382" w:rsidRPr="00ED172B" w:rsidRDefault="009E2382" w:rsidP="002242B8">
            <w:pPr>
              <w:jc w:val="center"/>
              <w:rPr>
                <w:color w:val="000000" w:themeColor="text1"/>
              </w:rPr>
            </w:pPr>
            <w:r>
              <w:rPr>
                <w:color w:val="000000" w:themeColor="text1"/>
              </w:rPr>
              <w:t>44.47%</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57.40%</w:t>
            </w:r>
          </w:p>
        </w:tc>
        <w:tc>
          <w:tcPr>
            <w:tcW w:w="918" w:type="pct"/>
          </w:tcPr>
          <w:p w14:paraId="3564984B" w14:textId="08842718" w:rsidR="009E2382" w:rsidRPr="00ED172B" w:rsidRDefault="009E2382" w:rsidP="0012497F">
            <w:pPr>
              <w:jc w:val="center"/>
              <w:rPr>
                <w:color w:val="000000" w:themeColor="text1"/>
              </w:rPr>
            </w:pPr>
            <w:r>
              <w:rPr>
                <w:color w:val="000000" w:themeColor="text1"/>
              </w:rPr>
              <w:t>59.73%</w:t>
            </w:r>
          </w:p>
        </w:tc>
        <w:tc>
          <w:tcPr>
            <w:tcW w:w="918" w:type="pct"/>
          </w:tcPr>
          <w:p w14:paraId="6F334EB5" w14:textId="748BD28E" w:rsidR="009E2382" w:rsidRPr="00ED172B" w:rsidRDefault="009E2382" w:rsidP="0012497F">
            <w:pPr>
              <w:jc w:val="center"/>
              <w:rPr>
                <w:color w:val="000000" w:themeColor="text1"/>
              </w:rPr>
            </w:pPr>
            <w:r>
              <w:rPr>
                <w:color w:val="000000" w:themeColor="text1"/>
              </w:rPr>
              <w:t>62.05%</w:t>
            </w:r>
          </w:p>
        </w:tc>
        <w:tc>
          <w:tcPr>
            <w:tcW w:w="917" w:type="pct"/>
          </w:tcPr>
          <w:p w14:paraId="13A1DF6C" w14:textId="36831C30" w:rsidR="009E2382" w:rsidRPr="00ED172B" w:rsidRDefault="009E2382" w:rsidP="0012497F">
            <w:pPr>
              <w:jc w:val="center"/>
              <w:rPr>
                <w:color w:val="000000" w:themeColor="text1"/>
              </w:rPr>
            </w:pPr>
            <w:r>
              <w:rPr>
                <w:color w:val="000000" w:themeColor="text1"/>
              </w:rPr>
              <w:t>64.38%</w:t>
            </w:r>
          </w:p>
        </w:tc>
        <w:tc>
          <w:tcPr>
            <w:tcW w:w="916" w:type="pct"/>
          </w:tcPr>
          <w:p w14:paraId="4404EA0E" w14:textId="45986E0D" w:rsidR="009E2382" w:rsidRPr="00ED172B" w:rsidRDefault="009E2382" w:rsidP="0012497F">
            <w:pPr>
              <w:jc w:val="center"/>
              <w:rPr>
                <w:color w:val="000000" w:themeColor="text1"/>
              </w:rPr>
            </w:pPr>
            <w:r>
              <w:rPr>
                <w:color w:val="000000" w:themeColor="text1"/>
              </w:rPr>
              <w:t>66.70%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63.08%</w:t>
            </w:r>
          </w:p>
        </w:tc>
        <w:tc>
          <w:tcPr>
            <w:tcW w:w="918" w:type="pct"/>
          </w:tcPr>
          <w:p w14:paraId="58EBEEB4" w14:textId="68AFCCA1" w:rsidR="009E2382" w:rsidRPr="00ED172B" w:rsidRDefault="009E2382" w:rsidP="0012497F">
            <w:pPr>
              <w:jc w:val="center"/>
              <w:rPr>
                <w:color w:val="000000" w:themeColor="text1"/>
              </w:rPr>
            </w:pPr>
            <w:r>
              <w:rPr>
                <w:color w:val="000000" w:themeColor="text1"/>
              </w:rPr>
              <w:t>63.18%</w:t>
            </w:r>
          </w:p>
        </w:tc>
        <w:tc>
          <w:tcPr>
            <w:tcW w:w="918" w:type="pct"/>
          </w:tcPr>
          <w:p w14:paraId="6E31560A" w14:textId="75F80FC4" w:rsidR="009E2382" w:rsidRPr="00ED172B" w:rsidRDefault="009E2382" w:rsidP="0012497F">
            <w:pPr>
              <w:jc w:val="center"/>
              <w:rPr>
                <w:color w:val="000000" w:themeColor="text1"/>
              </w:rPr>
            </w:pPr>
            <w:r>
              <w:rPr>
                <w:color w:val="000000" w:themeColor="text1"/>
              </w:rPr>
              <w:t>63.28%</w:t>
            </w:r>
          </w:p>
        </w:tc>
        <w:tc>
          <w:tcPr>
            <w:tcW w:w="917" w:type="pct"/>
          </w:tcPr>
          <w:p w14:paraId="42F0DDB0" w14:textId="671196CD" w:rsidR="009E2382" w:rsidRPr="00ED172B" w:rsidRDefault="009E2382" w:rsidP="0012497F">
            <w:pPr>
              <w:jc w:val="center"/>
              <w:rPr>
                <w:color w:val="000000" w:themeColor="text1"/>
              </w:rPr>
            </w:pPr>
            <w:r>
              <w:rPr>
                <w:color w:val="000000" w:themeColor="text1"/>
              </w:rPr>
              <w:t>63.38%</w:t>
            </w:r>
          </w:p>
        </w:tc>
        <w:tc>
          <w:tcPr>
            <w:tcW w:w="916" w:type="pct"/>
          </w:tcPr>
          <w:p w14:paraId="2D756F12" w14:textId="626F7751" w:rsidR="009E2382" w:rsidRPr="00ED172B" w:rsidRDefault="009E2382" w:rsidP="0012497F">
            <w:pPr>
              <w:jc w:val="center"/>
              <w:rPr>
                <w:color w:val="000000" w:themeColor="text1"/>
              </w:rPr>
            </w:pPr>
            <w:r>
              <w:rPr>
                <w:color w:val="000000" w:themeColor="text1"/>
              </w:rPr>
              <w:t>63.48%</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1,871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2.94%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616</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32.92%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233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12.45%</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358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19.13%</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609</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32.55%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591</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1,262</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44.23%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46.29%</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46.83%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 xml:space="preserve">A2. The percent of infants and toddlers who were functioning within age expectations in Outcome A by the time they </w:t>
            </w:r>
            <w:r w:rsidRPr="00ED172B">
              <w:rPr>
                <w:rFonts w:cs="Arial"/>
                <w:color w:val="000000" w:themeColor="text1"/>
                <w:szCs w:val="16"/>
              </w:rPr>
              <w:lastRenderedPageBreak/>
              <w:t>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lastRenderedPageBreak/>
              <w:t>967</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1,871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53.32%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59.67%</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51.68%</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The State attributes slippage to interrupted and inconsistent service delivery models from 2019-2020 to 2021-2022 as a result of the COVID-19 pandemic, which may have impacted the majority or entire early intervention experience for infants, toddlers, and their families in this reporting period. Additional analysis of the data for functioning within age expectations showed one of the nine Regional Grantees (AEA) met the target. Regional Grantees indicated a continued need for Early Childhood Outcome (ECO) Summary training for new and existing staff as a reason for slippage. Furthermore, Regional Grantees indicated a need for training and support for providers' use of family guided </w:t>
      </w:r>
      <w:proofErr w:type="gramStart"/>
      <w:r w:rsidRPr="00ED172B">
        <w:rPr>
          <w:color w:val="000000" w:themeColor="text1"/>
        </w:rPr>
        <w:t>routines based</w:t>
      </w:r>
      <w:proofErr w:type="gramEnd"/>
      <w:r w:rsidRPr="00ED172B">
        <w:rPr>
          <w:color w:val="000000" w:themeColor="text1"/>
        </w:rPr>
        <w:t xml:space="preserve"> interventions and caregiver coaching in order to improve child and family outcomes. </w:t>
      </w:r>
      <w:r w:rsidRPr="00ED172B">
        <w:rPr>
          <w:color w:val="000000" w:themeColor="text1"/>
        </w:rPr>
        <w:br/>
      </w:r>
      <w:r w:rsidRPr="00ED172B">
        <w:rPr>
          <w:color w:val="000000" w:themeColor="text1"/>
        </w:rPr>
        <w:br/>
        <w:t xml:space="preserve">The lead agency continued to emphasize the ECO decision-making process: 1) align the “progress” question on the ECO summary with procedures; 2) use of the ECO Decision-Making Tree document; 3) use of assessment data when making ECO rating decisions; and 4) understand the relationship of ECO with Iowa’s Early Learning Standards. The lead agency has used the OSEP-funded Early Childhood Technical Assistance Center training materials and resources to ensure quality professional development for ECO occurs statewide within every region (e.g., Decision Tree for summary rating discussions, age-expected child development resources, and Child Outcomes Summary process materials). Use of the ECO training materials has provided assurance all IFSP teams in the state have access to training on how to implement consistent procedures for gathering, analyzing, and reporting these data. </w:t>
      </w:r>
      <w:r w:rsidRPr="00ED172B">
        <w:rPr>
          <w:color w:val="000000" w:themeColor="text1"/>
        </w:rPr>
        <w:br/>
      </w:r>
      <w:r w:rsidRPr="00ED172B">
        <w:rPr>
          <w:color w:val="000000" w:themeColor="text1"/>
        </w:rPr>
        <w:br/>
        <w:t xml:space="preserve">A state level team consisting of staff and administration from early intervention (Part C) and special education (Part B 619, 611) was convened specifically to review and address ECO processes and data use in order to support a statewide child outcomes measurement system which is consistent from early intervention through entering kindergarten. The new IFSP/IEP system, ACHIEVE, was launched in April of this data collection year and includes integration of the three ECO areas into the present levels of development as part of the IFSP and IEP processes. The ACHIEVE system supports the IFSP team members, including parents, in participating in the ECO process and ultimately determining accurate present levels of development and progress for children in Early ACCESS. Professional development emphasizing alignment of assessment data with the three ECO areas is ongoing. Stakeholders from the various agencies were included in the development of the IFSP/IEP system and will be engaged in the processes for continuous professional development. </w:t>
      </w:r>
      <w:r w:rsidRPr="00ED172B">
        <w:rPr>
          <w:color w:val="000000" w:themeColor="text1"/>
        </w:rPr>
        <w:br/>
      </w:r>
      <w:r w:rsidRPr="00ED172B">
        <w:rPr>
          <w:color w:val="000000" w:themeColor="text1"/>
        </w:rPr>
        <w:br/>
        <w:t>The lead agency will continue to monitor progress for all regions on this indicator through regularly scheduled data verification reports, file reviews, technical assistance, and support and monitoring implementation of corrective action plans. Monitoring will include data and root cause analysis by both the lead agency and Regional Grantees.</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12</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0.64%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748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39.98%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382</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20.42%</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476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25.44%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253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13.52%</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858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1,618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50.93%</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51.21%</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53.03%</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729</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1,871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38.10%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42.94%</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38.96%</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0.53%</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lastRenderedPageBreak/>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583</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31.16%</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222</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11.87%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498</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26.62%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558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29.82%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720</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1,313</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54.56%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57.40%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54.84%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1,056</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1,871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55.95%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63.08%</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56.44%</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2,994</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1,123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ECO Summary process, nationally referred to as Child </w:t>
      </w:r>
      <w:proofErr w:type="spellStart"/>
      <w:r w:rsidRPr="00ED172B">
        <w:rPr>
          <w:rFonts w:cs="Arial"/>
          <w:color w:val="000000" w:themeColor="text1"/>
          <w:szCs w:val="16"/>
        </w:rPr>
        <w:t>Ouctcomes</w:t>
      </w:r>
      <w:proofErr w:type="spellEnd"/>
      <w:r w:rsidRPr="00ED172B">
        <w:rPr>
          <w:rFonts w:cs="Arial"/>
          <w:color w:val="000000" w:themeColor="text1"/>
          <w:szCs w:val="16"/>
        </w:rPr>
        <w:t xml:space="preserve"> Summary process, is used to summarize the child’s skills and behaviors in comparison to the functioning expected for the age of the child and the child’s progress in each of the three ECO areas.</w:t>
      </w:r>
      <w:r w:rsidRPr="00ED172B">
        <w:rPr>
          <w:rFonts w:cs="Arial"/>
          <w:color w:val="000000" w:themeColor="text1"/>
          <w:szCs w:val="16"/>
        </w:rPr>
        <w:br/>
      </w:r>
      <w:r w:rsidRPr="00ED172B">
        <w:rPr>
          <w:rFonts w:cs="Arial"/>
          <w:color w:val="000000" w:themeColor="text1"/>
          <w:szCs w:val="16"/>
        </w:rPr>
        <w:br/>
        <w:t>The procedures used by IFSP teams have included, but were not limited to: a review of data from the initial evaluation; interviews; observations; behavior checklists; structured interactions; play-based assessments; adaptive and developmental scales; and, curriculum-based, criterion-referenced and norm-referenced assessment instruments. The assessment instruments commonly used by teams included, and not limited to the: Developmental Assessment of Young Children-2; Carolina Curriculum for Infants and Toddlers with Special Needs; Hawaii Early Learning Profile; Developmental Observation Checklist System; and the Assessment, Evaluation and Programming System for Infants and Children.</w:t>
      </w:r>
      <w:r w:rsidRPr="00ED172B">
        <w:rPr>
          <w:rFonts w:cs="Arial"/>
          <w:color w:val="000000" w:themeColor="text1"/>
          <w:szCs w:val="16"/>
        </w:rPr>
        <w:br/>
      </w:r>
      <w:r w:rsidRPr="00ED172B">
        <w:rPr>
          <w:rFonts w:cs="Arial"/>
          <w:color w:val="000000" w:themeColor="text1"/>
          <w:szCs w:val="16"/>
        </w:rPr>
        <w:br/>
        <w:t>Data for this indicator were taken from Iowa's data systems, Legacy and ACHIEVE, and reflect a year-round count (July to June) of children who have exited Early ACCESS, IDEA Part C services and were reported on Iowa’s current reporting year’s IDEA Part C Exiting Collection. Missing data were checked by comparing ECO data with the number of children exiting Early ACCESS, IDEA Part C and reported in the current reporting year’s IDEA Part C Exiting Collection minus the number of children who had received IDEA Part C services for less than six months.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lastRenderedPageBreak/>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79.84%</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79.84%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81.45%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86.75%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72.05%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013004" w:rsidP="00ED172B">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77.19%</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85.86%</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88.19%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90.06%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86.02%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013004" w:rsidP="00ED172B">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85.96%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2014</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83.25%</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83.25%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85.54%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87.95%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78.88%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013004" w:rsidP="00ED172B">
            <w:pPr>
              <w:jc w:val="center"/>
              <w:rPr>
                <w:rFonts w:cs="Arial"/>
                <w:color w:val="000000" w:themeColor="text1"/>
                <w:szCs w:val="16"/>
              </w:rPr>
            </w:pP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87.72%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79.84%</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80.84%</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81.84%</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82.84%</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83.84%</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85.86%</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86.86%</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87.86%</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88.86%</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89.86%</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83.25%</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84.25%</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85.25%</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86.25%</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87.25%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State’s Interagency Coordinating Council (SICC) or Iowa Council for Early ACCESS (ICEA), Regional Grantee Administrators, Early ACCESS (EA) Grantee Leadership Team, Early ACCESS SSIP Team, and Early ACCESS ad hoc task teams provide stakeholder input on SPP/APR indicators, SSIP development and implementation, and IDEA reporting requirements. The Early ACCESS facilitator ensures that the composition of the ICEA meets the Iowa Administrative Rules for Early ACCESS. Regional Grantee administrators include the special education directors from each of Iowa’s nine area education agencies (AEA). The EA Grantee Leadership Team represents approximately 30 members from each of the following: Lead Agency, signatory agencies; Regional Grantees; and Iowa Educational Services for the Blind and Visually Impaired.</w:t>
      </w:r>
      <w:r w:rsidRPr="00ED172B">
        <w:rPr>
          <w:color w:val="000000" w:themeColor="text1"/>
        </w:rPr>
        <w:br/>
      </w:r>
      <w:r w:rsidRPr="00ED172B">
        <w:rPr>
          <w:color w:val="000000" w:themeColor="text1"/>
        </w:rPr>
        <w:br/>
        <w:t>A five-step process was used by the EA State Team with each stakeholder group to review and discuss data and provide input for the FFY 2021 APR:</w:t>
      </w:r>
      <w:r w:rsidRPr="00ED172B">
        <w:rPr>
          <w:color w:val="000000" w:themeColor="text1"/>
        </w:rPr>
        <w:br/>
        <w:t>1. The importance of stakeholder input regarding the EA system is reviewed. This includes ensuring stakeholder feedback is reported in the APR and used for improvement activities.</w:t>
      </w:r>
      <w:r w:rsidRPr="00ED172B">
        <w:rPr>
          <w:color w:val="000000" w:themeColor="text1"/>
        </w:rPr>
        <w:br/>
        <w:t>2. Stakeholders are provided baseline, target, and trend data for each compliance and performance indicator.</w:t>
      </w:r>
      <w:r w:rsidRPr="00ED172B">
        <w:rPr>
          <w:color w:val="000000" w:themeColor="text1"/>
        </w:rPr>
        <w:br/>
        <w:t xml:space="preserve">3. Members work in small and large groups to analyze data and draw conclusions. </w:t>
      </w:r>
      <w:r w:rsidRPr="00ED172B">
        <w:rPr>
          <w:color w:val="000000" w:themeColor="text1"/>
        </w:rPr>
        <w:br/>
        <w:t>4. A question-and-answer period occurs to clarify data questions and concepts. The EA State Team facilitates discussion and answers questions.</w:t>
      </w:r>
      <w:r w:rsidRPr="00ED172B">
        <w:rPr>
          <w:color w:val="000000" w:themeColor="text1"/>
        </w:rPr>
        <w:br/>
        <w:t>5. Conclusions and comments regarding targets, progress or slippage of meeting targets, root causes, and improvement activities are shared and agreed upon (indicating consensus).</w:t>
      </w:r>
      <w:r w:rsidRPr="00ED172B">
        <w:rPr>
          <w:color w:val="000000" w:themeColor="text1"/>
        </w:rPr>
        <w:br/>
      </w:r>
      <w:r w:rsidRPr="00ED172B">
        <w:rPr>
          <w:color w:val="000000" w:themeColor="text1"/>
        </w:rPr>
        <w:br/>
        <w:t>Discussion notes, comments, and analysis conclusions are documented and provided to EA and Lead Agency staff to include in the APR for each indicator where appropriate. Questions requiring additional data are collected for the APR. The EA State Team is responsible for obtaining additional information and data for deeper analysis and discussion at subsequent meetings.</w:t>
      </w:r>
      <w:r w:rsidRPr="00ED172B">
        <w:rPr>
          <w:color w:val="000000" w:themeColor="text1"/>
        </w:rPr>
        <w:br/>
      </w:r>
      <w:r w:rsidRPr="00ED172B">
        <w:rPr>
          <w:color w:val="000000" w:themeColor="text1"/>
        </w:rPr>
        <w:br/>
        <w:t xml:space="preserve">The specific stakeholder groups regularly engage in topics of IDEA Part C implementation and evaluation including an annual review of Iowa’s IDEA Part C Annual Performance Report. These groups and other stakeholders have been involved in activities specific to the development of the FFY 2021 APR. </w:t>
      </w:r>
      <w:r w:rsidRPr="00ED172B">
        <w:rPr>
          <w:color w:val="000000" w:themeColor="text1"/>
        </w:rPr>
        <w:br/>
      </w:r>
      <w:r w:rsidRPr="00ED172B">
        <w:rPr>
          <w:color w:val="000000" w:themeColor="text1"/>
        </w:rPr>
        <w:br/>
        <w:t xml:space="preserve">1. State Interagency Coordinating Council (Iowa Council for Early ACCESS); five meetings held annually </w:t>
      </w:r>
      <w:r w:rsidRPr="00ED172B">
        <w:rPr>
          <w:color w:val="000000" w:themeColor="text1"/>
        </w:rPr>
        <w:br/>
        <w:t>-Early ACCESS Service Providers</w:t>
      </w:r>
      <w:r w:rsidRPr="00ED172B">
        <w:rPr>
          <w:color w:val="000000" w:themeColor="text1"/>
        </w:rPr>
        <w:br/>
        <w:t>-Early ACCESS Signatory Agencies (Departments of Health, Human Services, and Iowa Child Health Specialty Clinics)</w:t>
      </w:r>
      <w:r w:rsidRPr="00ED172B">
        <w:rPr>
          <w:color w:val="000000" w:themeColor="text1"/>
        </w:rPr>
        <w:br/>
        <w:t xml:space="preserve">-Early Head Start / Head Start </w:t>
      </w:r>
      <w:r w:rsidRPr="00ED172B">
        <w:rPr>
          <w:color w:val="000000" w:themeColor="text1"/>
        </w:rPr>
        <w:br/>
        <w:t>-Iowa IDEA Part C Lead Agency (Department of Education)</w:t>
      </w:r>
      <w:r w:rsidRPr="00ED172B">
        <w:rPr>
          <w:color w:val="000000" w:themeColor="text1"/>
        </w:rPr>
        <w:br/>
        <w:t>-Medical / Health Care Providers</w:t>
      </w:r>
      <w:r w:rsidRPr="00ED172B">
        <w:rPr>
          <w:color w:val="000000" w:themeColor="text1"/>
        </w:rPr>
        <w:br/>
        <w:t>-Mental Health Providers</w:t>
      </w:r>
      <w:r w:rsidRPr="00ED172B">
        <w:rPr>
          <w:color w:val="000000" w:themeColor="text1"/>
        </w:rPr>
        <w:br/>
        <w:t>-Parent Training and Information Center</w:t>
      </w:r>
      <w:r w:rsidRPr="00ED172B">
        <w:rPr>
          <w:color w:val="000000" w:themeColor="text1"/>
        </w:rPr>
        <w:br/>
        <w:t>-Parents of Children with Disabilities</w:t>
      </w:r>
      <w:r w:rsidRPr="00ED172B">
        <w:rPr>
          <w:color w:val="000000" w:themeColor="text1"/>
        </w:rPr>
        <w:br/>
        <w:t>-Personnel Preparation / Institutes of Higher Education</w:t>
      </w:r>
      <w:r w:rsidRPr="00ED172B">
        <w:rPr>
          <w:color w:val="000000" w:themeColor="text1"/>
        </w:rPr>
        <w:br/>
        <w:t>-Private Health Insurance / Insurance Commission</w:t>
      </w:r>
      <w:r w:rsidRPr="00ED172B">
        <w:rPr>
          <w:color w:val="000000" w:themeColor="text1"/>
        </w:rPr>
        <w:br/>
        <w:t xml:space="preserve">-Special Education / IDEA Part B 619 </w:t>
      </w:r>
      <w:r w:rsidRPr="00ED172B">
        <w:rPr>
          <w:color w:val="000000" w:themeColor="text1"/>
        </w:rPr>
        <w:br/>
        <w:t>-State Legislators</w:t>
      </w:r>
      <w:r w:rsidRPr="00ED172B">
        <w:rPr>
          <w:color w:val="000000" w:themeColor="text1"/>
        </w:rPr>
        <w:br/>
      </w:r>
      <w:r w:rsidRPr="00ED172B">
        <w:rPr>
          <w:color w:val="000000" w:themeColor="text1"/>
        </w:rPr>
        <w:br/>
        <w:t>2. Regional Grantee Administrators (Directors of Special Education) for nine Regional Grantees; weekly and monthly meetings.</w:t>
      </w:r>
      <w:r w:rsidRPr="00ED172B">
        <w:rPr>
          <w:color w:val="000000" w:themeColor="text1"/>
        </w:rPr>
        <w:br/>
      </w:r>
      <w:r w:rsidRPr="00ED172B">
        <w:rPr>
          <w:color w:val="000000" w:themeColor="text1"/>
        </w:rPr>
        <w:br/>
        <w:t>3. Early ACCESS Grantee Leadership Team; five meetings held annually</w:t>
      </w:r>
      <w:r w:rsidRPr="00ED172B">
        <w:rPr>
          <w:color w:val="000000" w:themeColor="text1"/>
        </w:rPr>
        <w:br/>
        <w:t>-Regional Grantee Administration</w:t>
      </w:r>
      <w:r w:rsidRPr="00ED172B">
        <w:rPr>
          <w:color w:val="000000" w:themeColor="text1"/>
        </w:rPr>
        <w:br/>
        <w:t>-Regional Grantees</w:t>
      </w:r>
      <w:r w:rsidRPr="00ED172B">
        <w:rPr>
          <w:color w:val="000000" w:themeColor="text1"/>
        </w:rPr>
        <w:br/>
        <w:t>-Signatory Agencies</w:t>
      </w:r>
      <w:r w:rsidRPr="00ED172B">
        <w:rPr>
          <w:color w:val="000000" w:themeColor="text1"/>
        </w:rPr>
        <w:br/>
        <w:t>-Specialized Lead Consultants</w:t>
      </w:r>
      <w:r w:rsidRPr="00ED172B">
        <w:rPr>
          <w:color w:val="000000" w:themeColor="text1"/>
        </w:rPr>
        <w:br/>
      </w:r>
      <w:r w:rsidRPr="00ED172B">
        <w:rPr>
          <w:color w:val="000000" w:themeColor="text1"/>
        </w:rPr>
        <w:br/>
        <w:t>4. Early ACCESS SSIP (C11) Team; held every 2 months</w:t>
      </w:r>
      <w:r w:rsidRPr="00ED172B">
        <w:rPr>
          <w:color w:val="000000" w:themeColor="text1"/>
        </w:rPr>
        <w:br/>
        <w:t xml:space="preserve">-EA CSPD </w:t>
      </w:r>
      <w:r w:rsidRPr="00ED172B">
        <w:rPr>
          <w:color w:val="000000" w:themeColor="text1"/>
        </w:rPr>
        <w:br/>
        <w:t>-Lead Agency EA Leadership</w:t>
      </w:r>
      <w:r w:rsidRPr="00ED172B">
        <w:rPr>
          <w:color w:val="000000" w:themeColor="text1"/>
        </w:rPr>
        <w:br/>
        <w:t>-Regional Grantee Administration</w:t>
      </w:r>
      <w:r w:rsidRPr="00ED172B">
        <w:rPr>
          <w:color w:val="000000" w:themeColor="text1"/>
        </w:rPr>
        <w:br/>
      </w:r>
      <w:r w:rsidRPr="00ED172B">
        <w:rPr>
          <w:color w:val="000000" w:themeColor="text1"/>
        </w:rPr>
        <w:br/>
        <w:t>5. Early ACCESS Ad Hoc Task Teams; as needed</w:t>
      </w:r>
      <w:r w:rsidRPr="00ED172B">
        <w:rPr>
          <w:color w:val="000000" w:themeColor="text1"/>
        </w:rPr>
        <w:br/>
      </w:r>
      <w:r w:rsidRPr="00ED172B">
        <w:rPr>
          <w:color w:val="000000" w:themeColor="text1"/>
        </w:rPr>
        <w:br/>
        <w:t xml:space="preserve">In addition to the review of APR indicator data, stakeholders and EA regional and state-level implementation teams routinely review data related to the ongoing implementation and continuous improvement of the IDEA Part C State Systemic Improvement Plan (SSIP), or indicator C11. Data related to the SSIP </w:t>
      </w:r>
      <w:proofErr w:type="gramStart"/>
      <w:r w:rsidRPr="00ED172B">
        <w:rPr>
          <w:color w:val="000000" w:themeColor="text1"/>
        </w:rPr>
        <w:t>includes:</w:t>
      </w:r>
      <w:proofErr w:type="gramEnd"/>
      <w:r w:rsidRPr="00ED172B">
        <w:rPr>
          <w:color w:val="000000" w:themeColor="text1"/>
        </w:rPr>
        <w:t xml:space="preserve"> services provided; frequency and intensity of services; disaggregated early childhood outcomes data; and family outcome data. Stakeholders provide input and decisions at scheduled meetings throughout the year as well as between meetings when a need for input is identified.</w:t>
      </w:r>
      <w:r w:rsidRPr="00ED172B">
        <w:rPr>
          <w:color w:val="000000" w:themeColor="text1"/>
        </w:rPr>
        <w:br/>
      </w:r>
      <w:r w:rsidRPr="00ED172B">
        <w:rPr>
          <w:color w:val="000000" w:themeColor="text1"/>
        </w:rPr>
        <w:br/>
        <w:t>More recently, members of the EA State Team have convened ad hoc meetings with Regional Grantee Administrators to specifically review data and reporting details. These will contribute to a revised consolidated report for general supervision activities to be submitted and reviewed by the Lead Agency and EA State Team annually, at minimum.</w:t>
      </w:r>
      <w:r w:rsidRPr="00ED172B">
        <w:rPr>
          <w:color w:val="000000" w:themeColor="text1"/>
        </w:rPr>
        <w:br/>
      </w:r>
      <w:r w:rsidRPr="00ED172B">
        <w:rPr>
          <w:color w:val="000000" w:themeColor="text1"/>
        </w:rPr>
        <w:br/>
      </w:r>
      <w:r w:rsidRPr="00ED172B">
        <w:rPr>
          <w:color w:val="000000" w:themeColor="text1"/>
        </w:rPr>
        <w:lastRenderedPageBreak/>
        <w:t>The data are used to inform decisions about personnel development related to the use of evidence-based practices as well as addressing barriers for successful implementation.</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942</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342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36.31%</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267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342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295</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335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277</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327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77.19%</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79.84%</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78.07%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85.96%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85.86%</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88.06%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87.72%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83.25%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84.71%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A sample was pulled in March 2021 from Iowa's data systems, Legacy and ACHIEVE, for all children who were in Early ACCESS for at least 6 months. Surveys were disseminated by either 1) using a cloud-based survey system to email and collect responses anonymously or 2) mailing paper copies with return postage envelopes to families who preferred not to complete the survey electronically.</w:t>
      </w:r>
      <w:r w:rsidRPr="00ED172B">
        <w:rPr>
          <w:rFonts w:cs="Arial"/>
          <w:color w:val="000000" w:themeColor="text1"/>
          <w:szCs w:val="16"/>
        </w:rPr>
        <w:br/>
      </w:r>
      <w:r w:rsidRPr="00ED172B">
        <w:rPr>
          <w:rFonts w:cs="Arial"/>
          <w:color w:val="000000" w:themeColor="text1"/>
          <w:szCs w:val="16"/>
        </w:rPr>
        <w:br/>
        <w:t>Of the 942 families who were sent a survey (by either email or mail), 342 surveys were returned, yielding a 36.31% response rate.</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For the next reporting period, the State is planning on distributing surveys using the ACHIEVE system, Iowa's new data system. The State will also be able to track the demographic response rates throughout the year. The ability to analyze these data real-time will also allow for additional prompts to specific groups with lower response rates to complete the survey.</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5.78%</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36.31%</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lastRenderedPageBreak/>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Strategies will be implemented to increase the response rate include the integration of the family survey into the ACHIEVE system. The State anticipates the timeliness of survey distribution, as well as readily updated family contact information, will increase families' willingness to respond to the survey. Additionally, Iowa is planning to track the demographic response rates throughout the year so the ACHIEVE system will be able to identify if specific groups have lower response rates and allow for additional prompts to complete the survey.</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Using statistical parameters of a confidence level of 90% +/- 5% margin of error to ensure representatives, Iowa would need a survey return rate of 248 responses. Given 342 families responded, Iowa can say with confidence the survey results were representative of the population or from a broad cross section of families who received Early ACCESS, IDEA Part C services. In addition to the previously described strategies, Iowa intends to improve nonresponse bias </w:t>
      </w:r>
      <w:proofErr w:type="gramStart"/>
      <w:r w:rsidRPr="00ED172B">
        <w:rPr>
          <w:rFonts w:cs="Arial"/>
          <w:color w:val="000000" w:themeColor="text1"/>
          <w:szCs w:val="16"/>
        </w:rPr>
        <w:t>by:</w:t>
      </w:r>
      <w:proofErr w:type="gramEnd"/>
      <w:r w:rsidRPr="00ED172B">
        <w:rPr>
          <w:rFonts w:cs="Arial"/>
          <w:color w:val="000000" w:themeColor="text1"/>
          <w:szCs w:val="16"/>
        </w:rPr>
        <w:t xml:space="preserve"> keeping the survey as short and concise as possible; reviewing response rates regarding timing and distribution methods; and integrating system prompts or reminders to complete the survey. </w:t>
      </w:r>
      <w:r w:rsidRPr="00ED172B">
        <w:rPr>
          <w:rFonts w:cs="Arial"/>
          <w:color w:val="000000" w:themeColor="text1"/>
          <w:szCs w:val="16"/>
        </w:rPr>
        <w:br/>
      </w:r>
      <w:r w:rsidRPr="00ED172B">
        <w:rPr>
          <w:rFonts w:cs="Arial"/>
          <w:color w:val="000000" w:themeColor="text1"/>
          <w:szCs w:val="16"/>
        </w:rPr>
        <w:br/>
        <w:t xml:space="preserve">In addition, Iowa is gathering stakeholder input on the use of data or a family outcomes infographic, as highlighted by other states during ECTA's family outcomes community of practice webinars, to inform families and validate their input and </w:t>
      </w:r>
      <w:proofErr w:type="spellStart"/>
      <w:r w:rsidRPr="00ED172B">
        <w:rPr>
          <w:rFonts w:cs="Arial"/>
          <w:color w:val="000000" w:themeColor="text1"/>
          <w:szCs w:val="16"/>
        </w:rPr>
        <w:t>particiation</w:t>
      </w:r>
      <w:proofErr w:type="spellEnd"/>
      <w:r w:rsidRPr="00ED172B">
        <w:rPr>
          <w:rFonts w:cs="Arial"/>
          <w:color w:val="000000" w:themeColor="text1"/>
          <w:szCs w:val="16"/>
        </w:rPr>
        <w:t>.</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Upon analyses of the subgroups, the State found the sample was not representative in terms of the percent of respondents in each race/ethnicity category. Specifically, the percent of </w:t>
      </w:r>
      <w:proofErr w:type="spellStart"/>
      <w:r w:rsidRPr="00ED172B">
        <w:rPr>
          <w:rFonts w:cs="Arial"/>
          <w:color w:val="000000" w:themeColor="text1"/>
          <w:szCs w:val="16"/>
        </w:rPr>
        <w:t>hispanic</w:t>
      </w:r>
      <w:proofErr w:type="spellEnd"/>
      <w:r w:rsidRPr="00ED172B">
        <w:rPr>
          <w:rFonts w:cs="Arial"/>
          <w:color w:val="000000" w:themeColor="text1"/>
          <w:szCs w:val="16"/>
        </w:rPr>
        <w:t xml:space="preserve"> or </w:t>
      </w:r>
      <w:proofErr w:type="spellStart"/>
      <w:r w:rsidRPr="00ED172B">
        <w:rPr>
          <w:rFonts w:cs="Arial"/>
          <w:color w:val="000000" w:themeColor="text1"/>
          <w:szCs w:val="16"/>
        </w:rPr>
        <w:t>latino</w:t>
      </w:r>
      <w:proofErr w:type="spellEnd"/>
      <w:r w:rsidRPr="00ED172B">
        <w:rPr>
          <w:rFonts w:cs="Arial"/>
          <w:color w:val="000000" w:themeColor="text1"/>
          <w:szCs w:val="16"/>
        </w:rPr>
        <w:t xml:space="preserve"> survey respondents were 6% less than the population and the percent of whites respondents was 10% higher than the population. The survey respondents were representative for gender, with less than a 3% difference of male to female respondents compared to the population. The survey respondents were also not representative for </w:t>
      </w:r>
      <w:proofErr w:type="gramStart"/>
      <w:r w:rsidRPr="00ED172B">
        <w:rPr>
          <w:rFonts w:cs="Arial"/>
          <w:color w:val="000000" w:themeColor="text1"/>
          <w:szCs w:val="16"/>
        </w:rPr>
        <w:t>age</w:t>
      </w:r>
      <w:proofErr w:type="gramEnd"/>
      <w:r w:rsidRPr="00ED172B">
        <w:rPr>
          <w:rFonts w:cs="Arial"/>
          <w:color w:val="000000" w:themeColor="text1"/>
          <w:szCs w:val="16"/>
        </w:rPr>
        <w:t xml:space="preserve"> of infants or toddler in the percent of respondents for each age group (</w:t>
      </w:r>
      <w:proofErr w:type="gramStart"/>
      <w:r w:rsidRPr="00ED172B">
        <w:rPr>
          <w:rFonts w:cs="Arial"/>
          <w:color w:val="000000" w:themeColor="text1"/>
          <w:szCs w:val="16"/>
        </w:rPr>
        <w:t>e.g.</w:t>
      </w:r>
      <w:proofErr w:type="gramEnd"/>
      <w:r w:rsidRPr="00ED172B">
        <w:rPr>
          <w:rFonts w:cs="Arial"/>
          <w:color w:val="000000" w:themeColor="text1"/>
          <w:szCs w:val="16"/>
        </w:rPr>
        <w:t xml:space="preserve"> birth to one, one to two, and two to three) did not meet the +/- 5% discrepancy compared to the population. This is not surprising given families with infants and toddler who have been in the program for less than six months did not receive a survey, which could be </w:t>
      </w:r>
      <w:proofErr w:type="spellStart"/>
      <w:r w:rsidRPr="00ED172B">
        <w:rPr>
          <w:rFonts w:cs="Arial"/>
          <w:color w:val="000000" w:themeColor="text1"/>
          <w:szCs w:val="16"/>
        </w:rPr>
        <w:t>anticiapted</w:t>
      </w:r>
      <w:proofErr w:type="spellEnd"/>
      <w:r w:rsidRPr="00ED172B">
        <w:rPr>
          <w:rFonts w:cs="Arial"/>
          <w:color w:val="000000" w:themeColor="text1"/>
          <w:szCs w:val="16"/>
        </w:rPr>
        <w:t xml:space="preserve"> to influence the number of potential respondents for the birth to one age group.</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State set statistical parameters of a confidence level of 90% +/- 5% margin of error to evaluate representativeness of the number of survey respondents to the total population. The overall response rate did meet </w:t>
      </w:r>
      <w:proofErr w:type="gramStart"/>
      <w:r w:rsidRPr="00ED172B">
        <w:rPr>
          <w:rFonts w:cs="Arial"/>
          <w:color w:val="000000" w:themeColor="text1"/>
          <w:szCs w:val="16"/>
        </w:rPr>
        <w:t>this criteria</w:t>
      </w:r>
      <w:proofErr w:type="gramEnd"/>
      <w:r w:rsidRPr="00ED172B">
        <w:rPr>
          <w:rFonts w:cs="Arial"/>
          <w:color w:val="000000" w:themeColor="text1"/>
          <w:szCs w:val="16"/>
        </w:rPr>
        <w:t xml:space="preserve"> for representativeness. To evaluate the representativeness of demographic subgroups, the State used a </w:t>
      </w:r>
      <w:proofErr w:type="gramStart"/>
      <w:r w:rsidRPr="00ED172B">
        <w:rPr>
          <w:rFonts w:cs="Arial"/>
          <w:color w:val="000000" w:themeColor="text1"/>
          <w:szCs w:val="16"/>
        </w:rPr>
        <w:t>criteria</w:t>
      </w:r>
      <w:proofErr w:type="gramEnd"/>
      <w:r w:rsidRPr="00ED172B">
        <w:rPr>
          <w:rFonts w:cs="Arial"/>
          <w:color w:val="000000" w:themeColor="text1"/>
          <w:szCs w:val="16"/>
        </w:rPr>
        <w:t xml:space="preserve"> of +/- 5% discrepancy for responses compared to the total population. The State chose this method to analyze demographics because 1) if employing a confidence level of 90% +/- 5% margin of error, only one race ethnicity category would have met this threshold for survey responses, and 2) three of seven race/ethnicity categories have a small population size (between 5-60 children). </w:t>
      </w:r>
      <w:r w:rsidRPr="00ED172B">
        <w:rPr>
          <w:rFonts w:cs="Arial"/>
          <w:color w:val="000000" w:themeColor="text1"/>
          <w:szCs w:val="16"/>
        </w:rPr>
        <w:br/>
      </w:r>
      <w:r w:rsidRPr="00ED172B">
        <w:rPr>
          <w:rFonts w:cs="Arial"/>
          <w:color w:val="000000" w:themeColor="text1"/>
          <w:szCs w:val="16"/>
        </w:rPr>
        <w:br/>
        <w:t xml:space="preserve">Upon analyses of the subgroups, the State found the sample was not representative in the percent of Hispanic or Latino </w:t>
      </w:r>
      <w:proofErr w:type="gramStart"/>
      <w:r w:rsidRPr="00ED172B">
        <w:rPr>
          <w:rFonts w:cs="Arial"/>
          <w:color w:val="000000" w:themeColor="text1"/>
          <w:szCs w:val="16"/>
        </w:rPr>
        <w:t>respondents</w:t>
      </w:r>
      <w:proofErr w:type="gramEnd"/>
      <w:r w:rsidRPr="00ED172B">
        <w:rPr>
          <w:rFonts w:cs="Arial"/>
          <w:color w:val="000000" w:themeColor="text1"/>
          <w:szCs w:val="16"/>
        </w:rPr>
        <w:t xml:space="preserve"> overall population were 6% less than the population and whites had 10% higher response rates. All other subgroups had less than a 5% discrepancy.</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the State must report whether its FFY 2021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OSEP’s response to the State’s initial FFY 2021 SPP/APR submission required the State to submit a revised sampling plan for this indicator by June 1, 2023. The State has submitted a revised plan and OSEP will respond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2017</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1.08%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1.40%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1.40%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1.45%</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1.45%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1.13%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1.08%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1.08%</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1.13%</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1.18%</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1.23%</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1.28%</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State’s Interagency Coordinating Council (SICC) or Iowa Council for Early ACCESS (ICEA), Regional Grantee Administrators, Early ACCESS (EA) Grantee Leadership Team, Early ACCESS SSIP Team, and Early ACCESS ad hoc task teams provide stakeholder input on SPP/APR indicators, SSIP development and implementation, and IDEA reporting requirements. The Early ACCESS facilitator ensures that the composition of the ICEA meets the Iowa Administrative Rules for Early ACCESS. Regional Grantee administrators include the special education directors from each of Iowa’s nine area education agencies (AEA). The EA Grantee Leadership Team represents approximately 30 members from each of the following: Lead Agency, signatory agencies; Regional Grantees; and Iowa Educational Services for the Blind and Visually Impaired.</w:t>
      </w:r>
      <w:r w:rsidRPr="00ED172B">
        <w:rPr>
          <w:color w:val="000000" w:themeColor="text1"/>
        </w:rPr>
        <w:br/>
      </w:r>
      <w:r w:rsidRPr="00ED172B">
        <w:rPr>
          <w:color w:val="000000" w:themeColor="text1"/>
        </w:rPr>
        <w:br/>
        <w:t>A five-step process was used by the EA State Team with each stakeholder group to review and discuss data and provide input for the FFY 2021 APR:</w:t>
      </w:r>
      <w:r w:rsidRPr="00ED172B">
        <w:rPr>
          <w:color w:val="000000" w:themeColor="text1"/>
        </w:rPr>
        <w:br/>
        <w:t>1. The importance of stakeholder input regarding the EA system is reviewed. This includes ensuring stakeholder feedback is reported in the APR and used for improvement activities.</w:t>
      </w:r>
      <w:r w:rsidRPr="00ED172B">
        <w:rPr>
          <w:color w:val="000000" w:themeColor="text1"/>
        </w:rPr>
        <w:br/>
        <w:t>2. Stakeholders are provided baseline, target, and trend data for each compliance and performance indicator.</w:t>
      </w:r>
      <w:r w:rsidRPr="00ED172B">
        <w:rPr>
          <w:color w:val="000000" w:themeColor="text1"/>
        </w:rPr>
        <w:br/>
        <w:t xml:space="preserve">3. Members work in small and large groups to analyze data and draw conclusions. </w:t>
      </w:r>
      <w:r w:rsidRPr="00ED172B">
        <w:rPr>
          <w:color w:val="000000" w:themeColor="text1"/>
        </w:rPr>
        <w:br/>
        <w:t>4. A question-and-answer period occurs to clarify data questions and concepts. The EA State Team facilitates discussion and answers questions.</w:t>
      </w:r>
      <w:r w:rsidRPr="00ED172B">
        <w:rPr>
          <w:color w:val="000000" w:themeColor="text1"/>
        </w:rPr>
        <w:br/>
        <w:t>5. Conclusions and comments regarding targets, progress or slippage of meeting targets, root causes, and improvement activities are shared and agreed upon (indicating consensus).</w:t>
      </w:r>
      <w:r w:rsidRPr="00ED172B">
        <w:rPr>
          <w:color w:val="000000" w:themeColor="text1"/>
        </w:rPr>
        <w:br/>
      </w:r>
      <w:r w:rsidRPr="00ED172B">
        <w:rPr>
          <w:color w:val="000000" w:themeColor="text1"/>
        </w:rPr>
        <w:br/>
        <w:t>Discussion notes, comments, and analysis conclusions are documented and provided to EA and Lead Agency staff to include in the APR for each indicator where appropriate. Questions requiring additional data are collected for the APR. The EA State Team is responsible for obtaining additional information and data for deeper analysis and discussion at subsequent meetings.</w:t>
      </w:r>
      <w:r w:rsidRPr="00ED172B">
        <w:rPr>
          <w:color w:val="000000" w:themeColor="text1"/>
        </w:rPr>
        <w:br/>
      </w:r>
      <w:r w:rsidRPr="00ED172B">
        <w:rPr>
          <w:color w:val="000000" w:themeColor="text1"/>
        </w:rPr>
        <w:br/>
        <w:t xml:space="preserve">The specific stakeholder groups regularly engage in topics of IDEA Part C implementation and evaluation including an annual review of Iowa’s IDEA Part C Annual Performance Report. These groups and other stakeholders have been involved in activities specific to the development of the FFY 2021 APR. </w:t>
      </w:r>
      <w:r w:rsidRPr="00ED172B">
        <w:rPr>
          <w:color w:val="000000" w:themeColor="text1"/>
        </w:rPr>
        <w:br/>
      </w:r>
      <w:r w:rsidRPr="00ED172B">
        <w:rPr>
          <w:color w:val="000000" w:themeColor="text1"/>
        </w:rPr>
        <w:br/>
        <w:t xml:space="preserve">1. State Interagency Coordinating Council (Iowa Council for Early ACCESS); five meetings held annually </w:t>
      </w:r>
      <w:r w:rsidRPr="00ED172B">
        <w:rPr>
          <w:color w:val="000000" w:themeColor="text1"/>
        </w:rPr>
        <w:br/>
        <w:t>-Early ACCESS Service Providers</w:t>
      </w:r>
      <w:r w:rsidRPr="00ED172B">
        <w:rPr>
          <w:color w:val="000000" w:themeColor="text1"/>
        </w:rPr>
        <w:br/>
        <w:t>-Early ACCESS Signatory Agencies (Departments of Health, Human Services, and Iowa Child Health Specialty Clinics)</w:t>
      </w:r>
      <w:r w:rsidRPr="00ED172B">
        <w:rPr>
          <w:color w:val="000000" w:themeColor="text1"/>
        </w:rPr>
        <w:br/>
        <w:t xml:space="preserve">-Early Head Start / Head Start </w:t>
      </w:r>
      <w:r w:rsidRPr="00ED172B">
        <w:rPr>
          <w:color w:val="000000" w:themeColor="text1"/>
        </w:rPr>
        <w:br/>
        <w:t>-Iowa IDEA Part C Lead Agency (Department of Education)</w:t>
      </w:r>
      <w:r w:rsidRPr="00ED172B">
        <w:rPr>
          <w:color w:val="000000" w:themeColor="text1"/>
        </w:rPr>
        <w:br/>
        <w:t>-Medical / Health Care Providers</w:t>
      </w:r>
      <w:r w:rsidRPr="00ED172B">
        <w:rPr>
          <w:color w:val="000000" w:themeColor="text1"/>
        </w:rPr>
        <w:br/>
        <w:t>-Mental Health Providers</w:t>
      </w:r>
      <w:r w:rsidRPr="00ED172B">
        <w:rPr>
          <w:color w:val="000000" w:themeColor="text1"/>
        </w:rPr>
        <w:br/>
        <w:t>-Parent Training and Information Center</w:t>
      </w:r>
      <w:r w:rsidRPr="00ED172B">
        <w:rPr>
          <w:color w:val="000000" w:themeColor="text1"/>
        </w:rPr>
        <w:br/>
        <w:t>-Parents of Children with Disabilities</w:t>
      </w:r>
      <w:r w:rsidRPr="00ED172B">
        <w:rPr>
          <w:color w:val="000000" w:themeColor="text1"/>
        </w:rPr>
        <w:br/>
        <w:t>-Personnel Preparation / Institutes of Higher Education</w:t>
      </w:r>
      <w:r w:rsidRPr="00ED172B">
        <w:rPr>
          <w:color w:val="000000" w:themeColor="text1"/>
        </w:rPr>
        <w:br/>
      </w:r>
      <w:r w:rsidRPr="00ED172B">
        <w:rPr>
          <w:color w:val="000000" w:themeColor="text1"/>
        </w:rPr>
        <w:lastRenderedPageBreak/>
        <w:t>-Private Health Insurance / Insurance Commission</w:t>
      </w:r>
      <w:r w:rsidRPr="00ED172B">
        <w:rPr>
          <w:color w:val="000000" w:themeColor="text1"/>
        </w:rPr>
        <w:br/>
        <w:t xml:space="preserve">-Special Education / IDEA Part B 619 </w:t>
      </w:r>
      <w:r w:rsidRPr="00ED172B">
        <w:rPr>
          <w:color w:val="000000" w:themeColor="text1"/>
        </w:rPr>
        <w:br/>
        <w:t>-State Legislators</w:t>
      </w:r>
      <w:r w:rsidRPr="00ED172B">
        <w:rPr>
          <w:color w:val="000000" w:themeColor="text1"/>
        </w:rPr>
        <w:br/>
      </w:r>
      <w:r w:rsidRPr="00ED172B">
        <w:rPr>
          <w:color w:val="000000" w:themeColor="text1"/>
        </w:rPr>
        <w:br/>
        <w:t>2. Regional Grantee Administrators (Directors of Special Education) for nine Regional Grantees; weekly and monthly meetings.</w:t>
      </w:r>
      <w:r w:rsidRPr="00ED172B">
        <w:rPr>
          <w:color w:val="000000" w:themeColor="text1"/>
        </w:rPr>
        <w:br/>
      </w:r>
      <w:r w:rsidRPr="00ED172B">
        <w:rPr>
          <w:color w:val="000000" w:themeColor="text1"/>
        </w:rPr>
        <w:br/>
        <w:t>3. Early ACCESS Grantee Leadership Team; five meetings held annually</w:t>
      </w:r>
      <w:r w:rsidRPr="00ED172B">
        <w:rPr>
          <w:color w:val="000000" w:themeColor="text1"/>
        </w:rPr>
        <w:br/>
        <w:t>-Regional Grantee Administration</w:t>
      </w:r>
      <w:r w:rsidRPr="00ED172B">
        <w:rPr>
          <w:color w:val="000000" w:themeColor="text1"/>
        </w:rPr>
        <w:br/>
        <w:t>-Regional Grantees</w:t>
      </w:r>
      <w:r w:rsidRPr="00ED172B">
        <w:rPr>
          <w:color w:val="000000" w:themeColor="text1"/>
        </w:rPr>
        <w:br/>
        <w:t>-Signatory Agencies</w:t>
      </w:r>
      <w:r w:rsidRPr="00ED172B">
        <w:rPr>
          <w:color w:val="000000" w:themeColor="text1"/>
        </w:rPr>
        <w:br/>
        <w:t>-Specialized Lead Consultants</w:t>
      </w:r>
      <w:r w:rsidRPr="00ED172B">
        <w:rPr>
          <w:color w:val="000000" w:themeColor="text1"/>
        </w:rPr>
        <w:br/>
      </w:r>
      <w:r w:rsidRPr="00ED172B">
        <w:rPr>
          <w:color w:val="000000" w:themeColor="text1"/>
        </w:rPr>
        <w:br/>
        <w:t>4. Early ACCESS SSIP (C11) Team; held every 2 months</w:t>
      </w:r>
      <w:r w:rsidRPr="00ED172B">
        <w:rPr>
          <w:color w:val="000000" w:themeColor="text1"/>
        </w:rPr>
        <w:br/>
        <w:t xml:space="preserve">-EA CSPD </w:t>
      </w:r>
      <w:r w:rsidRPr="00ED172B">
        <w:rPr>
          <w:color w:val="000000" w:themeColor="text1"/>
        </w:rPr>
        <w:br/>
        <w:t>-Lead Agency EA Leadership</w:t>
      </w:r>
      <w:r w:rsidRPr="00ED172B">
        <w:rPr>
          <w:color w:val="000000" w:themeColor="text1"/>
        </w:rPr>
        <w:br/>
        <w:t>-Regional Grantee Administration</w:t>
      </w:r>
      <w:r w:rsidRPr="00ED172B">
        <w:rPr>
          <w:color w:val="000000" w:themeColor="text1"/>
        </w:rPr>
        <w:br/>
      </w:r>
      <w:r w:rsidRPr="00ED172B">
        <w:rPr>
          <w:color w:val="000000" w:themeColor="text1"/>
        </w:rPr>
        <w:br/>
        <w:t>5. Early ACCESS Ad Hoc Task Teams; as needed</w:t>
      </w:r>
      <w:r w:rsidRPr="00ED172B">
        <w:rPr>
          <w:color w:val="000000" w:themeColor="text1"/>
        </w:rPr>
        <w:br/>
      </w:r>
      <w:r w:rsidRPr="00ED172B">
        <w:rPr>
          <w:color w:val="000000" w:themeColor="text1"/>
        </w:rPr>
        <w:br/>
        <w:t xml:space="preserve">In addition to the review of APR indicator data, stakeholders and EA regional and state-level implementation teams routinely review data related to the ongoing implementation and continuous improvement of the IDEA Part C State Systemic Improvement Plan (SSIP), or indicator C11. Data related to the SSIP </w:t>
      </w:r>
      <w:proofErr w:type="gramStart"/>
      <w:r w:rsidRPr="00ED172B">
        <w:rPr>
          <w:color w:val="000000" w:themeColor="text1"/>
        </w:rPr>
        <w:t>includes:</w:t>
      </w:r>
      <w:proofErr w:type="gramEnd"/>
      <w:r w:rsidRPr="00ED172B">
        <w:rPr>
          <w:color w:val="000000" w:themeColor="text1"/>
        </w:rPr>
        <w:t xml:space="preserve"> services provided; frequency and intensity of services; disaggregated early childhood outcomes data; and family outcome data. Stakeholders provide input and decisions at scheduled meetings throughout the year as well as between meetings when a need for input is identified.</w:t>
      </w:r>
      <w:r w:rsidRPr="00ED172B">
        <w:rPr>
          <w:color w:val="000000" w:themeColor="text1"/>
        </w:rPr>
        <w:br/>
      </w:r>
      <w:r w:rsidRPr="00ED172B">
        <w:rPr>
          <w:color w:val="000000" w:themeColor="text1"/>
        </w:rPr>
        <w:br/>
        <w:t>More recently, members of the EA State Team have convened ad hoc meetings with Regional Grantee Administrators to specifically review data and reporting details. These will contribute to a revised consolidated report for general supervision activities to be submitted and reviewed by the Lead Agency and EA State Team annually, at minimum.</w:t>
      </w:r>
      <w:r w:rsidRPr="00ED172B">
        <w:rPr>
          <w:color w:val="000000" w:themeColor="text1"/>
        </w:rPr>
        <w:br/>
      </w:r>
      <w:r w:rsidRPr="00ED172B">
        <w:rPr>
          <w:color w:val="000000" w:themeColor="text1"/>
        </w:rPr>
        <w:br/>
        <w:t>The data are used to inform decisions about personnel development related to the use of evidence-based practices as well as addressing barriers for successful implementation.</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316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35,621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316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35,621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0.89%</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2017</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2.46%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2.60%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2.70%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2.46%</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2.50%</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2.46%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2.59%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2.80%</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2.15%</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2.46%</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2.62%</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2.77%</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2.93%</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3.08%</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State’s Interagency Coordinating Council (SICC) or Iowa Council for Early ACCESS (ICEA), Regional Grantee Administrators, Early ACCESS (EA) Grantee Leadership Team, Early ACCESS SSIP Team, and Early ACCESS ad hoc task teams provide stakeholder input on SPP/APR indicators, SSIP development and implementation, and IDEA reporting requirements. The Early ACCESS facilitator ensures that the composition of the ICEA meets the Iowa Administrative Rules for Early ACCESS. Regional Grantee administrators include the special education directors from each of Iowa’s nine area education agencies (AEA). The EA Grantee Leadership Team represents approximately 30 members from each of the following: Lead Agency, signatory agencies; Regional Grantees; and Iowa Educational Services for the Blind and Visually Impaired.</w:t>
      </w:r>
      <w:r w:rsidRPr="00ED172B">
        <w:rPr>
          <w:color w:val="000000" w:themeColor="text1"/>
        </w:rPr>
        <w:br/>
      </w:r>
      <w:r w:rsidRPr="00ED172B">
        <w:rPr>
          <w:color w:val="000000" w:themeColor="text1"/>
        </w:rPr>
        <w:br/>
        <w:t>A five-step process was used by the EA State Team with each stakeholder group to review and discuss data and provide input for the FFY 2021 APR:</w:t>
      </w:r>
      <w:r w:rsidRPr="00ED172B">
        <w:rPr>
          <w:color w:val="000000" w:themeColor="text1"/>
        </w:rPr>
        <w:br/>
        <w:t>1. The importance of stakeholder input regarding the EA system is reviewed. This includes ensuring stakeholder feedback is reported in the APR and used for improvement activities.</w:t>
      </w:r>
      <w:r w:rsidRPr="00ED172B">
        <w:rPr>
          <w:color w:val="000000" w:themeColor="text1"/>
        </w:rPr>
        <w:br/>
        <w:t>2. Stakeholders are provided baseline, target, and trend data for each compliance and performance indicator.</w:t>
      </w:r>
      <w:r w:rsidRPr="00ED172B">
        <w:rPr>
          <w:color w:val="000000" w:themeColor="text1"/>
        </w:rPr>
        <w:br/>
        <w:t xml:space="preserve">3. Members work in small and large groups to analyze data and draw conclusions. </w:t>
      </w:r>
      <w:r w:rsidRPr="00ED172B">
        <w:rPr>
          <w:color w:val="000000" w:themeColor="text1"/>
        </w:rPr>
        <w:br/>
        <w:t>4. A question-and-answer period occurs to clarify data questions and concepts. The EA State Team facilitates discussion and answers questions.</w:t>
      </w:r>
      <w:r w:rsidRPr="00ED172B">
        <w:rPr>
          <w:color w:val="000000" w:themeColor="text1"/>
        </w:rPr>
        <w:br/>
        <w:t>5. Conclusions and comments regarding targets, progress or slippage of meeting targets, root causes, and improvement activities are shared and agreed upon (indicating consensus).</w:t>
      </w:r>
      <w:r w:rsidRPr="00ED172B">
        <w:rPr>
          <w:color w:val="000000" w:themeColor="text1"/>
        </w:rPr>
        <w:br/>
      </w:r>
      <w:r w:rsidRPr="00ED172B">
        <w:rPr>
          <w:color w:val="000000" w:themeColor="text1"/>
        </w:rPr>
        <w:br/>
        <w:t>Discussion notes, comments, and analysis conclusions are documented and provided to EA and Lead Agency staff to include in the APR for each indicator where appropriate. Questions requiring additional data are collected for the APR. The EA State Team is responsible for obtaining additional information and data for deeper analysis and discussion at subsequent meetings.</w:t>
      </w:r>
      <w:r w:rsidRPr="00ED172B">
        <w:rPr>
          <w:color w:val="000000" w:themeColor="text1"/>
        </w:rPr>
        <w:br/>
      </w:r>
      <w:r w:rsidRPr="00ED172B">
        <w:rPr>
          <w:color w:val="000000" w:themeColor="text1"/>
        </w:rPr>
        <w:br/>
        <w:t xml:space="preserve">The specific stakeholder groups regularly engage in topics of IDEA Part C implementation and evaluation including an annual review of Iowa’s IDEA Part C Annual Performance Report. These groups and other stakeholders have been involved in activities specific to the development of the FFY 2021 APR. </w:t>
      </w:r>
      <w:r w:rsidRPr="00ED172B">
        <w:rPr>
          <w:color w:val="000000" w:themeColor="text1"/>
        </w:rPr>
        <w:br/>
      </w:r>
      <w:r w:rsidRPr="00ED172B">
        <w:rPr>
          <w:color w:val="000000" w:themeColor="text1"/>
        </w:rPr>
        <w:br/>
        <w:t xml:space="preserve">1. State Interagency Coordinating Council (Iowa Council for Early ACCESS); five meetings held annually </w:t>
      </w:r>
      <w:r w:rsidRPr="00ED172B">
        <w:rPr>
          <w:color w:val="000000" w:themeColor="text1"/>
        </w:rPr>
        <w:br/>
        <w:t>-Early ACCESS Service Providers</w:t>
      </w:r>
      <w:r w:rsidRPr="00ED172B">
        <w:rPr>
          <w:color w:val="000000" w:themeColor="text1"/>
        </w:rPr>
        <w:br/>
        <w:t>-Early ACCESS Signatory Agencies (Departments of Health, Human Services, and Iowa Child Health Specialty Clinics)</w:t>
      </w:r>
      <w:r w:rsidRPr="00ED172B">
        <w:rPr>
          <w:color w:val="000000" w:themeColor="text1"/>
        </w:rPr>
        <w:br/>
        <w:t xml:space="preserve">-Early Head Start / Head Start </w:t>
      </w:r>
      <w:r w:rsidRPr="00ED172B">
        <w:rPr>
          <w:color w:val="000000" w:themeColor="text1"/>
        </w:rPr>
        <w:br/>
        <w:t>-Iowa IDEA Part C Lead Agency (Department of Education)</w:t>
      </w:r>
      <w:r w:rsidRPr="00ED172B">
        <w:rPr>
          <w:color w:val="000000" w:themeColor="text1"/>
        </w:rPr>
        <w:br/>
        <w:t>-Medical / Health Care Providers</w:t>
      </w:r>
      <w:r w:rsidRPr="00ED172B">
        <w:rPr>
          <w:color w:val="000000" w:themeColor="text1"/>
        </w:rPr>
        <w:br/>
        <w:t>-Mental Health Providers</w:t>
      </w:r>
      <w:r w:rsidRPr="00ED172B">
        <w:rPr>
          <w:color w:val="000000" w:themeColor="text1"/>
        </w:rPr>
        <w:br/>
        <w:t>-Parent Training and Information Center</w:t>
      </w:r>
      <w:r w:rsidRPr="00ED172B">
        <w:rPr>
          <w:color w:val="000000" w:themeColor="text1"/>
        </w:rPr>
        <w:br/>
        <w:t>-Parents of Children with Disabilities</w:t>
      </w:r>
      <w:r w:rsidRPr="00ED172B">
        <w:rPr>
          <w:color w:val="000000" w:themeColor="text1"/>
        </w:rPr>
        <w:br/>
        <w:t>-Personnel Preparation / Institutes of Higher Education</w:t>
      </w:r>
      <w:r w:rsidRPr="00ED172B">
        <w:rPr>
          <w:color w:val="000000" w:themeColor="text1"/>
        </w:rPr>
        <w:br/>
        <w:t>-Private Health Insurance / Insurance Commission</w:t>
      </w:r>
      <w:r w:rsidRPr="00ED172B">
        <w:rPr>
          <w:color w:val="000000" w:themeColor="text1"/>
        </w:rPr>
        <w:br/>
        <w:t xml:space="preserve">-Special Education / IDEA Part B 619 </w:t>
      </w:r>
      <w:r w:rsidRPr="00ED172B">
        <w:rPr>
          <w:color w:val="000000" w:themeColor="text1"/>
        </w:rPr>
        <w:br/>
        <w:t>-State Legislators</w:t>
      </w:r>
      <w:r w:rsidRPr="00ED172B">
        <w:rPr>
          <w:color w:val="000000" w:themeColor="text1"/>
        </w:rPr>
        <w:br/>
      </w:r>
      <w:r w:rsidRPr="00ED172B">
        <w:rPr>
          <w:color w:val="000000" w:themeColor="text1"/>
        </w:rPr>
        <w:lastRenderedPageBreak/>
        <w:br/>
        <w:t>2. Regional Grantee Administrators (Directors of Special Education) for nine Regional Grantees; weekly and monthly meetings.</w:t>
      </w:r>
      <w:r w:rsidRPr="00ED172B">
        <w:rPr>
          <w:color w:val="000000" w:themeColor="text1"/>
        </w:rPr>
        <w:br/>
      </w:r>
      <w:r w:rsidRPr="00ED172B">
        <w:rPr>
          <w:color w:val="000000" w:themeColor="text1"/>
        </w:rPr>
        <w:br/>
        <w:t>3. Early ACCESS Grantee Leadership Team; five meetings held annually</w:t>
      </w:r>
      <w:r w:rsidRPr="00ED172B">
        <w:rPr>
          <w:color w:val="000000" w:themeColor="text1"/>
        </w:rPr>
        <w:br/>
        <w:t>-Regional Grantee Administration</w:t>
      </w:r>
      <w:r w:rsidRPr="00ED172B">
        <w:rPr>
          <w:color w:val="000000" w:themeColor="text1"/>
        </w:rPr>
        <w:br/>
        <w:t>-Regional Grantees</w:t>
      </w:r>
      <w:r w:rsidRPr="00ED172B">
        <w:rPr>
          <w:color w:val="000000" w:themeColor="text1"/>
        </w:rPr>
        <w:br/>
        <w:t>-Signatory Agencies</w:t>
      </w:r>
      <w:r w:rsidRPr="00ED172B">
        <w:rPr>
          <w:color w:val="000000" w:themeColor="text1"/>
        </w:rPr>
        <w:br/>
        <w:t>-Specialized Lead Consultants</w:t>
      </w:r>
      <w:r w:rsidRPr="00ED172B">
        <w:rPr>
          <w:color w:val="000000" w:themeColor="text1"/>
        </w:rPr>
        <w:br/>
      </w:r>
      <w:r w:rsidRPr="00ED172B">
        <w:rPr>
          <w:color w:val="000000" w:themeColor="text1"/>
        </w:rPr>
        <w:br/>
        <w:t>4. Early ACCESS SSIP (C11) Team; held every 2 months</w:t>
      </w:r>
      <w:r w:rsidRPr="00ED172B">
        <w:rPr>
          <w:color w:val="000000" w:themeColor="text1"/>
        </w:rPr>
        <w:br/>
        <w:t xml:space="preserve">-EA CSPD </w:t>
      </w:r>
      <w:r w:rsidRPr="00ED172B">
        <w:rPr>
          <w:color w:val="000000" w:themeColor="text1"/>
        </w:rPr>
        <w:br/>
        <w:t>-Lead Agency EA Leadership</w:t>
      </w:r>
      <w:r w:rsidRPr="00ED172B">
        <w:rPr>
          <w:color w:val="000000" w:themeColor="text1"/>
        </w:rPr>
        <w:br/>
        <w:t>-Regional Grantee Administration</w:t>
      </w:r>
      <w:r w:rsidRPr="00ED172B">
        <w:rPr>
          <w:color w:val="000000" w:themeColor="text1"/>
        </w:rPr>
        <w:br/>
      </w:r>
      <w:r w:rsidRPr="00ED172B">
        <w:rPr>
          <w:color w:val="000000" w:themeColor="text1"/>
        </w:rPr>
        <w:br/>
        <w:t>5. Early ACCESS Ad Hoc Task Teams; as needed</w:t>
      </w:r>
      <w:r w:rsidRPr="00ED172B">
        <w:rPr>
          <w:color w:val="000000" w:themeColor="text1"/>
        </w:rPr>
        <w:br/>
      </w:r>
      <w:r w:rsidRPr="00ED172B">
        <w:rPr>
          <w:color w:val="000000" w:themeColor="text1"/>
        </w:rPr>
        <w:br/>
        <w:t xml:space="preserve">In addition to the review of APR indicator data, stakeholders and EA regional and state-level implementation teams routinely review data related to the ongoing implementation and continuous improvement of the IDEA Part C State Systemic Improvement Plan (SSIP), or indicator C11. Data related to the SSIP </w:t>
      </w:r>
      <w:proofErr w:type="gramStart"/>
      <w:r w:rsidRPr="00ED172B">
        <w:rPr>
          <w:color w:val="000000" w:themeColor="text1"/>
        </w:rPr>
        <w:t>includes:</w:t>
      </w:r>
      <w:proofErr w:type="gramEnd"/>
      <w:r w:rsidRPr="00ED172B">
        <w:rPr>
          <w:color w:val="000000" w:themeColor="text1"/>
        </w:rPr>
        <w:t xml:space="preserve"> services provided; frequency and intensity of services; disaggregated early childhood outcomes data; and family outcome data. Stakeholders provide input and decisions at scheduled meetings throughout the year as well as between meetings when a need for input is identified.</w:t>
      </w:r>
      <w:r w:rsidRPr="00ED172B">
        <w:rPr>
          <w:color w:val="000000" w:themeColor="text1"/>
        </w:rPr>
        <w:br/>
      </w:r>
      <w:r w:rsidRPr="00ED172B">
        <w:rPr>
          <w:color w:val="000000" w:themeColor="text1"/>
        </w:rPr>
        <w:br/>
        <w:t>More recently, members of the EA State Team have convened ad hoc meetings with Regional Grantee Administrators to specifically review data and reporting details. These will contribute to a revised consolidated report for general supervision activities to be submitted and reviewed by the Lead Agency and EA State Team annually, at minimum.</w:t>
      </w:r>
      <w:r w:rsidRPr="00ED172B">
        <w:rPr>
          <w:color w:val="000000" w:themeColor="text1"/>
        </w:rPr>
        <w:br/>
      </w:r>
      <w:r w:rsidRPr="00ED172B">
        <w:rPr>
          <w:color w:val="000000" w:themeColor="text1"/>
        </w:rPr>
        <w:br/>
        <w:t>The data are used to inform decisions about personnel development related to the use of evidence-based practices as well as addressing barriers for successful implementation.</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2,722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110,646</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2,722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110,646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2.15%</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2.46%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2.46%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87.00%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99.49%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99.56%</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99.13%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99.18%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99.52%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2,295</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2,928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99.52%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99.11%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607</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Regional grantees provided reasons for delay related to family cancellations, staff schedules, agency closure for holidays, and staff illness.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The data was selected from the full reporting period.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Data for this indicator were taken from Iowa's data systems, Legacy and ACHIEVE, for the current full reporting period and reflect all infants and toddlers evaluated and assessed for whom an initial IFSP was required to be conducted. No sampling was used. The monitoring cycle occurs annually with all Regional Grantees. The lead agency conducted the reviews using an Excel data collection form. Data are based on the actual number of days, not the average, between the date of referral and date of the initial IFSP meeting. </w:t>
      </w:r>
      <w:r w:rsidRPr="00ED172B">
        <w:rPr>
          <w:rFonts w:cs="Arial"/>
          <w:color w:val="000000" w:themeColor="text1"/>
          <w:szCs w:val="16"/>
        </w:rPr>
        <w:br/>
      </w:r>
      <w:r w:rsidRPr="00ED172B">
        <w:rPr>
          <w:rFonts w:cs="Arial"/>
          <w:color w:val="000000" w:themeColor="text1"/>
          <w:szCs w:val="16"/>
        </w:rPr>
        <w:br/>
        <w:t>Iowa has reported separately the number of documented delays attributable to exceptional family circumstances in the appropriate field above.</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The State uses data from Iowa's data systems, Legacy and ACHIEVE, designed to track Early ACCESS IDEA Part C referrals, evaluations, and the extent to which </w:t>
      </w:r>
      <w:proofErr w:type="gramStart"/>
      <w:r w:rsidRPr="00ED172B">
        <w:rPr>
          <w:rFonts w:cs="Arial"/>
          <w:color w:val="000000" w:themeColor="text1"/>
          <w:szCs w:val="16"/>
        </w:rPr>
        <w:t>45 day</w:t>
      </w:r>
      <w:proofErr w:type="gramEnd"/>
      <w:r w:rsidRPr="00ED172B">
        <w:rPr>
          <w:rFonts w:cs="Arial"/>
          <w:color w:val="000000" w:themeColor="text1"/>
          <w:szCs w:val="16"/>
        </w:rPr>
        <w:t xml:space="preserve"> timelines are being met for conducting an initial evaluation and assessment and having an initial IFSP meeting. Five Regional Grantees (AEAs) did not meet the 100% target in FFY 2020 and were notified of findings of noncompliance. The Regional Grantees were required to analyze root causes and correct each case of noncompliance, unless the child was no longer within the jurisdiction of the Early ACCESS system, as soon as possible and no later than one year from the date of notification of noncompliance. The corrective actions were completed, followed by verification by the lead agency.</w:t>
      </w:r>
      <w:r w:rsidRPr="00ED172B">
        <w:rPr>
          <w:rFonts w:cs="Arial"/>
          <w:color w:val="000000" w:themeColor="text1"/>
          <w:szCs w:val="16"/>
        </w:rPr>
        <w:br/>
      </w:r>
      <w:r w:rsidRPr="00ED172B">
        <w:rPr>
          <w:rFonts w:cs="Arial"/>
          <w:color w:val="000000" w:themeColor="text1"/>
          <w:szCs w:val="16"/>
        </w:rPr>
        <w:br/>
        <w:t xml:space="preserve">The Regional Grantees made corrections with the </w:t>
      </w:r>
      <w:proofErr w:type="gramStart"/>
      <w:r w:rsidRPr="00ED172B">
        <w:rPr>
          <w:rFonts w:cs="Arial"/>
          <w:color w:val="000000" w:themeColor="text1"/>
          <w:szCs w:val="16"/>
        </w:rPr>
        <w:t>365 day</w:t>
      </w:r>
      <w:proofErr w:type="gramEnd"/>
      <w:r w:rsidRPr="00ED172B">
        <w:rPr>
          <w:rFonts w:cs="Arial"/>
          <w:color w:val="000000" w:themeColor="text1"/>
          <w:szCs w:val="16"/>
        </w:rPr>
        <w:t xml:space="preserve"> timeline (including the State's verification of correction) and met requirements for timely correction. The lead agency quality assurance/monitoring consultant was responsible for verifying timely correction. In each region with findings of noncompliance, after technical assistance and corrective activities occurred, a follow-up review of data from five IFSPs with dates subsequent to the corrective activities was conducted. All five Regional Grantees demonstrated implementation of the requirement with 100% compliance through additional data review by the lead agency. </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During FFY 2020, 14 instances of noncompliance were identified within five Regional Grantees. The lead agency notified each Regional Grantee of the noncompliance and verified the individual cases were corrected by (a) verifying evaluations were eventually conducted and the initial IFSP meetings were held even though the timeline was not met unless the child was no longer within the jurisdiction of the Early ACCESS program, and (b) verifying each Regional Grantee performing below 100 percent compliance during the prior reporting period is correctly implementing requirements.</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32</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32</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2018</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During FFY18, six Regional Grantees (AEAs) did not meet the 100% target in FFY18 and were notified of findings of noncompliance. All six Regions made corrections within the </w:t>
      </w:r>
      <w:proofErr w:type="gramStart"/>
      <w:r w:rsidRPr="00ED172B">
        <w:rPr>
          <w:color w:val="000000" w:themeColor="text1"/>
        </w:rPr>
        <w:t>365 day</w:t>
      </w:r>
      <w:proofErr w:type="gramEnd"/>
      <w:r w:rsidRPr="00ED172B">
        <w:rPr>
          <w:color w:val="000000" w:themeColor="text1"/>
        </w:rPr>
        <w:t xml:space="preserve"> timeline (including the State's verification of correction) and met requirements for timely correction. The lead agency quality assurance/monitoring consultant was responsible for verifying timely correction. In each of the six Regions with findings of noncompliance, after technical assistance and corrective activities occurred, a follow-up review of data from five IFSPs with dates subsequent to the corrective activities was conducted. All six Regional Grantees demonstrated implementation of the requirement with 100% compliance through additional data review by the lead agency.</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During FFY18, 32 instances of noncompliance were identified within six Regional Grantees. The lead agency notified each Regional Grantee of the noncompliance and verified through record reviews and documentation the individual cases were corrected by (a) verifying evaluations were eventually conducted and initial IFSP meetings were held even though the timeline was not met unless the child was no longer within the jurisdiction of the EIS program, and (b) verifying each Regional Grantee performing below 100 percent compliance during the prior reporting period is correctly implementing requirements.</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32 uncorrected findings of </w:t>
      </w:r>
      <w:r w:rsidRPr="00ED172B">
        <w:rPr>
          <w:color w:val="000000" w:themeColor="text1"/>
        </w:rPr>
        <w:lastRenderedPageBreak/>
        <w:t xml:space="preserve">noncompliance identified in FFY 2018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Response to actions required in FFY 2019 SPP/APR</w:t>
      </w:r>
      <w:r w:rsidRPr="00ED172B">
        <w:rPr>
          <w:color w:val="000000" w:themeColor="text1"/>
        </w:rPr>
        <w:br/>
        <w:t xml:space="preserve">The State verified the 32 uncorrected findings of noncompliance identified in FFY 2018 were corrected by notifying each Regional Grantee of the noncompliance and verifying through record reviews and documentation for each individual case of noncompliance, initial evaluations and IFSP meetings were eventually held unless the child was no longer within the jurisdiction of the Early ACCESS program. </w:t>
      </w:r>
      <w:r w:rsidRPr="00ED172B">
        <w:rPr>
          <w:color w:val="000000" w:themeColor="text1"/>
        </w:rPr>
        <w:br/>
      </w:r>
      <w:r w:rsidRPr="00ED172B">
        <w:rPr>
          <w:color w:val="000000" w:themeColor="text1"/>
        </w:rPr>
        <w:br/>
        <w:t>Additionally, the State verified each Regional Grantee is correctly implementing the regulatory requirements by conducting a follow-up review of data from the Legacy and ACHIEVE systems for each of the five Regional Grantees which did not meet 100% compliance for timely evaluations and initial IFSP meetings. Each Regional Grantee demonstrated implementation of the requirement with 100% compliance as verified by the Lead Agency.</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87.00%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98.01%</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96.78%</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98.40%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98.29%</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98.61%</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672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748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98.61%</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98.66%</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66</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Delays were due to Regional Grantee staff illness, leave of absence, and difficulty with schedules.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Data were obtained from files of children exiting Early ACCESS, IDEA Part C, at the age of three. The monitoring cycle occurs annually with all Regional Grantees. A random sample of children exiting Early ACCESS, IDEA Part C, at age three was created using a confidence level of 95% with a +/- 10% margin of error for each Regional Grantee. State staff conducted IFSP file reviews and then desk audits were completed by the lead agency quality assurance/monitoring consultant.</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Three Regional Grantees (AEAs) did not meet the 100% target in FFY20 and were notified of findings of noncompliance. All three regions made corrections within the </w:t>
      </w:r>
      <w:proofErr w:type="gramStart"/>
      <w:r w:rsidRPr="00ED172B">
        <w:rPr>
          <w:color w:val="000000" w:themeColor="text1"/>
        </w:rPr>
        <w:t>365 day</w:t>
      </w:r>
      <w:proofErr w:type="gramEnd"/>
      <w:r w:rsidRPr="00ED172B">
        <w:rPr>
          <w:color w:val="000000" w:themeColor="text1"/>
        </w:rPr>
        <w:t xml:space="preserve"> timeline (including the State's verification of correction) and met requirements for timely correction. The lead agency quality assurance/monitoring consultant was responsible for verifying timely correction. In each of the four regions with findings of noncompliance, after technical assistance and corrective activities occurred, a follow-up review of data from five IFSPs with dates subsequent to the corrective activities was conducted. All three Regional Grantees demonstrated implementation of the requirement with 100% compliance through additional data review by the lead agency. </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During FFY20, 11 instances of noncompliance were identified within three Regional Grantees. The lead agency notified each Regional Grantee of the noncompliance and verified through record reviews and documentation the individual cases were corrected by (a) verifying transition steps and services occurred even though the timeline was not met unless the child was no longer within the jurisdiction of the Early ACCESS program, and (b) verifying each Regional Grantee performing below 100 percent compliance during the prior reporting period is correctly implementing requirements.</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w:t>
      </w:r>
      <w:r w:rsidRPr="00ED172B">
        <w:rPr>
          <w:color w:val="000000" w:themeColor="text1"/>
        </w:rPr>
        <w:lastRenderedPageBreak/>
        <w:t xml:space="preserve">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96.00%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454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454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Not applicable.</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Data were obtained from files of children exiting Early ACCESS, IDEA Part C, and potentially eligible for Special Education, IDEA Part B. The monitoring cycle occurs annually with all Regional Grantees. A random sample of children exiting Early ACCESS, IDEA Part C, was created using a confidence level of 95% with a +/- 10% margin of error for each Regional Grantee. State staff conducted IFSP file reviews and then desk audits were completed by the lead agency monitoring consultant. Regional Grantees receive notification of noncompliant </w:t>
      </w:r>
      <w:proofErr w:type="gramStart"/>
      <w:r w:rsidRPr="00ED172B">
        <w:rPr>
          <w:color w:val="000000" w:themeColor="text1"/>
          <w:szCs w:val="16"/>
        </w:rPr>
        <w:t>data</w:t>
      </w:r>
      <w:proofErr w:type="gramEnd"/>
      <w:r w:rsidRPr="00ED172B">
        <w:rPr>
          <w:color w:val="000000" w:themeColor="text1"/>
          <w:szCs w:val="16"/>
        </w:rPr>
        <w:t xml:space="preserve"> and any correction of noncompliant data is recorded.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nine Regional Grantees in the state were selected for monitoring as part of the Early ACCESS, IDEA Part C, statewide file review process. Data were obtained from files of children exiting Early ACCESS, IDEA Part C, and potentially eligible for Special Education, IDEA Part B. The monitoring cycle occurs annually with all Regional Grantees. A random sample of children exiting Early ACCESS, IDEA Part C, was created using a confidence level of 95% with a +/- 10% margin of error for each Regional Grantee. State staff conducted IFSP file reviews and then desk audits were completed by the lead agency monitoring consultant.</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98.19%</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98.14%</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98.58%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98.43%</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99.20%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413</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454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99.20%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99.12%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37</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Regional grantees provided reasons for delay related to staff schedules, agency closure for holidays, and staff illness.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Data were obtained from files of children exiting Early ACCESS, IDEA Part C, and potentially eligible for Special Education, IDEA Part B. The monitoring cycle occurs annually with all Regional Grantees. A random sample of children exiting Early ACCESS, IDEA Part C, was created using a confidence level of 95% with a +/- 10% margin of error for each Regional Grantee. State staff conducted IFSP file reviews and then desk audits were completed by the lead agency quality assurance/monitoring consultant </w:t>
      </w:r>
      <w:proofErr w:type="spellStart"/>
      <w:r w:rsidRPr="00ED172B">
        <w:rPr>
          <w:color w:val="000000" w:themeColor="text1"/>
        </w:rPr>
        <w:t>consultant</w:t>
      </w:r>
      <w:proofErr w:type="spellEnd"/>
      <w:r w:rsidRPr="00ED172B">
        <w:rPr>
          <w:color w:val="000000" w:themeColor="text1"/>
        </w:rPr>
        <w:t>. Regional Grantees receive notification of noncompliant data and correction for noncompliance is recorded.</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Two Regional Grantees (AEAs) did not meet the 100% target in FFY20 and were notified of findings of noncompliance. Both Regions made corrections within the </w:t>
      </w:r>
      <w:proofErr w:type="gramStart"/>
      <w:r w:rsidRPr="00ED172B">
        <w:rPr>
          <w:color w:val="000000" w:themeColor="text1"/>
        </w:rPr>
        <w:t>365 day</w:t>
      </w:r>
      <w:proofErr w:type="gramEnd"/>
      <w:r w:rsidRPr="00ED172B">
        <w:rPr>
          <w:color w:val="000000" w:themeColor="text1"/>
        </w:rPr>
        <w:t xml:space="preserve"> timeline (including the State's verification of correction) and met requirements for timely correction. The lead agency quality assurance/monitoring consultant was responsible for verifying timely correction. In each of the Regions with findings of noncompliance, after technical assistance and corrective activities occurred, a follow-up review of data from five IFSPs with dates subsequent to the corrective activities was conducted. All Regional Grantees demonstrated implementation of the requirement with 100% compliance through additional data review by the lead agency.</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During FFY20, 4 instances of noncompliance were identified within two Regional Grantees. The lead agency notified each Regional Grantee of the noncompliance and verified through record reviews and documentation the individual cases were corrected by (a) verifying a transition conference did occur, even though the timeline was not met, unless the child was no longer within the jurisdiction of the Early ACCESS program, and (b) verifying each Regional Grantee performing below 100 percent compliance during the prior reporting period is correctly implementing requirements.</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2021-22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11/02/2022</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The State’s Interagency Coordinating Council (SICC) or Iowa Council for Early ACCESS (ICEA), Regional Grantee Administrators, Early ACCESS (EA) Grantee Leadership Team, Early ACCESS SSIP Team, and Early ACCESS ad hoc task teams provide stakeholder input on SPP/APR indicators, SSIP development and implementation, and IDEA reporting requirements. The Early ACCESS facilitator ensures that the composition of the ICEA meets the Iowa Administrative Rules for Early ACCESS. Regional Grantee administrators include the special education directors from each of Iowa’s nine area education agencies (AEA). The EA Grantee Leadership Team represents approximately 30 members from each of the following: Lead Agency, signatory agencies; Regional Grantees; and Iowa Educational Services for the Blind and Visually Impaired.</w:t>
      </w:r>
      <w:r w:rsidRPr="00ED172B">
        <w:rPr>
          <w:color w:val="000000" w:themeColor="text1"/>
        </w:rPr>
        <w:br/>
      </w:r>
      <w:r w:rsidRPr="00ED172B">
        <w:rPr>
          <w:color w:val="000000" w:themeColor="text1"/>
        </w:rPr>
        <w:br/>
        <w:t>A five-step process was used by the EA State Team with each stakeholder group to review and discuss data and provide input for the FFY 2021 APR:</w:t>
      </w:r>
      <w:r w:rsidRPr="00ED172B">
        <w:rPr>
          <w:color w:val="000000" w:themeColor="text1"/>
        </w:rPr>
        <w:br/>
        <w:t>1. The importance of stakeholder input regarding the EA system is reviewed. This includes ensuring stakeholder feedback is reported in the APR and used for improvement activities.</w:t>
      </w:r>
      <w:r w:rsidRPr="00ED172B">
        <w:rPr>
          <w:color w:val="000000" w:themeColor="text1"/>
        </w:rPr>
        <w:br/>
        <w:t>2. Stakeholders are provided baseline, target, and trend data for each compliance and performance indicator.</w:t>
      </w:r>
      <w:r w:rsidRPr="00ED172B">
        <w:rPr>
          <w:color w:val="000000" w:themeColor="text1"/>
        </w:rPr>
        <w:br/>
        <w:t xml:space="preserve">3. Members work in small and large groups to analyze data and draw conclusions. </w:t>
      </w:r>
      <w:r w:rsidRPr="00ED172B">
        <w:rPr>
          <w:color w:val="000000" w:themeColor="text1"/>
        </w:rPr>
        <w:br/>
        <w:t>4. A question-and-answer period occurs to clarify data questions and concepts. The EA State Team facilitates discussion and answers questions.</w:t>
      </w:r>
      <w:r w:rsidRPr="00ED172B">
        <w:rPr>
          <w:color w:val="000000" w:themeColor="text1"/>
        </w:rPr>
        <w:br/>
        <w:t>5. Conclusions and comments regarding targets, progress or slippage of meeting targets, root causes, and improvement activities are shared and agreed upon (indicating consensus).</w:t>
      </w:r>
      <w:r w:rsidRPr="00ED172B">
        <w:rPr>
          <w:color w:val="000000" w:themeColor="text1"/>
        </w:rPr>
        <w:br/>
      </w:r>
      <w:r w:rsidRPr="00ED172B">
        <w:rPr>
          <w:color w:val="000000" w:themeColor="text1"/>
        </w:rPr>
        <w:br/>
        <w:t>Discussion notes, comments, and analysis conclusions are documented and provided to EA and Lead Agency staff to include in the APR for each indicator where appropriate. Questions requiring additional data are collected for the APR. The EA State Team is responsible for obtaining additional information and data for deeper analysis and discussion at subsequent meetings.</w:t>
      </w:r>
      <w:r w:rsidRPr="00ED172B">
        <w:rPr>
          <w:color w:val="000000" w:themeColor="text1"/>
        </w:rPr>
        <w:br/>
      </w:r>
      <w:r w:rsidRPr="00ED172B">
        <w:rPr>
          <w:color w:val="000000" w:themeColor="text1"/>
        </w:rPr>
        <w:br/>
        <w:t xml:space="preserve">The specific stakeholder groups regularly engage in topics of IDEA Part C implementation and evaluation including an annual review of Iowa’s IDEA Part C Annual Performance Report. These groups and other stakeholders have been involved in activities specific to the development of the FFY 2021 APR. </w:t>
      </w:r>
      <w:r w:rsidRPr="00ED172B">
        <w:rPr>
          <w:color w:val="000000" w:themeColor="text1"/>
        </w:rPr>
        <w:br/>
      </w:r>
      <w:r w:rsidRPr="00ED172B">
        <w:rPr>
          <w:color w:val="000000" w:themeColor="text1"/>
        </w:rPr>
        <w:br/>
        <w:t xml:space="preserve">1. State Interagency Coordinating Council (Iowa Council for Early ACCESS); five meetings held annually </w:t>
      </w:r>
      <w:r w:rsidRPr="00ED172B">
        <w:rPr>
          <w:color w:val="000000" w:themeColor="text1"/>
        </w:rPr>
        <w:br/>
        <w:t>-Early ACCESS Service Providers</w:t>
      </w:r>
      <w:r w:rsidRPr="00ED172B">
        <w:rPr>
          <w:color w:val="000000" w:themeColor="text1"/>
        </w:rPr>
        <w:br/>
        <w:t>-Early ACCESS Signatory Agencies (Departments of Health, Human Services, and Iowa Child Health Specialty Clinics)</w:t>
      </w:r>
      <w:r w:rsidRPr="00ED172B">
        <w:rPr>
          <w:color w:val="000000" w:themeColor="text1"/>
        </w:rPr>
        <w:br/>
        <w:t xml:space="preserve">-Early Head Start / Head Start </w:t>
      </w:r>
      <w:r w:rsidRPr="00ED172B">
        <w:rPr>
          <w:color w:val="000000" w:themeColor="text1"/>
        </w:rPr>
        <w:br/>
        <w:t>-Iowa IDEA Part C Lead Agency (Department of Education)</w:t>
      </w:r>
      <w:r w:rsidRPr="00ED172B">
        <w:rPr>
          <w:color w:val="000000" w:themeColor="text1"/>
        </w:rPr>
        <w:br/>
        <w:t>-Medical / Health Care Providers</w:t>
      </w:r>
      <w:r w:rsidRPr="00ED172B">
        <w:rPr>
          <w:color w:val="000000" w:themeColor="text1"/>
        </w:rPr>
        <w:br/>
      </w:r>
      <w:r w:rsidRPr="00ED172B">
        <w:rPr>
          <w:color w:val="000000" w:themeColor="text1"/>
        </w:rPr>
        <w:lastRenderedPageBreak/>
        <w:t>-Mental Health Providers</w:t>
      </w:r>
      <w:r w:rsidRPr="00ED172B">
        <w:rPr>
          <w:color w:val="000000" w:themeColor="text1"/>
        </w:rPr>
        <w:br/>
        <w:t>-Parent Training and Information Center</w:t>
      </w:r>
      <w:r w:rsidRPr="00ED172B">
        <w:rPr>
          <w:color w:val="000000" w:themeColor="text1"/>
        </w:rPr>
        <w:br/>
        <w:t>-Parents of Children with Disabilities</w:t>
      </w:r>
      <w:r w:rsidRPr="00ED172B">
        <w:rPr>
          <w:color w:val="000000" w:themeColor="text1"/>
        </w:rPr>
        <w:br/>
        <w:t>-Personnel Preparation / Institutes of Higher Education</w:t>
      </w:r>
      <w:r w:rsidRPr="00ED172B">
        <w:rPr>
          <w:color w:val="000000" w:themeColor="text1"/>
        </w:rPr>
        <w:br/>
        <w:t>-Private Health Insurance / Insurance Commission</w:t>
      </w:r>
      <w:r w:rsidRPr="00ED172B">
        <w:rPr>
          <w:color w:val="000000" w:themeColor="text1"/>
        </w:rPr>
        <w:br/>
        <w:t xml:space="preserve">-Special Education / IDEA Part B 619 </w:t>
      </w:r>
      <w:r w:rsidRPr="00ED172B">
        <w:rPr>
          <w:color w:val="000000" w:themeColor="text1"/>
        </w:rPr>
        <w:br/>
        <w:t>-State Legislators</w:t>
      </w:r>
      <w:r w:rsidRPr="00ED172B">
        <w:rPr>
          <w:color w:val="000000" w:themeColor="text1"/>
        </w:rPr>
        <w:br/>
      </w:r>
      <w:r w:rsidRPr="00ED172B">
        <w:rPr>
          <w:color w:val="000000" w:themeColor="text1"/>
        </w:rPr>
        <w:br/>
        <w:t>2. Regional Grantee Administrators (Directors of Special Education) for nine Regional Grantees; weekly and monthly meetings.</w:t>
      </w:r>
      <w:r w:rsidRPr="00ED172B">
        <w:rPr>
          <w:color w:val="000000" w:themeColor="text1"/>
        </w:rPr>
        <w:br/>
      </w:r>
      <w:r w:rsidRPr="00ED172B">
        <w:rPr>
          <w:color w:val="000000" w:themeColor="text1"/>
        </w:rPr>
        <w:br/>
        <w:t>3. Early ACCESS Grantee Leadership Team; five meetings held annually</w:t>
      </w:r>
      <w:r w:rsidRPr="00ED172B">
        <w:rPr>
          <w:color w:val="000000" w:themeColor="text1"/>
        </w:rPr>
        <w:br/>
        <w:t>-Regional Grantee Administration</w:t>
      </w:r>
      <w:r w:rsidRPr="00ED172B">
        <w:rPr>
          <w:color w:val="000000" w:themeColor="text1"/>
        </w:rPr>
        <w:br/>
        <w:t>-Regional Grantees</w:t>
      </w:r>
      <w:r w:rsidRPr="00ED172B">
        <w:rPr>
          <w:color w:val="000000" w:themeColor="text1"/>
        </w:rPr>
        <w:br/>
        <w:t>-Signatory Agencies</w:t>
      </w:r>
      <w:r w:rsidRPr="00ED172B">
        <w:rPr>
          <w:color w:val="000000" w:themeColor="text1"/>
        </w:rPr>
        <w:br/>
        <w:t>-Specialized Lead Consultants</w:t>
      </w:r>
      <w:r w:rsidRPr="00ED172B">
        <w:rPr>
          <w:color w:val="000000" w:themeColor="text1"/>
        </w:rPr>
        <w:br/>
      </w:r>
      <w:r w:rsidRPr="00ED172B">
        <w:rPr>
          <w:color w:val="000000" w:themeColor="text1"/>
        </w:rPr>
        <w:br/>
        <w:t>4. Early ACCESS SSIP (C11) Team; held every 2 months</w:t>
      </w:r>
      <w:r w:rsidRPr="00ED172B">
        <w:rPr>
          <w:color w:val="000000" w:themeColor="text1"/>
        </w:rPr>
        <w:br/>
        <w:t xml:space="preserve">-EA CSPD </w:t>
      </w:r>
      <w:r w:rsidRPr="00ED172B">
        <w:rPr>
          <w:color w:val="000000" w:themeColor="text1"/>
        </w:rPr>
        <w:br/>
        <w:t>-Lead Agency EA Leadership</w:t>
      </w:r>
      <w:r w:rsidRPr="00ED172B">
        <w:rPr>
          <w:color w:val="000000" w:themeColor="text1"/>
        </w:rPr>
        <w:br/>
        <w:t>-Regional Grantee Administration</w:t>
      </w:r>
      <w:r w:rsidRPr="00ED172B">
        <w:rPr>
          <w:color w:val="000000" w:themeColor="text1"/>
        </w:rPr>
        <w:br/>
      </w:r>
      <w:r w:rsidRPr="00ED172B">
        <w:rPr>
          <w:color w:val="000000" w:themeColor="text1"/>
        </w:rPr>
        <w:br/>
        <w:t>5. Early ACCESS Ad Hoc Task Teams; as needed</w:t>
      </w:r>
      <w:r w:rsidRPr="00ED172B">
        <w:rPr>
          <w:color w:val="000000" w:themeColor="text1"/>
        </w:rPr>
        <w:br/>
      </w:r>
      <w:r w:rsidRPr="00ED172B">
        <w:rPr>
          <w:color w:val="000000" w:themeColor="text1"/>
        </w:rPr>
        <w:br/>
        <w:t xml:space="preserve">In addition to the review of APR indicator data, stakeholders and EA regional and state-level implementation teams routinely review data related to the ongoing implementation and continuous improvement of the IDEA Part C State Systemic Improvement Plan (SSIP), or indicator C11. Data related to the SSIP </w:t>
      </w:r>
      <w:proofErr w:type="gramStart"/>
      <w:r w:rsidRPr="00ED172B">
        <w:rPr>
          <w:color w:val="000000" w:themeColor="text1"/>
        </w:rPr>
        <w:t>includes:</w:t>
      </w:r>
      <w:proofErr w:type="gramEnd"/>
      <w:r w:rsidRPr="00ED172B">
        <w:rPr>
          <w:color w:val="000000" w:themeColor="text1"/>
        </w:rPr>
        <w:t xml:space="preserve"> services provided; frequency and intensity of services; disaggregated early childhood outcomes data; and family outcome data. Stakeholders provide input and decisions at scheduled meetings throughout the year as well as between meetings when a need for input is identified.</w:t>
      </w:r>
      <w:r w:rsidRPr="00ED172B">
        <w:rPr>
          <w:color w:val="000000" w:themeColor="text1"/>
        </w:rPr>
        <w:br/>
      </w:r>
      <w:r w:rsidRPr="00ED172B">
        <w:rPr>
          <w:color w:val="000000" w:themeColor="text1"/>
        </w:rPr>
        <w:br/>
        <w:t>More recently, members of the EA State Team have convened ad hoc meetings with Regional Grantee Administrators to specifically review data and reporting details. These will contribute to a revised consolidated report for general supervision activities to be submitted and reviewed by the Lead Agency and EA State Team annually, at minimum.</w:t>
      </w:r>
      <w:r w:rsidRPr="00ED172B">
        <w:rPr>
          <w:color w:val="000000" w:themeColor="text1"/>
        </w:rPr>
        <w:br/>
      </w:r>
      <w:r w:rsidRPr="00ED172B">
        <w:rPr>
          <w:color w:val="000000" w:themeColor="text1"/>
        </w:rPr>
        <w:br/>
        <w:t>The data are used to inform decisions about personnel development related to the use of evidence-based practices as well as addressing barriers for successful implementation.</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555"/>
        <w:gridCol w:w="1664"/>
        <w:gridCol w:w="1664"/>
        <w:gridCol w:w="1664"/>
        <w:gridCol w:w="1664"/>
      </w:tblGrid>
      <w:tr w:rsidR="009E2382" w:rsidRPr="00ED172B" w14:paraId="1D0639C9" w14:textId="3417AA8E" w:rsidTr="006B0ACA">
        <w:trPr>
          <w:trHeight w:val="306"/>
        </w:trPr>
        <w:tc>
          <w:tcPr>
            <w:tcW w:w="339" w:type="pct"/>
            <w:tcBorders>
              <w:bottom w:val="single" w:sz="4" w:space="0" w:color="auto"/>
            </w:tcBorders>
            <w:shd w:val="clear" w:color="auto" w:fill="auto"/>
            <w:vAlign w:val="center"/>
          </w:tcPr>
          <w:p w14:paraId="0C0ADAF4"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177E68DB" w14:textId="36EAF4BA" w:rsidR="009E2382" w:rsidRPr="00ED172B" w:rsidRDefault="009E2382" w:rsidP="00C375EA">
            <w:pPr>
              <w:jc w:val="center"/>
              <w:rPr>
                <w:b/>
                <w:color w:val="000000" w:themeColor="text1"/>
              </w:rPr>
            </w:pPr>
            <w:r w:rsidRPr="00ED172B">
              <w:rPr>
                <w:b/>
                <w:color w:val="000000" w:themeColor="text1"/>
              </w:rPr>
              <w:t>2021</w:t>
            </w:r>
          </w:p>
        </w:tc>
        <w:tc>
          <w:tcPr>
            <w:tcW w:w="944" w:type="pct"/>
          </w:tcPr>
          <w:p w14:paraId="0AF6E35B" w14:textId="51849C6B"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C7CBE66" w14:textId="677190A8"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18A12C91" w14:textId="0AC76A6E"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7A378486" w14:textId="1F4AB8EF"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636215D6" w14:textId="4BA04A28" w:rsidTr="006B0ACA">
        <w:trPr>
          <w:trHeight w:val="312"/>
        </w:trPr>
        <w:tc>
          <w:tcPr>
            <w:tcW w:w="339" w:type="pct"/>
            <w:shd w:val="clear" w:color="auto" w:fill="auto"/>
          </w:tcPr>
          <w:p w14:paraId="12E3864D" w14:textId="15C14C1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3DA3E6E1" w14:textId="3EEF45C3" w:rsidR="009E2382" w:rsidRPr="00ED172B" w:rsidRDefault="009E2382" w:rsidP="00C375EA">
            <w:pPr>
              <w:jc w:val="center"/>
              <w:rPr>
                <w:color w:val="000000" w:themeColor="text1"/>
              </w:rPr>
            </w:pPr>
          </w:p>
        </w:tc>
        <w:tc>
          <w:tcPr>
            <w:tcW w:w="944" w:type="pct"/>
          </w:tcPr>
          <w:p w14:paraId="5F49CD7A" w14:textId="5AFE9567" w:rsidR="009E2382" w:rsidRPr="00ED172B" w:rsidRDefault="009E2382" w:rsidP="00C375EA">
            <w:pPr>
              <w:jc w:val="center"/>
              <w:rPr>
                <w:color w:val="000000" w:themeColor="text1"/>
              </w:rPr>
            </w:pPr>
          </w:p>
        </w:tc>
        <w:tc>
          <w:tcPr>
            <w:tcW w:w="944" w:type="pct"/>
          </w:tcPr>
          <w:p w14:paraId="2D5C9F35" w14:textId="4424DF23" w:rsidR="009E2382" w:rsidRPr="00ED172B" w:rsidRDefault="009E2382" w:rsidP="00C375EA">
            <w:pPr>
              <w:jc w:val="center"/>
              <w:rPr>
                <w:color w:val="000000" w:themeColor="text1"/>
              </w:rPr>
            </w:pPr>
          </w:p>
        </w:tc>
        <w:tc>
          <w:tcPr>
            <w:tcW w:w="944" w:type="pct"/>
          </w:tcPr>
          <w:p w14:paraId="55547E95" w14:textId="33DF8D0C" w:rsidR="009E2382" w:rsidRPr="00ED172B" w:rsidRDefault="009E2382" w:rsidP="00C375EA">
            <w:pPr>
              <w:jc w:val="center"/>
              <w:rPr>
                <w:color w:val="000000" w:themeColor="text1"/>
              </w:rPr>
            </w:pPr>
          </w:p>
        </w:tc>
        <w:tc>
          <w:tcPr>
            <w:tcW w:w="944" w:type="pct"/>
          </w:tcPr>
          <w:p w14:paraId="2588FB2A" w14:textId="24627995" w:rsidR="009E2382" w:rsidRPr="00ED172B" w:rsidRDefault="009E2382"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7380CE49" w:rsidR="0097671A" w:rsidRPr="00ED172B" w:rsidRDefault="00F22D09" w:rsidP="00B8340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2F76C3A7" w:rsidR="0097671A"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7AA31E14" w14:textId="7A3C9E54" w:rsidR="0097671A"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543" w:type="pct"/>
            <w:shd w:val="clear" w:color="auto" w:fill="auto"/>
            <w:vAlign w:val="bottom"/>
          </w:tcPr>
          <w:p w14:paraId="5EC5F1D4" w14:textId="0292F35B" w:rsidR="0097671A"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lastRenderedPageBreak/>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The State reported in its 2021-22 Section 618 IDEA Dispute Resolution data submission that it has adopted Part C procedures. However, in its SPP/APR submission, the State reported this indicator is applicable. OSEP reminds the State that this indicator is not applicable to a State that has adopted Part C due process procedures under Section 639 of the IDEA.</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7" w:name="_Hlk109646703"/>
      <w:r w:rsidRPr="00ED172B">
        <w:rPr>
          <w:color w:val="000000" w:themeColor="text1"/>
        </w:rPr>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8" w:name="_Toc382731916"/>
      <w:bookmarkStart w:id="59"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7"/>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State’s Interagency Coordinating Council (SICC) or Iowa Council for Early ACCESS (ICEA), Regional Grantee Administrators, Early ACCESS (EA) Grantee Leadership Team, Early ACCESS SSIP Team, and Early ACCESS ad hoc task teams provide stakeholder input on SPP/APR indicators, SSIP development and implementation, and IDEA reporting requirements. The Early ACCESS facilitator ensures that the composition of the ICEA meets the Iowa Administrative Rules for Early ACCESS. Regional Grantee administrators include the special education directors from each of Iowa’s nine area education agencies (AEA). The EA Grantee Leadership Team represents approximately 30 members from each of the following: Lead Agency, signatory agencies; Regional Grantees; and Iowa Educational Services for the Blind and Visually Impaired.</w:t>
      </w:r>
      <w:r w:rsidRPr="00ED172B">
        <w:rPr>
          <w:color w:val="000000" w:themeColor="text1"/>
        </w:rPr>
        <w:br/>
      </w:r>
      <w:r w:rsidRPr="00ED172B">
        <w:rPr>
          <w:color w:val="000000" w:themeColor="text1"/>
        </w:rPr>
        <w:br/>
        <w:t>A five-step process was used by the EA State Team with each stakeholder group to review and discuss data and provide input for the FFY 2021 APR:</w:t>
      </w:r>
      <w:r w:rsidRPr="00ED172B">
        <w:rPr>
          <w:color w:val="000000" w:themeColor="text1"/>
        </w:rPr>
        <w:br/>
        <w:t>1. The importance of stakeholder input regarding the EA system is reviewed. This includes ensuring stakeholder feedback is reported in the APR and used for improvement activities.</w:t>
      </w:r>
      <w:r w:rsidRPr="00ED172B">
        <w:rPr>
          <w:color w:val="000000" w:themeColor="text1"/>
        </w:rPr>
        <w:br/>
        <w:t>2. Stakeholders are provided baseline, target, and trend data for each compliance and performance indicator.</w:t>
      </w:r>
      <w:r w:rsidRPr="00ED172B">
        <w:rPr>
          <w:color w:val="000000" w:themeColor="text1"/>
        </w:rPr>
        <w:br/>
        <w:t xml:space="preserve">3. Members work in small and large groups to analyze data and draw conclusions. </w:t>
      </w:r>
      <w:r w:rsidRPr="00ED172B">
        <w:rPr>
          <w:color w:val="000000" w:themeColor="text1"/>
        </w:rPr>
        <w:br/>
        <w:t>4. A question-and-answer period occurs to clarify data questions and concepts. The EA State Team facilitates discussion and answers questions.</w:t>
      </w:r>
      <w:r w:rsidRPr="00ED172B">
        <w:rPr>
          <w:color w:val="000000" w:themeColor="text1"/>
        </w:rPr>
        <w:br/>
        <w:t>5. Conclusions and comments regarding targets, progress or slippage of meeting targets, root causes, and improvement activities are shared and agreed upon (indicating consensus).</w:t>
      </w:r>
      <w:r w:rsidRPr="00ED172B">
        <w:rPr>
          <w:color w:val="000000" w:themeColor="text1"/>
        </w:rPr>
        <w:br/>
      </w:r>
      <w:r w:rsidRPr="00ED172B">
        <w:rPr>
          <w:color w:val="000000" w:themeColor="text1"/>
        </w:rPr>
        <w:br/>
        <w:t>Discussion notes, comments, and analysis conclusions are documented and provided to EA and Lead Agency staff to include in the APR for each indicator where appropriate. Questions requiring additional data are collected for the APR. The EA State Team is responsible for obtaining additional information and data for deeper analysis and discussion at subsequent meetings.</w:t>
      </w:r>
      <w:r w:rsidRPr="00ED172B">
        <w:rPr>
          <w:color w:val="000000" w:themeColor="text1"/>
        </w:rPr>
        <w:br/>
      </w:r>
      <w:r w:rsidRPr="00ED172B">
        <w:rPr>
          <w:color w:val="000000" w:themeColor="text1"/>
        </w:rPr>
        <w:br/>
        <w:t xml:space="preserve">The specific stakeholder groups regularly engage in topics of IDEA Part C implementation and evaluation including an annual review of Iowa’s IDEA Part C Annual Performance Report. These groups and other stakeholders have been involved in activities specific to the development of the FFY 2021 APR. </w:t>
      </w:r>
      <w:r w:rsidRPr="00ED172B">
        <w:rPr>
          <w:color w:val="000000" w:themeColor="text1"/>
        </w:rPr>
        <w:br/>
      </w:r>
      <w:r w:rsidRPr="00ED172B">
        <w:rPr>
          <w:color w:val="000000" w:themeColor="text1"/>
        </w:rPr>
        <w:lastRenderedPageBreak/>
        <w:br/>
        <w:t xml:space="preserve">1. State Interagency Coordinating Council (Iowa Council for Early ACCESS); five meetings held annually </w:t>
      </w:r>
      <w:r w:rsidRPr="00ED172B">
        <w:rPr>
          <w:color w:val="000000" w:themeColor="text1"/>
        </w:rPr>
        <w:br/>
        <w:t>-Early ACCESS Service Providers</w:t>
      </w:r>
      <w:r w:rsidRPr="00ED172B">
        <w:rPr>
          <w:color w:val="000000" w:themeColor="text1"/>
        </w:rPr>
        <w:br/>
        <w:t>-Early ACCESS Signatory Agencies (Departments of Health, Human Services, and Iowa Child Health Specialty Clinics)</w:t>
      </w:r>
      <w:r w:rsidRPr="00ED172B">
        <w:rPr>
          <w:color w:val="000000" w:themeColor="text1"/>
        </w:rPr>
        <w:br/>
        <w:t xml:space="preserve">-Early Head Start / Head Start </w:t>
      </w:r>
      <w:r w:rsidRPr="00ED172B">
        <w:rPr>
          <w:color w:val="000000" w:themeColor="text1"/>
        </w:rPr>
        <w:br/>
        <w:t>-Iowa IDEA Part C Lead Agency (Department of Education)</w:t>
      </w:r>
      <w:r w:rsidRPr="00ED172B">
        <w:rPr>
          <w:color w:val="000000" w:themeColor="text1"/>
        </w:rPr>
        <w:br/>
        <w:t>-Medical / Health Care Providers</w:t>
      </w:r>
      <w:r w:rsidRPr="00ED172B">
        <w:rPr>
          <w:color w:val="000000" w:themeColor="text1"/>
        </w:rPr>
        <w:br/>
        <w:t>-Mental Health Providers</w:t>
      </w:r>
      <w:r w:rsidRPr="00ED172B">
        <w:rPr>
          <w:color w:val="000000" w:themeColor="text1"/>
        </w:rPr>
        <w:br/>
        <w:t>-Parent Training and Information Center</w:t>
      </w:r>
      <w:r w:rsidRPr="00ED172B">
        <w:rPr>
          <w:color w:val="000000" w:themeColor="text1"/>
        </w:rPr>
        <w:br/>
        <w:t>-Parents of Children with Disabilities</w:t>
      </w:r>
      <w:r w:rsidRPr="00ED172B">
        <w:rPr>
          <w:color w:val="000000" w:themeColor="text1"/>
        </w:rPr>
        <w:br/>
        <w:t>-Personnel Preparation / Institutes of Higher Education</w:t>
      </w:r>
      <w:r w:rsidRPr="00ED172B">
        <w:rPr>
          <w:color w:val="000000" w:themeColor="text1"/>
        </w:rPr>
        <w:br/>
        <w:t>-Private Health Insurance / Insurance Commission</w:t>
      </w:r>
      <w:r w:rsidRPr="00ED172B">
        <w:rPr>
          <w:color w:val="000000" w:themeColor="text1"/>
        </w:rPr>
        <w:br/>
        <w:t xml:space="preserve">-Special Education / IDEA Part B 619 </w:t>
      </w:r>
      <w:r w:rsidRPr="00ED172B">
        <w:rPr>
          <w:color w:val="000000" w:themeColor="text1"/>
        </w:rPr>
        <w:br/>
        <w:t>-State Legislators</w:t>
      </w:r>
      <w:r w:rsidRPr="00ED172B">
        <w:rPr>
          <w:color w:val="000000" w:themeColor="text1"/>
        </w:rPr>
        <w:br/>
      </w:r>
      <w:r w:rsidRPr="00ED172B">
        <w:rPr>
          <w:color w:val="000000" w:themeColor="text1"/>
        </w:rPr>
        <w:br/>
        <w:t>2. Regional Grantee Administrators (Directors of Special Education) for nine Regional Grantees; weekly and monthly meetings.</w:t>
      </w:r>
      <w:r w:rsidRPr="00ED172B">
        <w:rPr>
          <w:color w:val="000000" w:themeColor="text1"/>
        </w:rPr>
        <w:br/>
      </w:r>
      <w:r w:rsidRPr="00ED172B">
        <w:rPr>
          <w:color w:val="000000" w:themeColor="text1"/>
        </w:rPr>
        <w:br/>
        <w:t>3. Early ACCESS Grantee Leadership Team; five meetings held annually</w:t>
      </w:r>
      <w:r w:rsidRPr="00ED172B">
        <w:rPr>
          <w:color w:val="000000" w:themeColor="text1"/>
        </w:rPr>
        <w:br/>
        <w:t>-Regional Grantee Administration</w:t>
      </w:r>
      <w:r w:rsidRPr="00ED172B">
        <w:rPr>
          <w:color w:val="000000" w:themeColor="text1"/>
        </w:rPr>
        <w:br/>
        <w:t>-Regional Grantees</w:t>
      </w:r>
      <w:r w:rsidRPr="00ED172B">
        <w:rPr>
          <w:color w:val="000000" w:themeColor="text1"/>
        </w:rPr>
        <w:br/>
        <w:t>-Signatory Agencies</w:t>
      </w:r>
      <w:r w:rsidRPr="00ED172B">
        <w:rPr>
          <w:color w:val="000000" w:themeColor="text1"/>
        </w:rPr>
        <w:br/>
        <w:t>-Specialized Lead Consultants</w:t>
      </w:r>
      <w:r w:rsidRPr="00ED172B">
        <w:rPr>
          <w:color w:val="000000" w:themeColor="text1"/>
        </w:rPr>
        <w:br/>
      </w:r>
      <w:r w:rsidRPr="00ED172B">
        <w:rPr>
          <w:color w:val="000000" w:themeColor="text1"/>
        </w:rPr>
        <w:br/>
        <w:t>4. Early ACCESS SSIP (C11) Team; held every 2 months</w:t>
      </w:r>
      <w:r w:rsidRPr="00ED172B">
        <w:rPr>
          <w:color w:val="000000" w:themeColor="text1"/>
        </w:rPr>
        <w:br/>
        <w:t xml:space="preserve">-EA CSPD </w:t>
      </w:r>
      <w:r w:rsidRPr="00ED172B">
        <w:rPr>
          <w:color w:val="000000" w:themeColor="text1"/>
        </w:rPr>
        <w:br/>
        <w:t>-Lead Agency EA Leadership</w:t>
      </w:r>
      <w:r w:rsidRPr="00ED172B">
        <w:rPr>
          <w:color w:val="000000" w:themeColor="text1"/>
        </w:rPr>
        <w:br/>
        <w:t>-Regional Grantee Administration</w:t>
      </w:r>
      <w:r w:rsidRPr="00ED172B">
        <w:rPr>
          <w:color w:val="000000" w:themeColor="text1"/>
        </w:rPr>
        <w:br/>
      </w:r>
      <w:r w:rsidRPr="00ED172B">
        <w:rPr>
          <w:color w:val="000000" w:themeColor="text1"/>
        </w:rPr>
        <w:br/>
        <w:t>5. Early ACCESS Ad Hoc Task Teams; as needed</w:t>
      </w:r>
      <w:r w:rsidRPr="00ED172B">
        <w:rPr>
          <w:color w:val="000000" w:themeColor="text1"/>
        </w:rPr>
        <w:br/>
      </w:r>
      <w:r w:rsidRPr="00ED172B">
        <w:rPr>
          <w:color w:val="000000" w:themeColor="text1"/>
        </w:rPr>
        <w:br/>
        <w:t xml:space="preserve">In addition to the review of APR indicator data, stakeholders and EA regional and state-level implementation teams routinely review data related to the ongoing implementation and continuous improvement of the IDEA Part C State Systemic Improvement Plan (SSIP), or indicator C11. Data related to the SSIP </w:t>
      </w:r>
      <w:proofErr w:type="gramStart"/>
      <w:r w:rsidRPr="00ED172B">
        <w:rPr>
          <w:color w:val="000000" w:themeColor="text1"/>
        </w:rPr>
        <w:t>includes:</w:t>
      </w:r>
      <w:proofErr w:type="gramEnd"/>
      <w:r w:rsidRPr="00ED172B">
        <w:rPr>
          <w:color w:val="000000" w:themeColor="text1"/>
        </w:rPr>
        <w:t xml:space="preserve"> services provided; frequency and intensity of services; disaggregated early childhood outcomes data; and family outcome data. Stakeholders provide input and decisions at scheduled meetings throughout the year as well as between meetings when a need for input is identified.</w:t>
      </w:r>
      <w:r w:rsidRPr="00ED172B">
        <w:rPr>
          <w:color w:val="000000" w:themeColor="text1"/>
        </w:rPr>
        <w:br/>
      </w:r>
      <w:r w:rsidRPr="00ED172B">
        <w:rPr>
          <w:color w:val="000000" w:themeColor="text1"/>
        </w:rPr>
        <w:br/>
        <w:t>More recently, members of the EA State Team have convened ad hoc meetings with Regional Grantee Administrators to specifically review data and reporting details. These will contribute to a revised consolidated report for general supervision activities to be submitted and reviewed by the Lead Agency and EA State Team annually, at minimum.</w:t>
      </w:r>
      <w:r w:rsidRPr="00ED172B">
        <w:rPr>
          <w:color w:val="000000" w:themeColor="text1"/>
        </w:rPr>
        <w:br/>
      </w:r>
      <w:r w:rsidRPr="00ED172B">
        <w:rPr>
          <w:color w:val="000000" w:themeColor="text1"/>
        </w:rPr>
        <w:br/>
        <w:t>The data are used to inform decisions about personnel development related to the use of evidence-based practices as well as addressing barriers for successful implementation.</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8"/>
    <w:bookmarkEnd w:id="59"/>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60" w:name="_Hlk79570511"/>
      <w:r w:rsidRPr="00A40EE1">
        <w:lastRenderedPageBreak/>
        <w:t xml:space="preserve">10 - </w:t>
      </w:r>
      <w:r w:rsidR="00DC0682" w:rsidRPr="00A40EE1">
        <w:t>Prior FFY Required Actions</w:t>
      </w:r>
      <w:bookmarkEnd w:id="60"/>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1" w:name="_Hlk109646734"/>
      <w:bookmarkStart w:id="62"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3"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3"/>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61"/>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Iowa’s State-identified Measurable Result (</w:t>
      </w:r>
      <w:proofErr w:type="spellStart"/>
      <w:r w:rsidRPr="00ED172B">
        <w:rPr>
          <w:color w:val="000000" w:themeColor="text1"/>
        </w:rPr>
        <w:t>SiMR</w:t>
      </w:r>
      <w:proofErr w:type="spellEnd"/>
      <w:r w:rsidRPr="00ED172B">
        <w:rPr>
          <w:color w:val="000000" w:themeColor="text1"/>
        </w:rPr>
        <w:t xml:space="preserve">) is an increase in the percentage of families reporting Early ACCESS has helped them help their child develop and learn. The </w:t>
      </w:r>
      <w:proofErr w:type="spellStart"/>
      <w:r w:rsidRPr="00ED172B">
        <w:rPr>
          <w:color w:val="000000" w:themeColor="text1"/>
        </w:rPr>
        <w:t>SiMR</w:t>
      </w:r>
      <w:proofErr w:type="spellEnd"/>
      <w:r w:rsidRPr="00ED172B">
        <w:rPr>
          <w:color w:val="000000" w:themeColor="text1"/>
        </w:rPr>
        <w:t xml:space="preserve"> aligns with the IDEA Part C SPP/APR Indicator 4C - Family Outcomes.</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4"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4"/>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5" w:name="_Hlk109646832"/>
      <w:r w:rsidRPr="00A5616C">
        <w:rPr>
          <w:b/>
          <w:bCs/>
        </w:rPr>
        <w:t>Is the State’s theory of action new or revised since the previous submission? (yes/no)</w:t>
      </w:r>
    </w:p>
    <w:bookmarkEnd w:id="65"/>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https://www.iafamilysupportnetwork.org/wp-content/uploads/2022/01/SSIP-Theory-of-Action-Early-ACCESS-FFY-2020.pdf  </w:t>
      </w:r>
    </w:p>
    <w:p w14:paraId="7076EF11" w14:textId="77777777" w:rsidR="006A3544" w:rsidRDefault="006A3544" w:rsidP="008517CB">
      <w:pPr>
        <w:rPr>
          <w:b/>
          <w:bCs/>
        </w:rPr>
      </w:pPr>
    </w:p>
    <w:p w14:paraId="106F39B4" w14:textId="77777777" w:rsidR="00A3455E" w:rsidRDefault="00A3455E" w:rsidP="00A3455E">
      <w:pPr>
        <w:pStyle w:val="Subhed"/>
      </w:pPr>
      <w:bookmarkStart w:id="66"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6"/>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2014</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83.25%</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83.25%</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84.25%</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85.25%</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86.25%</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87.25%</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A3EDC" w:rsidP="0082735C">
            <w:pPr>
              <w:jc w:val="center"/>
              <w:rPr>
                <w:b/>
                <w:color w:val="000000" w:themeColor="text1"/>
                <w:szCs w:val="16"/>
              </w:rPr>
            </w:pPr>
          </w:p>
        </w:tc>
        <w:tc>
          <w:tcPr>
            <w:tcW w:w="876" w:type="pct"/>
            <w:shd w:val="clear" w:color="auto" w:fill="auto"/>
            <w:vAlign w:val="bottom"/>
          </w:tcPr>
          <w:p w14:paraId="2CFCBD1B" w14:textId="129F1692" w:rsidR="005A3EDC" w:rsidRPr="00ED172B" w:rsidRDefault="005A3EDC" w:rsidP="0082735C">
            <w:pPr>
              <w:jc w:val="center"/>
              <w:rPr>
                <w:b/>
                <w:color w:val="000000" w:themeColor="text1"/>
                <w:szCs w:val="16"/>
              </w:rPr>
            </w:pP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277</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327</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87.72%</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83.25%</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84.71%</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 xml:space="preserve">The </w:t>
      </w:r>
      <w:proofErr w:type="spellStart"/>
      <w:r w:rsidRPr="00ED172B">
        <w:rPr>
          <w:color w:val="000000" w:themeColor="text1"/>
        </w:rPr>
        <w:t>SiMR</w:t>
      </w:r>
      <w:proofErr w:type="spellEnd"/>
      <w:r w:rsidRPr="00ED172B">
        <w:rPr>
          <w:color w:val="000000" w:themeColor="text1"/>
        </w:rPr>
        <w:t xml:space="preserve"> data source is the Family Outcomes Survey-Revised: Part C (2010), which is also used for Iowa’s IDEA Part C SPP/APR Indicator 4C - Family Outcomes.</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The Family Outcomes Survey-Revised: Part C (2010) is sent to all families whose children were in Early ACCESS for at least 6 months as of March 2021.  Surveys were disseminated by either: 1) using a cloud-based survey system to email and collect responses anonymously or 2) mailing paper copies with return postage envelopes to families who preferred not to complete the survey electronically.  </w:t>
      </w:r>
      <w:r w:rsidRPr="00ED172B">
        <w:rPr>
          <w:color w:val="000000" w:themeColor="text1"/>
        </w:rPr>
        <w:br/>
      </w:r>
      <w:r w:rsidRPr="00ED172B">
        <w:rPr>
          <w:color w:val="000000" w:themeColor="text1"/>
        </w:rPr>
        <w:br/>
        <w:t xml:space="preserve">Of the 942 families who were sent a survey (by either email or mail), 342 surveys were returned, yielding a 36.31% response rate. The State set statistical parameters of a confidence level of 90% +/- 5% margin of error to evaluate representativeness of the number of survey respondents to the total population. The overall response rate did meet </w:t>
      </w:r>
      <w:proofErr w:type="gramStart"/>
      <w:r w:rsidRPr="00ED172B">
        <w:rPr>
          <w:color w:val="000000" w:themeColor="text1"/>
        </w:rPr>
        <w:t>this criteria</w:t>
      </w:r>
      <w:proofErr w:type="gramEnd"/>
      <w:r w:rsidRPr="00ED172B">
        <w:rPr>
          <w:color w:val="000000" w:themeColor="text1"/>
        </w:rPr>
        <w:t xml:space="preserve"> for representativeness. </w:t>
      </w:r>
      <w:r w:rsidRPr="00ED172B">
        <w:rPr>
          <w:color w:val="000000" w:themeColor="text1"/>
        </w:rPr>
        <w:br/>
      </w:r>
      <w:r w:rsidRPr="00ED172B">
        <w:rPr>
          <w:color w:val="000000" w:themeColor="text1"/>
        </w:rPr>
        <w:br/>
        <w:t xml:space="preserve">To evaluate the representativeness of demographic subgroups, the State used a </w:t>
      </w:r>
      <w:proofErr w:type="gramStart"/>
      <w:r w:rsidRPr="00ED172B">
        <w:rPr>
          <w:color w:val="000000" w:themeColor="text1"/>
        </w:rPr>
        <w:t>criteria</w:t>
      </w:r>
      <w:proofErr w:type="gramEnd"/>
      <w:r w:rsidRPr="00ED172B">
        <w:rPr>
          <w:color w:val="000000" w:themeColor="text1"/>
        </w:rPr>
        <w:t xml:space="preserve"> of +/- 5% discrepancy for responses compared to the total </w:t>
      </w:r>
      <w:r w:rsidRPr="00ED172B">
        <w:rPr>
          <w:color w:val="000000" w:themeColor="text1"/>
        </w:rPr>
        <w:lastRenderedPageBreak/>
        <w:t xml:space="preserve">population. The State chose this method to analyze demographics because 1) if employing a confidence level of 90% +/- 5% margin of error, only one race ethnicity category would have met this threshold for survey responses, and 2) three of seven race/ethnicity categories have a small population size (between 5-60 children). </w:t>
      </w:r>
      <w:r w:rsidRPr="00ED172B">
        <w:rPr>
          <w:color w:val="000000" w:themeColor="text1"/>
        </w:rPr>
        <w:br/>
      </w:r>
      <w:r w:rsidRPr="00ED172B">
        <w:rPr>
          <w:color w:val="000000" w:themeColor="text1"/>
        </w:rPr>
        <w:br/>
        <w:t xml:space="preserve">Upon analyses of the subgroups, the state found that the sample was not representative in that the percent of Hispanic or Latino </w:t>
      </w:r>
      <w:proofErr w:type="gramStart"/>
      <w:r w:rsidRPr="00ED172B">
        <w:rPr>
          <w:color w:val="000000" w:themeColor="text1"/>
        </w:rPr>
        <w:t>respondents</w:t>
      </w:r>
      <w:proofErr w:type="gramEnd"/>
      <w:r w:rsidRPr="00ED172B">
        <w:rPr>
          <w:color w:val="000000" w:themeColor="text1"/>
        </w:rPr>
        <w:t xml:space="preserve"> overall population were 6% less than the population and whites had 10% higher response rates. All other subgroups had less than a 5% discrepancy.</w:t>
      </w:r>
    </w:p>
    <w:p w14:paraId="76D8647E" w14:textId="78CCE65B" w:rsidR="00270F92" w:rsidRDefault="00270F92" w:rsidP="00741E58"/>
    <w:p w14:paraId="3CC869D1" w14:textId="77777777" w:rsidR="00177098" w:rsidRDefault="006D5F86" w:rsidP="006D5F86">
      <w:pPr>
        <w:rPr>
          <w:rFonts w:cs="Arial"/>
          <w:b/>
          <w:bCs/>
        </w:rPr>
      </w:pPr>
      <w:bookmarkStart w:id="67"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7"/>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8"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8"/>
    <w:p w14:paraId="20083E9E" w14:textId="002A0498" w:rsidR="006F322B" w:rsidRDefault="006F322B" w:rsidP="006F322B">
      <w:pPr>
        <w:rPr>
          <w:color w:val="000000" w:themeColor="text1"/>
        </w:rPr>
      </w:pPr>
      <w:r w:rsidRPr="00ED172B">
        <w:rPr>
          <w:color w:val="000000" w:themeColor="text1"/>
        </w:rPr>
        <w:t>Provider:</w:t>
      </w:r>
      <w:r w:rsidRPr="00ED172B">
        <w:rPr>
          <w:color w:val="000000" w:themeColor="text1"/>
        </w:rPr>
        <w:br/>
        <w:t xml:space="preserve">The Coaching Fidelity Checklist and Internal Coach (IC) Activity Logs were used to measure coaches’ progress on core knowledge and application competencies when coaching Early ACCESS providers in the use of Family Guided Routines Based Intervention (FGRBI). The average coaching fidelity score was 91% for FFY21, which was three percentage points higher than the previous year. In June 2022, there were three Trainee Coaches, five Provider Coaches, and eleven Master Coaches statewide, representing an increase of one Provider coach and four Master Coaches from the previous year. </w:t>
      </w:r>
      <w:r w:rsidRPr="00ED172B">
        <w:rPr>
          <w:color w:val="000000" w:themeColor="text1"/>
        </w:rPr>
        <w:br/>
      </w:r>
      <w:r w:rsidRPr="00ED172B">
        <w:rPr>
          <w:color w:val="000000" w:themeColor="text1"/>
        </w:rPr>
        <w:br/>
        <w:t xml:space="preserve">The Early ACCESS providers’ use of FGRBI with fidelity is measured by the implementation of the FGRBI key indicators. In the FFY 2021 </w:t>
      </w:r>
      <w:proofErr w:type="gramStart"/>
      <w:r w:rsidRPr="00ED172B">
        <w:rPr>
          <w:color w:val="000000" w:themeColor="text1"/>
        </w:rPr>
        <w:t>nine month</w:t>
      </w:r>
      <w:proofErr w:type="gramEnd"/>
      <w:r w:rsidRPr="00ED172B">
        <w:rPr>
          <w:color w:val="000000" w:themeColor="text1"/>
        </w:rPr>
        <w:t xml:space="preserve"> coaching cycle, Early ACCESS providers demonstrated improvement and a performance value of 63% of the FGRBI key indicators observed in their first video to 61% in their third video. The first video score was to be expected; however, the drop in key indicator percentage in the third video was not. Several agencies did not have three new providers to join a cohort during the data period, so the lower third score could be the result of the lower sample size (n=48 for video 1 and n=24 for video 3). Also, the providers who did not submit a third video may have been providers who were already at fidelity, so their videos would have inflated the video 1 percentage and the absence of their third video would decrease the video 3 percentage. </w:t>
      </w:r>
      <w:r w:rsidRPr="00ED172B">
        <w:rPr>
          <w:color w:val="000000" w:themeColor="text1"/>
        </w:rPr>
        <w:br/>
      </w:r>
      <w:r w:rsidRPr="00ED172B">
        <w:rPr>
          <w:color w:val="000000" w:themeColor="text1"/>
        </w:rPr>
        <w:br/>
        <w:t>Family/Child:</w:t>
      </w:r>
      <w:r w:rsidRPr="00ED172B">
        <w:rPr>
          <w:color w:val="000000" w:themeColor="text1"/>
        </w:rPr>
        <w:br/>
        <w:t xml:space="preserve">The Early Intervention Parenting Self-Efficacy Scale (EIPSES) was used to quantify parent responses of their ability to facilitate positive child outcomes within the context of early intervention programs and via interactions with early intervention providers (scale from 1 to 7). The data reported in FFY 2021 continued to indicate high caregiver competence (Mean = 5.77, Median = 5.75) and confidence (Mean = 5.58, Median = 5.50) related to child outcomes while also reflecting a higher use of FGRBI key indicators by Early ACCESS providers. Data from FFY21 had a response rate of 46% (n = 35), which is lower than the previous year (FFY20 = 71%). </w:t>
      </w:r>
      <w:r w:rsidRPr="00ED172B">
        <w:rPr>
          <w:color w:val="000000" w:themeColor="text1"/>
        </w:rPr>
        <w:br/>
      </w:r>
      <w:r w:rsidRPr="00ED172B">
        <w:rPr>
          <w:color w:val="000000" w:themeColor="text1"/>
        </w:rPr>
        <w:br/>
        <w:t>System:</w:t>
      </w:r>
      <w:r w:rsidRPr="00ED172B">
        <w:rPr>
          <w:color w:val="000000" w:themeColor="text1"/>
        </w:rPr>
        <w:br/>
        <w:t>Early ACCESS regional and state system progress was measured through written reports submitted by Early ACCESS Regional Grantees. Regional implementation team reports were updated four times during FFY 2021, discussed at Early ACCESS Grantee Leadership team meetings, and reviewed by the Early ACCESS State Team. In previous years, the Regions had identified organizational barriers which included involving occupational and physical therapists, finding resources to support Internal Coaches, and allocating time to engage in effective teaming practices. In FFY 2021, the Early ACCESS Regional Grantees reported barriers related to sustainability efforts and staff learning Iowa's IDEA data system, ACHIEVE.</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9"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9"/>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Link to Iowa's SSIP Early ACCESS Evaluation Plan: https://www.iafamilysupportnetwork.org/wp-content/uploads/2022/01/SSIP-Early-ACCESS-Evaluation-Plan-FFY-2020.pdf</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Improvement Strategy 1: Instructional Practices</w:t>
      </w:r>
      <w:r w:rsidRPr="00ED172B">
        <w:rPr>
          <w:color w:val="000000" w:themeColor="text1"/>
        </w:rPr>
        <w:br/>
        <w:t>The instructional practices improvement strategies included the implementation of professional development to support Early ACCESS providers’ use of FGRBI. These strategies included online modules to build knowledge and peer coaching by a trained peer coach to strengthen skills.</w:t>
      </w:r>
      <w:r w:rsidRPr="00ED172B">
        <w:rPr>
          <w:color w:val="000000" w:themeColor="text1"/>
        </w:rPr>
        <w:br/>
      </w:r>
      <w:r w:rsidRPr="00ED172B">
        <w:rPr>
          <w:color w:val="000000" w:themeColor="text1"/>
        </w:rPr>
        <w:br/>
        <w:t>Improvement Strategy 2: Implementation Practices</w:t>
      </w:r>
      <w:r w:rsidRPr="00ED172B">
        <w:rPr>
          <w:color w:val="000000" w:themeColor="text1"/>
        </w:rPr>
        <w:br/>
        <w:t>The implementation practices improvement strategies focused on the use of active implementation frameworks to scale-up the use of evidence-based practices. Additionally, the State’s continued focus in FFY 2021 was on strengthening partnerships and using effective communication to establish and build upon sustainability efforts.</w:t>
      </w:r>
      <w:r w:rsidRPr="00ED172B">
        <w:rPr>
          <w:color w:val="000000" w:themeColor="text1"/>
        </w:rPr>
        <w:br/>
      </w:r>
      <w:r w:rsidRPr="00ED172B">
        <w:rPr>
          <w:color w:val="000000" w:themeColor="text1"/>
        </w:rPr>
        <w:br/>
        <w:t>Improvement Strategy 3: High Quality system</w:t>
      </w:r>
      <w:r w:rsidRPr="00ED172B">
        <w:rPr>
          <w:color w:val="000000" w:themeColor="text1"/>
        </w:rPr>
        <w:br/>
        <w:t xml:space="preserve">The </w:t>
      </w:r>
      <w:proofErr w:type="gramStart"/>
      <w:r w:rsidRPr="00ED172B">
        <w:rPr>
          <w:color w:val="000000" w:themeColor="text1"/>
        </w:rPr>
        <w:t>high quality</w:t>
      </w:r>
      <w:proofErr w:type="gramEnd"/>
      <w:r w:rsidRPr="00ED172B">
        <w:rPr>
          <w:color w:val="000000" w:themeColor="text1"/>
        </w:rPr>
        <w:t xml:space="preserve"> system improvement strategies focused on using data to inform continuous improvement practices. The Early ACCESS State Team and Data Work Team continued to meet to utilize and apply data-based decision making for sustainability of Iowa’s high quality Early ACCESS system.</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w:t>
      </w:r>
      <w:r w:rsidRPr="00A85B6E">
        <w:rPr>
          <w:rFonts w:cs="Arial"/>
          <w:b/>
          <w:bCs/>
        </w:rPr>
        <w:lastRenderedPageBreak/>
        <w:t xml:space="preserve">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 xml:space="preserve">Improvement Strategy 1: Instructional Practices </w:t>
      </w:r>
      <w:r w:rsidRPr="00ED172B">
        <w:rPr>
          <w:color w:val="000000" w:themeColor="text1"/>
        </w:rPr>
        <w:br/>
        <w:t>In-Service Training (Professional Development)</w:t>
      </w:r>
      <w:r w:rsidRPr="00ED172B">
        <w:rPr>
          <w:color w:val="000000" w:themeColor="text1"/>
        </w:rPr>
        <w:br/>
        <w:t>In previous years, Early ACCESS providers had been trained in person. In FFY 2021, professional learning for Early ACCESS providers continued using online FGRBI modules, supplemented with four 2-hour zoom meetings for all cohort participants. This professional development model was continued from FFY 2019 to support maintenance of learning within each cohort. A shift to online modules has supported sustainability through greater flexibility in delivery of FGRBI content, in particular when virtual options were preferred as a health mitigation strategy. Forty providers completed the pre- and post-module assessment. The average pre-module score was 52% and the average post-module score was 85%, illustrating an increase in knowledge of FGRBI upon module completion.</w:t>
      </w:r>
      <w:r w:rsidRPr="00ED172B">
        <w:rPr>
          <w:color w:val="000000" w:themeColor="text1"/>
        </w:rPr>
        <w:br/>
      </w:r>
      <w:r w:rsidRPr="00ED172B">
        <w:rPr>
          <w:color w:val="000000" w:themeColor="text1"/>
        </w:rPr>
        <w:br/>
        <w:t>In FFY 2021, coaches used a Coaching Manual and a Coaching Fidelity Checklist to ensure coaching sessions were implemented with fidelity. The average fidelity score was 91%, which was three percentage points higher than the previous year. The goal of the coaching sessions was to support Early ACCESS providers in using FGRBI with families. The FFY 2021 data represented 48 first videos, 30 second videos, and 24 third videos. The average fidelity scores from first to third video were 63% to 61</w:t>
      </w:r>
      <w:proofErr w:type="gramStart"/>
      <w:r w:rsidRPr="00ED172B">
        <w:rPr>
          <w:color w:val="000000" w:themeColor="text1"/>
        </w:rPr>
        <w:t>%.The</w:t>
      </w:r>
      <w:proofErr w:type="gramEnd"/>
      <w:r w:rsidRPr="00ED172B">
        <w:rPr>
          <w:color w:val="000000" w:themeColor="text1"/>
        </w:rPr>
        <w:t xml:space="preserve"> first video score is to be expected; however, the drop in key indicator percentage in the third video is not. Several agencies did not have three new providers to join a cohort during the data period, so the lower third score could be the result of the lower sample size (n=48 for video 1 and n=24 for video 3). Also, the providers who did not submit a third video may have been providers who were already at fidelity, so their videos would have inflated the video 1 percentage and the absence of their third video would decrease the video 3 percentage. This is the first year in ten years we have seen a drop from video 1 to video 3 key indicator percentages, so we will monitor closely in the coming year to identify systematic reasons for the drop.</w:t>
      </w:r>
      <w:r w:rsidRPr="00ED172B">
        <w:rPr>
          <w:color w:val="000000" w:themeColor="text1"/>
        </w:rPr>
        <w:br/>
        <w:t xml:space="preserve">Ongoing professional learning and coaching in order to maintain skills with fidelity are essential for scale-up and sustainability. Routine updates and maintenance of online modules and use of highly trained peer coaches will be utilized as Early ACCESS system supports. These will continue to directly impact the improvement of Iowa’s Part C </w:t>
      </w:r>
      <w:proofErr w:type="spellStart"/>
      <w:r w:rsidRPr="00ED172B">
        <w:rPr>
          <w:color w:val="000000" w:themeColor="text1"/>
        </w:rPr>
        <w:t>SiMR</w:t>
      </w:r>
      <w:proofErr w:type="spellEnd"/>
      <w:r w:rsidRPr="00ED172B">
        <w:rPr>
          <w:color w:val="000000" w:themeColor="text1"/>
        </w:rPr>
        <w:t xml:space="preserve"> (an increase in the percentage of families reporting that Early ACCESS has helped them help their child develop and learn).</w:t>
      </w:r>
      <w:r w:rsidRPr="00ED172B">
        <w:rPr>
          <w:color w:val="000000" w:themeColor="text1"/>
        </w:rPr>
        <w:br/>
      </w:r>
      <w:r w:rsidRPr="00ED172B">
        <w:rPr>
          <w:color w:val="000000" w:themeColor="text1"/>
        </w:rPr>
        <w:br/>
        <w:t xml:space="preserve">Improvement Strategy 2: Implementation Practices </w:t>
      </w:r>
      <w:r w:rsidRPr="00ED172B">
        <w:rPr>
          <w:color w:val="000000" w:themeColor="text1"/>
        </w:rPr>
        <w:br/>
        <w:t>Strengthening Partnerships (Governance, Quality Standards)</w:t>
      </w:r>
      <w:r w:rsidRPr="00ED172B">
        <w:rPr>
          <w:color w:val="000000" w:themeColor="text1"/>
        </w:rPr>
        <w:br/>
        <w:t>The Early ACCESS State Team has continued to foster partnerships with Regional Grantees to support infrastructure for service delivery. Reports from the regional implementation teams indicated reflective routines in discussion and reporting have been helpful, both at agency and state system levels. In addition, the established communication efforts have been effective in addressing successes and barriers, allowing more focused dialogue on system level sustainability topics. Moreover, intentional discussions with the Regional Grantee administrators have increased leadership engagement and the development of action plans for sustainability.</w:t>
      </w:r>
      <w:r w:rsidRPr="00ED172B">
        <w:rPr>
          <w:color w:val="000000" w:themeColor="text1"/>
        </w:rPr>
        <w:br/>
      </w:r>
      <w:r w:rsidRPr="00ED172B">
        <w:rPr>
          <w:color w:val="000000" w:themeColor="text1"/>
        </w:rPr>
        <w:br/>
        <w:t xml:space="preserve">The Early ACCESS State Team has continued to strengthen relationships with Iowa’s institutes of higher education (IHE) in order to sustain knowledge of evidence-based practices among future practitioners. In FFY 2021 activities, there was a shift to focus on facilitating collaboration among higher education faculty and in-service professional development providers at the Area Education Agencies. In the first of a series of four webinars, pre-service and in-service personnel came together via Zoom to spend time in facilitated conversations to overcome barriers related to recruitment and retention. Conversations included brainstorming solutions to challenges related to early intervention field experience and activities to increase awareness of early intervention as a career option among high school students and higher education students across disciplines. </w:t>
      </w:r>
      <w:r w:rsidRPr="00ED172B">
        <w:rPr>
          <w:color w:val="000000" w:themeColor="text1"/>
        </w:rPr>
        <w:br/>
      </w:r>
      <w:r w:rsidRPr="00ED172B">
        <w:rPr>
          <w:color w:val="000000" w:themeColor="text1"/>
        </w:rPr>
        <w:br/>
        <w:t>Progress towards outcomes has been made through:</w:t>
      </w:r>
      <w:r w:rsidRPr="00ED172B">
        <w:rPr>
          <w:color w:val="000000" w:themeColor="text1"/>
        </w:rPr>
        <w:br/>
        <w:t>- Partnerships among institutes of higher education from multiple disciplines and in-service professional development providers from the AEAs;</w:t>
      </w:r>
      <w:r w:rsidRPr="00ED172B">
        <w:rPr>
          <w:color w:val="000000" w:themeColor="text1"/>
        </w:rPr>
        <w:br/>
        <w:t>- Implementation team meetings (regional and state);</w:t>
      </w:r>
      <w:r w:rsidRPr="00ED172B">
        <w:rPr>
          <w:color w:val="000000" w:themeColor="text1"/>
        </w:rPr>
        <w:br/>
        <w:t>- Fidelity and sustainability planning;</w:t>
      </w:r>
      <w:r w:rsidRPr="00ED172B">
        <w:rPr>
          <w:color w:val="000000" w:themeColor="text1"/>
        </w:rPr>
        <w:br/>
        <w:t>- Stakeholder meetings to address implementation; and,</w:t>
      </w:r>
      <w:r w:rsidRPr="00ED172B">
        <w:rPr>
          <w:color w:val="000000" w:themeColor="text1"/>
        </w:rPr>
        <w:br/>
        <w:t>- Communication with agency administrators to improve readiness and leadership support.</w:t>
      </w:r>
      <w:r w:rsidRPr="00ED172B">
        <w:rPr>
          <w:color w:val="000000" w:themeColor="text1"/>
        </w:rPr>
        <w:br/>
      </w:r>
      <w:r w:rsidRPr="00ED172B">
        <w:rPr>
          <w:color w:val="000000" w:themeColor="text1"/>
        </w:rPr>
        <w:br/>
        <w:t>Improvement Strategy 3: High Quality system</w:t>
      </w:r>
      <w:r w:rsidRPr="00ED172B">
        <w:rPr>
          <w:color w:val="000000" w:themeColor="text1"/>
        </w:rPr>
        <w:br/>
        <w:t>Early ACCESS Data Work Team (Data System; Accountability &amp; Continuous Improvement)</w:t>
      </w:r>
      <w:r w:rsidRPr="00ED172B">
        <w:rPr>
          <w:color w:val="000000" w:themeColor="text1"/>
        </w:rPr>
        <w:br/>
        <w:t xml:space="preserve">The Early ACCESS Data Work Team, composed of Lead Agency staff, meets weekly to address Early ACCESS data quality, collection, analysis, and dissemination of data to make informed decisions. The purpose has been to effectively use data to positively impact outcomes for families and children served in Iowa. As a result of these weekly meetings, the Early ACCESS State Team have used data to determine focus areas for professional development and technical assistance. </w:t>
      </w:r>
      <w:r w:rsidRPr="00ED172B">
        <w:rPr>
          <w:color w:val="000000" w:themeColor="text1"/>
        </w:rPr>
        <w:br/>
      </w:r>
      <w:r w:rsidRPr="00ED172B">
        <w:rPr>
          <w:color w:val="000000" w:themeColor="text1"/>
        </w:rPr>
        <w:br/>
        <w:t>Progress towards outcomes has been made through:</w:t>
      </w:r>
      <w:r w:rsidRPr="00ED172B">
        <w:rPr>
          <w:color w:val="000000" w:themeColor="text1"/>
        </w:rPr>
        <w:br/>
        <w:t>- Public Relations and Marketing Task Team;</w:t>
      </w:r>
      <w:r w:rsidRPr="00ED172B">
        <w:rPr>
          <w:color w:val="000000" w:themeColor="text1"/>
        </w:rPr>
        <w:br/>
        <w:t>- Continued development of in-service training system;</w:t>
      </w:r>
      <w:r w:rsidRPr="00ED172B">
        <w:rPr>
          <w:color w:val="000000" w:themeColor="text1"/>
        </w:rPr>
        <w:br/>
        <w:t>- IHE relationship-building to impact fidelity and sustainability of FGRBI and coaching, and;</w:t>
      </w:r>
      <w:r w:rsidRPr="00ED172B">
        <w:rPr>
          <w:color w:val="000000" w:themeColor="text1"/>
        </w:rPr>
        <w:br/>
        <w:t>- Development and implementation of Iowa’s data system, ACHIEVE.</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4"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4"/>
    <w:p w14:paraId="5CE1B56C" w14:textId="3CE2BA28" w:rsidR="006A728F" w:rsidRPr="000123EB" w:rsidRDefault="00802016" w:rsidP="003447DC">
      <w:pPr>
        <w:rPr>
          <w:b/>
          <w:bCs/>
        </w:rPr>
      </w:pPr>
      <w:r w:rsidRPr="00ED172B">
        <w:rPr>
          <w:color w:val="000000" w:themeColor="text1"/>
        </w:rPr>
        <w:t>Improvement Strategy 3: High Quality System</w:t>
      </w:r>
      <w:r w:rsidRPr="00ED172B">
        <w:rPr>
          <w:color w:val="000000" w:themeColor="text1"/>
        </w:rPr>
        <w:br/>
        <w:t>Iowa Part C Early ACCESS staff began using the new system, ACHIEVE, in April 2022. A primary goal for the system was to develop, deliver, and ensure individualized plans and services for learners, birth to 21. The system was designed to also improve data reporting capabilities. Iowa’s Early ACCESS State Team was involved throughout system and content development. In addition, Early ACCESS Regional Grantee leadership, service coordinators, and providers had continual opportunities to test and provide input during development. Early ACCESS state staff continue to address system “bugs” and support users with monthly troubleshooting webinars, tip sheets, and a comprehensive user guide.</w:t>
      </w:r>
      <w:r w:rsidRPr="00ED172B">
        <w:rPr>
          <w:color w:val="000000" w:themeColor="text1"/>
        </w:rPr>
        <w:br/>
      </w:r>
      <w:r w:rsidRPr="00ED172B">
        <w:rPr>
          <w:color w:val="000000" w:themeColor="text1"/>
        </w:rPr>
        <w:br/>
        <w:t xml:space="preserve">The ACHIEVE system will help sustainability of FGRBI through use of embedded and consistent language and evidence-based practices reflected in FGRBI key indicators. In addition, there are system prompts to support providers in building the capacity of the families to support their children’s development and learning, which addresses Iowa's </w:t>
      </w:r>
      <w:proofErr w:type="spellStart"/>
      <w:r w:rsidRPr="00ED172B">
        <w:rPr>
          <w:color w:val="000000" w:themeColor="text1"/>
        </w:rPr>
        <w:t>SiMR</w:t>
      </w:r>
      <w:proofErr w:type="spellEnd"/>
      <w:r w:rsidRPr="00ED172B">
        <w:rPr>
          <w:color w:val="000000" w:themeColor="text1"/>
        </w:rPr>
        <w:t>.</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lastRenderedPageBreak/>
        <w:t>1) Instructional Practices</w:t>
      </w:r>
      <w:r w:rsidRPr="00ED172B">
        <w:rPr>
          <w:color w:val="000000" w:themeColor="text1"/>
        </w:rPr>
        <w:br/>
        <w:t>The Early ACCESS system will continue to focus on training internal coaches and providing support delivered by Florida State University (FSU) external coaches. The Early ACCESS State Team anticipates internal coaches will continue to strengthen their facilitation skills to build agency capacity of FGRBI with Early ACCESS providers across disciplines. Likewise, the number of internal coaches who progress from Trainee to Provider and Provider to Master coaching tiers will continue to increase.</w:t>
      </w:r>
      <w:r w:rsidRPr="00ED172B">
        <w:rPr>
          <w:color w:val="000000" w:themeColor="text1"/>
        </w:rPr>
        <w:br/>
      </w:r>
      <w:r w:rsidRPr="00ED172B">
        <w:rPr>
          <w:color w:val="000000" w:themeColor="text1"/>
        </w:rPr>
        <w:br/>
        <w:t>2) Implementation Practices</w:t>
      </w:r>
      <w:r w:rsidRPr="00ED172B">
        <w:rPr>
          <w:color w:val="000000" w:themeColor="text1"/>
        </w:rPr>
        <w:br/>
        <w:t>The Early ACCESS system will continue supporting partnerships between institutes of higher education across disciplines, regional implementation teams, and the use of implementation science. The Early ACCESS State Team will continue to have intentional discussions with administrators about implementation fidelity, sustainability, and scale-up efforts. The statewide goal is to maintain the implementation of a collaboratively developed system plan supported by Iowa’s Regional Grantee administrators and leadership, the Iowa Council for Early ACCESS, and all of the Early ACCESS Signatory Agencies.</w:t>
      </w:r>
      <w:r w:rsidRPr="00ED172B">
        <w:rPr>
          <w:color w:val="000000" w:themeColor="text1"/>
        </w:rPr>
        <w:br/>
      </w:r>
      <w:r w:rsidRPr="00ED172B">
        <w:rPr>
          <w:color w:val="000000" w:themeColor="text1"/>
        </w:rPr>
        <w:br/>
        <w:t>3) High Quality System</w:t>
      </w:r>
      <w:r w:rsidRPr="00ED172B">
        <w:rPr>
          <w:color w:val="000000" w:themeColor="text1"/>
        </w:rPr>
        <w:br/>
        <w:t>The Early ACCESS system will continue involving stakeholders in data review, decision-making, and the development and implementation of state activities represented by the Early Childhood Technical Assistance Center (ECTA) System Framework.</w:t>
      </w:r>
      <w:r w:rsidRPr="00ED172B">
        <w:rPr>
          <w:color w:val="000000" w:themeColor="text1"/>
        </w:rPr>
        <w:br/>
        <w:t xml:space="preserve">Parallel to the new IDEA system, ACHIEVE, the State will continue to support staff in using the system and building on their implementation of FGRBI with families through webinars and tip sheets. </w:t>
      </w:r>
      <w:r w:rsidRPr="00ED172B">
        <w:rPr>
          <w:color w:val="000000" w:themeColor="text1"/>
        </w:rPr>
        <w:br/>
      </w:r>
      <w:r w:rsidRPr="00ED172B">
        <w:rPr>
          <w:color w:val="000000" w:themeColor="text1"/>
        </w:rPr>
        <w:br/>
        <w:t xml:space="preserve">Each of the above improvement strategies support a </w:t>
      </w:r>
      <w:proofErr w:type="gramStart"/>
      <w:r w:rsidRPr="00ED172B">
        <w:rPr>
          <w:color w:val="000000" w:themeColor="text1"/>
        </w:rPr>
        <w:t>high quality</w:t>
      </w:r>
      <w:proofErr w:type="gramEnd"/>
      <w:r w:rsidRPr="00ED172B">
        <w:rPr>
          <w:color w:val="000000" w:themeColor="text1"/>
        </w:rPr>
        <w:t xml:space="preserve"> early intervention system according to the ECTA System Framework.</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 xml:space="preserve">1) Family Guided Routines Based Intervention (FGRBI); </w:t>
      </w:r>
      <w:proofErr w:type="gramStart"/>
      <w:r w:rsidRPr="00ED172B">
        <w:rPr>
          <w:color w:val="000000" w:themeColor="text1"/>
        </w:rPr>
        <w:t>and,</w:t>
      </w:r>
      <w:proofErr w:type="gramEnd"/>
      <w:r w:rsidRPr="00ED172B">
        <w:rPr>
          <w:color w:val="000000" w:themeColor="text1"/>
        </w:rPr>
        <w:br/>
        <w:t>2) Distance Mentoring Model (DMM) of professional development (coaching)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Early ACCESS providers support and enhance the caregiver's consistency and effectiveness to implement learning opportunities within natural environments using familiar family routines. In order to accomplish this, Iowa's Early ACCESS state strategies focus on improving the competence and confidence of caregivers through embedded interventions in everyday routines and activities. Families are implementing interventions and see progress in their children's development and learning, which results in an increase in the teaching opportunity cycle and as well as reinforces their confidence and competence. Children have more practice as their parents and/or caregivers provide more opportunities throughout their routines and daily activities. This leads to an increase in the percentage of families reporting that Early ACCESS has helped them help their child develop and learn, which is the IDEA Part C SPP/APR Indicator 4C Family Outcomes and Iowa's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To build toward full implementation of the FGRBI, the Iowa Department of Education partnered with Florida State University’s Communication and Early Childhood Research and Practice (CEC-RAP) Center to use the Distance Mentoring Model (DMM) of professional development to scale up and sustain their providers’ use of FGRBI and Caregiver Coaching, a manualized intervention approach (Woods, 2017; http://fgrbi.com/). The professional development (PD) sequence used in DMM is aligned with best practices in professional development research for early childhood providers. DMM incorporates explanations of effective instruction paired with active engagement and practice in context over an extended time frame (Bransford et al., 2000; Dunst, </w:t>
      </w:r>
      <w:proofErr w:type="spellStart"/>
      <w:r w:rsidRPr="00ED172B">
        <w:rPr>
          <w:color w:val="000000" w:themeColor="text1"/>
        </w:rPr>
        <w:t>Trivette</w:t>
      </w:r>
      <w:proofErr w:type="spellEnd"/>
      <w:r w:rsidRPr="00ED172B">
        <w:rPr>
          <w:color w:val="000000" w:themeColor="text1"/>
        </w:rPr>
        <w:t xml:space="preserve">, &amp; Deal, 2011; Snyder, </w:t>
      </w:r>
      <w:proofErr w:type="spellStart"/>
      <w:r w:rsidRPr="00ED172B">
        <w:rPr>
          <w:color w:val="000000" w:themeColor="text1"/>
        </w:rPr>
        <w:t>Hemmeter</w:t>
      </w:r>
      <w:proofErr w:type="spellEnd"/>
      <w:r w:rsidRPr="00ED172B">
        <w:rPr>
          <w:color w:val="000000" w:themeColor="text1"/>
        </w:rPr>
        <w:t xml:space="preserve">, &amp; McLaughlin, 2011; </w:t>
      </w:r>
      <w:proofErr w:type="spellStart"/>
      <w:r w:rsidRPr="00ED172B">
        <w:rPr>
          <w:color w:val="000000" w:themeColor="text1"/>
        </w:rPr>
        <w:t>Trivette</w:t>
      </w:r>
      <w:proofErr w:type="spellEnd"/>
      <w:r w:rsidRPr="00ED172B">
        <w:rPr>
          <w:color w:val="000000" w:themeColor="text1"/>
        </w:rPr>
        <w:t xml:space="preserve"> et al., 2009) using a combination of distance learning technologies.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Professional development (PD) for Early ACCESS providers on FGRBI was delivered by Iowa’s nine Early ACCESS Regional Grantees, while Florida State University (FSU) focused on professional development for Internal Coaches.</w:t>
      </w:r>
      <w:r w:rsidRPr="00ED172B">
        <w:rPr>
          <w:color w:val="000000" w:themeColor="text1"/>
        </w:rPr>
        <w:br/>
        <w:t>1) Early ACCESS providers continued professional learning using the online modules about FGRBI, how to coach families and caregivers, and efforts to maintain implementation fidelity of the FGRBI key indicators. Cohort scores showed growth; pre-score average = 52%, and post-score average = 85%.</w:t>
      </w:r>
      <w:r w:rsidRPr="00ED172B">
        <w:rPr>
          <w:color w:val="000000" w:themeColor="text1"/>
        </w:rPr>
        <w:br/>
      </w:r>
      <w:r w:rsidRPr="00ED172B">
        <w:rPr>
          <w:color w:val="000000" w:themeColor="text1"/>
        </w:rPr>
        <w:br/>
        <w:t>2) In addition, monthly coaching sessions and four 2-hour webinars were conducted by Internal Coaches to reinforce Early ACCESS provider learning. The new Early ACCESS providers were also part of monthly provider webinars and internal coaches attended monthly internal coach webinars. The FSU team supported these internal coaching activities.</w:t>
      </w:r>
      <w:r w:rsidRPr="00ED172B">
        <w:rPr>
          <w:color w:val="000000" w:themeColor="text1"/>
        </w:rPr>
        <w:br/>
      </w:r>
      <w:r w:rsidRPr="00ED172B">
        <w:rPr>
          <w:color w:val="000000" w:themeColor="text1"/>
        </w:rPr>
        <w:br/>
        <w:t>3) The use of Community of Practice (CoP) Professional Development webinars also continued. The CoP webinar topics included: assessment within an FGRBI framework, writing high quality child and family outcomes, monitoring progress, and family participation in the IFSP process.</w:t>
      </w:r>
      <w:r w:rsidRPr="00ED172B">
        <w:rPr>
          <w:color w:val="000000" w:themeColor="text1"/>
        </w:rPr>
        <w:br/>
      </w:r>
      <w:r w:rsidRPr="00ED172B">
        <w:rPr>
          <w:color w:val="000000" w:themeColor="text1"/>
        </w:rPr>
        <w:br/>
        <w:t>4) All Early ACCESS providers and service coordinators also completed professional learning for ACHIEVE, which included integrated information to support the implementation of FGRBI. The State provided recorded webinars and supplemental materials for trained “professional learning leads” from each AEA to use to facilitate the professional learning with their staff.</w:t>
      </w:r>
      <w:r w:rsidRPr="00ED172B">
        <w:rPr>
          <w:color w:val="000000" w:themeColor="text1"/>
        </w:rPr>
        <w:br/>
      </w:r>
      <w:r w:rsidRPr="00ED172B">
        <w:rPr>
          <w:color w:val="000000" w:themeColor="text1"/>
        </w:rPr>
        <w:br/>
        <w:t>Each of these strategies supports Early ACCESS providers in using FGRBI with families with fidelity and an intended outcome to increase a family’s confidence and competence (outcome) to help their child develop and learn (</w:t>
      </w:r>
      <w:proofErr w:type="spellStart"/>
      <w:r w:rsidRPr="00ED172B">
        <w:rPr>
          <w:color w:val="000000" w:themeColor="text1"/>
        </w:rPr>
        <w:t>SiMR</w:t>
      </w:r>
      <w:proofErr w:type="spellEnd"/>
      <w:r w:rsidRPr="00ED172B">
        <w:rPr>
          <w:color w:val="000000" w:themeColor="text1"/>
        </w:rPr>
        <w:t>).</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Internal Coaching Session Fidelity</w:t>
      </w:r>
      <w:r w:rsidRPr="00ED172B">
        <w:rPr>
          <w:color w:val="000000" w:themeColor="text1"/>
        </w:rPr>
        <w:br/>
        <w:t>As Internal Coaches become more independent in their coaching of peer Early ACCESS providers, it has been critical to ensure they are conducting coaching sessions according to the feedback session protocol. The fidelity measure has been used to ensure that all Internal Coaches are utilizing similar core coaching components which include joint planning, direct teaching of content, reflection, problem solving, active participation of team members, and action planning.</w:t>
      </w:r>
      <w:r w:rsidRPr="00ED172B">
        <w:rPr>
          <w:color w:val="000000" w:themeColor="text1"/>
        </w:rPr>
        <w:br/>
      </w:r>
      <w:r w:rsidRPr="00ED172B">
        <w:rPr>
          <w:color w:val="000000" w:themeColor="text1"/>
        </w:rPr>
        <w:br/>
        <w:t>FGRBI Key Indicator Checklist</w:t>
      </w:r>
      <w:r w:rsidRPr="00ED172B">
        <w:rPr>
          <w:color w:val="000000" w:themeColor="text1"/>
        </w:rPr>
        <w:br/>
        <w:t xml:space="preserve">To ensure Early ACCESS providers are implementing FGRBI with families with fidelity, recorded home visits are reviewed by the Early ACCESS </w:t>
      </w:r>
      <w:r w:rsidRPr="00ED172B">
        <w:rPr>
          <w:color w:val="000000" w:themeColor="text1"/>
        </w:rPr>
        <w:lastRenderedPageBreak/>
        <w:t>provider, the Internal Coaches, and an external coach at FSU using the 12-item FGRBI Key Indicator Checklist. The items on the checklist are weighted to calculate and generate data representing implementation fidelity used in the coaching cycle.</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r w:rsidRPr="00ED172B">
        <w:rPr>
          <w:color w:val="000000" w:themeColor="text1"/>
        </w:rPr>
        <w:t>Not applicable.</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 xml:space="preserve">The Early ACCESS system is committed to the implementation of the sustainability strategies for FGRBI. In the spring of 2022, the professional learning for the new ACHIEVE system integrated the FGRBI framework into the child and family evaluation, assessments, and development of the IFSP.  This provided an opportunity to expand the implementation of FGRBI into all aspects of the IFSP process. Professional learning efforts will continue in this direction to support evidence-based practices and appropriate documentation in ACHIEVE. Additionally, a statewide sustainability plan for FGRBI is under development with the input and agreement of all Regional Grantee Administrators, which will commence in October 2023. With additional professional learning, continued sustainability efforts, and integration of FGRBI into the ACHIEVE system; the State anticipates improvement of both family and child outcomes. </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The evaluation data has consistently shown improved results which supports the State’s decision to continue the current activities, strategies, and improvement efforts. The results of each component of the evaluation have provided evidence of increased capacity of Early ACCESS to implement, scale, and sustain evidence-based practices of coaching caregivers in FGRBI. The State remains committed to implementing a statewide system of early intervention in which families with infants and toddlers served in Early ACCESS receive individualized services in natural environments and demonstrate improved family and child outcomes.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State’s Interagency Coordinating Council (SICC) or Iowa Council for Early ACCESS (ICEA), Regional Grantee Administrators, Early ACCESS (EA) Grantee Leadership Team, Early ACCESS SSIP Team, and Early ACCESS ad hoc task teams provide stakeholder input on SPP/APR indicators, SSIP development and implementation, and IDEA reporting requirements. The Early ACCESS facilitator ensures that the composition of the ICEA meets the Iowa Administrative Rules for Early ACCESS. Regional Grantee administrators include the special education directors from each of Iowa’s nine area education agencies (AEA). The EA Grantee Leadership Team represents approximately 30 members from each of the following: Lead Agency, signatory agencies; Regional Grantees; and Iowa Educational Services for the Blind and Visually Impaired.</w:t>
      </w:r>
      <w:r w:rsidRPr="00ED172B">
        <w:rPr>
          <w:color w:val="000000" w:themeColor="text1"/>
        </w:rPr>
        <w:br/>
      </w:r>
      <w:r w:rsidRPr="00ED172B">
        <w:rPr>
          <w:color w:val="000000" w:themeColor="text1"/>
        </w:rPr>
        <w:br/>
        <w:t>A five-step process was used by the EA State Team with each stakeholder group to review and discuss data and provide input for the FFY 2021 APR:</w:t>
      </w:r>
      <w:r w:rsidRPr="00ED172B">
        <w:rPr>
          <w:color w:val="000000" w:themeColor="text1"/>
        </w:rPr>
        <w:br/>
        <w:t>1. The importance of stakeholder input regarding the EA system is reviewed. This includes ensuring stakeholder feedback is reported in the APR and used for improvement activities.</w:t>
      </w:r>
      <w:r w:rsidRPr="00ED172B">
        <w:rPr>
          <w:color w:val="000000" w:themeColor="text1"/>
        </w:rPr>
        <w:br/>
        <w:t>2. Stakeholders are provided baseline, target, and trend data for each compliance and performance indicator.</w:t>
      </w:r>
      <w:r w:rsidRPr="00ED172B">
        <w:rPr>
          <w:color w:val="000000" w:themeColor="text1"/>
        </w:rPr>
        <w:br/>
        <w:t xml:space="preserve">3. Members work in small and large groups to analyze data and draw conclusions. </w:t>
      </w:r>
      <w:r w:rsidRPr="00ED172B">
        <w:rPr>
          <w:color w:val="000000" w:themeColor="text1"/>
        </w:rPr>
        <w:br/>
        <w:t>4. A question-and-answer period occurs to clarify data questions and concepts. The EA State Team facilitates discussion and answers questions.</w:t>
      </w:r>
      <w:r w:rsidRPr="00ED172B">
        <w:rPr>
          <w:color w:val="000000" w:themeColor="text1"/>
        </w:rPr>
        <w:br/>
        <w:t>5. Conclusions and comments regarding targets, progress or slippage of meeting targets, root causes, and improvement activities are shared and agreed upon (indicating consensus).</w:t>
      </w:r>
      <w:r w:rsidRPr="00ED172B">
        <w:rPr>
          <w:color w:val="000000" w:themeColor="text1"/>
        </w:rPr>
        <w:br/>
      </w:r>
      <w:r w:rsidRPr="00ED172B">
        <w:rPr>
          <w:color w:val="000000" w:themeColor="text1"/>
        </w:rPr>
        <w:br/>
        <w:t>Discussion notes, comments, and analysis conclusions are documented and provided to EA and Lead Agency staff to include in the APR for each indicator where appropriate. Questions requiring additional data are collected for the APR. The EA State Team is responsible for obtaining additional information and data for deeper analysis and discussion at subsequent meetings.</w:t>
      </w:r>
      <w:r w:rsidRPr="00ED172B">
        <w:rPr>
          <w:color w:val="000000" w:themeColor="text1"/>
        </w:rPr>
        <w:br/>
      </w:r>
      <w:r w:rsidRPr="00ED172B">
        <w:rPr>
          <w:color w:val="000000" w:themeColor="text1"/>
        </w:rPr>
        <w:br/>
        <w:t xml:space="preserve">The specific stakeholder groups regularly engage in topics of IDEA Part C implementation and evaluation including an annual review of Iowa’s IDEA Part C Annual Performance Report. These groups and other stakeholders have been involved in activities specific to the development of the FFY 2021 APR. </w:t>
      </w:r>
      <w:r w:rsidRPr="00ED172B">
        <w:rPr>
          <w:color w:val="000000" w:themeColor="text1"/>
        </w:rPr>
        <w:br/>
      </w:r>
      <w:r w:rsidRPr="00ED172B">
        <w:rPr>
          <w:color w:val="000000" w:themeColor="text1"/>
        </w:rPr>
        <w:br/>
        <w:t xml:space="preserve">1. State Interagency Coordinating Council (Iowa Council for Early ACCESS); five meetings held annually </w:t>
      </w:r>
      <w:r w:rsidRPr="00ED172B">
        <w:rPr>
          <w:color w:val="000000" w:themeColor="text1"/>
        </w:rPr>
        <w:br/>
        <w:t>-Early ACCESS Service Providers</w:t>
      </w:r>
      <w:r w:rsidRPr="00ED172B">
        <w:rPr>
          <w:color w:val="000000" w:themeColor="text1"/>
        </w:rPr>
        <w:br/>
        <w:t>-Early ACCESS Signatory Agencies (Departments of Health, Human Services, and Iowa Child Health Specialty Clinics)</w:t>
      </w:r>
      <w:r w:rsidRPr="00ED172B">
        <w:rPr>
          <w:color w:val="000000" w:themeColor="text1"/>
        </w:rPr>
        <w:br/>
        <w:t xml:space="preserve">-Early Head Start / Head Start </w:t>
      </w:r>
      <w:r w:rsidRPr="00ED172B">
        <w:rPr>
          <w:color w:val="000000" w:themeColor="text1"/>
        </w:rPr>
        <w:br/>
        <w:t>-Iowa IDEA Part C Lead Agency (Department of Education)</w:t>
      </w:r>
      <w:r w:rsidRPr="00ED172B">
        <w:rPr>
          <w:color w:val="000000" w:themeColor="text1"/>
        </w:rPr>
        <w:br/>
        <w:t>-Medical / Health Care Providers</w:t>
      </w:r>
      <w:r w:rsidRPr="00ED172B">
        <w:rPr>
          <w:color w:val="000000" w:themeColor="text1"/>
        </w:rPr>
        <w:br/>
        <w:t>-Mental Health Providers</w:t>
      </w:r>
      <w:r w:rsidRPr="00ED172B">
        <w:rPr>
          <w:color w:val="000000" w:themeColor="text1"/>
        </w:rPr>
        <w:br/>
        <w:t>-Parent Training and Information Center</w:t>
      </w:r>
      <w:r w:rsidRPr="00ED172B">
        <w:rPr>
          <w:color w:val="000000" w:themeColor="text1"/>
        </w:rPr>
        <w:br/>
        <w:t>-Parents of Children with Disabilities</w:t>
      </w:r>
      <w:r w:rsidRPr="00ED172B">
        <w:rPr>
          <w:color w:val="000000" w:themeColor="text1"/>
        </w:rPr>
        <w:br/>
        <w:t>-Personnel Preparation / Institutes of Higher Education</w:t>
      </w:r>
      <w:r w:rsidRPr="00ED172B">
        <w:rPr>
          <w:color w:val="000000" w:themeColor="text1"/>
        </w:rPr>
        <w:br/>
        <w:t>-Private Health Insurance / Insurance Commission</w:t>
      </w:r>
      <w:r w:rsidRPr="00ED172B">
        <w:rPr>
          <w:color w:val="000000" w:themeColor="text1"/>
        </w:rPr>
        <w:br/>
        <w:t xml:space="preserve">-Special Education / IDEA Part B 619 </w:t>
      </w:r>
      <w:r w:rsidRPr="00ED172B">
        <w:rPr>
          <w:color w:val="000000" w:themeColor="text1"/>
        </w:rPr>
        <w:br/>
        <w:t>-State Legislators</w:t>
      </w:r>
      <w:r w:rsidRPr="00ED172B">
        <w:rPr>
          <w:color w:val="000000" w:themeColor="text1"/>
        </w:rPr>
        <w:br/>
      </w:r>
      <w:r w:rsidRPr="00ED172B">
        <w:rPr>
          <w:color w:val="000000" w:themeColor="text1"/>
        </w:rPr>
        <w:br/>
        <w:t>2. Regional Grantee Administrators (Directors of Special Education) for nine Regional Grantees; weekly and monthly meetings.</w:t>
      </w:r>
      <w:r w:rsidRPr="00ED172B">
        <w:rPr>
          <w:color w:val="000000" w:themeColor="text1"/>
        </w:rPr>
        <w:br/>
      </w:r>
      <w:r w:rsidRPr="00ED172B">
        <w:rPr>
          <w:color w:val="000000" w:themeColor="text1"/>
        </w:rPr>
        <w:br/>
        <w:t>3. Early ACCESS Grantee Leadership Team; five meetings held annually</w:t>
      </w:r>
      <w:r w:rsidRPr="00ED172B">
        <w:rPr>
          <w:color w:val="000000" w:themeColor="text1"/>
        </w:rPr>
        <w:br/>
        <w:t>-Regional Grantee Administration</w:t>
      </w:r>
      <w:r w:rsidRPr="00ED172B">
        <w:rPr>
          <w:color w:val="000000" w:themeColor="text1"/>
        </w:rPr>
        <w:br/>
        <w:t>-Regional Grantees</w:t>
      </w:r>
      <w:r w:rsidRPr="00ED172B">
        <w:rPr>
          <w:color w:val="000000" w:themeColor="text1"/>
        </w:rPr>
        <w:br/>
        <w:t>-Signatory Agencies</w:t>
      </w:r>
      <w:r w:rsidRPr="00ED172B">
        <w:rPr>
          <w:color w:val="000000" w:themeColor="text1"/>
        </w:rPr>
        <w:br/>
        <w:t>-Specialized Lead Consultants</w:t>
      </w:r>
      <w:r w:rsidRPr="00ED172B">
        <w:rPr>
          <w:color w:val="000000" w:themeColor="text1"/>
        </w:rPr>
        <w:br/>
      </w:r>
      <w:r w:rsidRPr="00ED172B">
        <w:rPr>
          <w:color w:val="000000" w:themeColor="text1"/>
        </w:rPr>
        <w:lastRenderedPageBreak/>
        <w:br/>
        <w:t>4. Early ACCESS SSIP (C11) Team; held every 2 months</w:t>
      </w:r>
      <w:r w:rsidRPr="00ED172B">
        <w:rPr>
          <w:color w:val="000000" w:themeColor="text1"/>
        </w:rPr>
        <w:br/>
        <w:t xml:space="preserve">-EA CSPD </w:t>
      </w:r>
      <w:r w:rsidRPr="00ED172B">
        <w:rPr>
          <w:color w:val="000000" w:themeColor="text1"/>
        </w:rPr>
        <w:br/>
        <w:t>-Lead Agency EA Leadership</w:t>
      </w:r>
      <w:r w:rsidRPr="00ED172B">
        <w:rPr>
          <w:color w:val="000000" w:themeColor="text1"/>
        </w:rPr>
        <w:br/>
        <w:t>-Regional Grantee Administration</w:t>
      </w:r>
      <w:r w:rsidRPr="00ED172B">
        <w:rPr>
          <w:color w:val="000000" w:themeColor="text1"/>
        </w:rPr>
        <w:br/>
      </w:r>
      <w:r w:rsidRPr="00ED172B">
        <w:rPr>
          <w:color w:val="000000" w:themeColor="text1"/>
        </w:rPr>
        <w:br/>
        <w:t>5. Early ACCESS Ad Hoc Task Teams; as needed</w:t>
      </w:r>
      <w:r w:rsidRPr="00ED172B">
        <w:rPr>
          <w:color w:val="000000" w:themeColor="text1"/>
        </w:rPr>
        <w:br/>
      </w:r>
      <w:r w:rsidRPr="00ED172B">
        <w:rPr>
          <w:color w:val="000000" w:themeColor="text1"/>
        </w:rPr>
        <w:br/>
        <w:t xml:space="preserve">In addition to the review of APR indicator data, stakeholders and EA regional and state-level implementation teams routinely review data related to the ongoing implementation and continuous improvement of the IDEA Part C State Systemic Improvement Plan (SSIP), or indicator C11. Data related to the SSIP </w:t>
      </w:r>
      <w:proofErr w:type="gramStart"/>
      <w:r w:rsidRPr="00ED172B">
        <w:rPr>
          <w:color w:val="000000" w:themeColor="text1"/>
        </w:rPr>
        <w:t>includes:</w:t>
      </w:r>
      <w:proofErr w:type="gramEnd"/>
      <w:r w:rsidRPr="00ED172B">
        <w:rPr>
          <w:color w:val="000000" w:themeColor="text1"/>
        </w:rPr>
        <w:t xml:space="preserve"> services provided; frequency and intensity of services; disaggregated early childhood outcomes data; and family outcome data. Stakeholders provide input and decisions at scheduled meetings throughout the year as well as between meetings when a need for input is identified.</w:t>
      </w:r>
      <w:r w:rsidRPr="00ED172B">
        <w:rPr>
          <w:color w:val="000000" w:themeColor="text1"/>
        </w:rPr>
        <w:br/>
      </w:r>
      <w:r w:rsidRPr="00ED172B">
        <w:rPr>
          <w:color w:val="000000" w:themeColor="text1"/>
        </w:rPr>
        <w:br/>
        <w:t>More recently, members of the EA State Team have convened ad hoc meetings with Regional Grantee Administrators to specifically review data and reporting details. These will contribute to a revised consolidated report for general supervision activities to be submitted and reviewed by the Lead Agency and EA State Team annually, at minimum.</w:t>
      </w:r>
      <w:r w:rsidRPr="00ED172B">
        <w:rPr>
          <w:color w:val="000000" w:themeColor="text1"/>
        </w:rPr>
        <w:br/>
      </w:r>
      <w:r w:rsidRPr="00ED172B">
        <w:rPr>
          <w:color w:val="000000" w:themeColor="text1"/>
        </w:rPr>
        <w:br/>
        <w:t>The data are used to inform decisions about personnel development related to the use of evidence-based practices as well as addressing barriers for successful implementation.</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 xml:space="preserve">State efforts for stakeholder engagement focused on activities with established groups including the Early ACCESS Grantee Leadership Team, Iowa Council for Early ACCESS (ICEA), Early ACCESS State Team, and Regional Grantee Administrators (AEA Directors of Special Education). Activities included data review, reflection and revision of implementation of evidence-based practices, and analysis of infrastructure improvements. In addition, regional implementation teams met routinely to review implementation practices and data respective to their agencies. </w:t>
      </w:r>
      <w:r w:rsidRPr="00ED172B">
        <w:rPr>
          <w:color w:val="000000" w:themeColor="text1"/>
        </w:rPr>
        <w:br/>
      </w:r>
      <w:r w:rsidRPr="00ED172B">
        <w:rPr>
          <w:color w:val="000000" w:themeColor="text1"/>
        </w:rPr>
        <w:br/>
        <w:t>Several of the stakeholder groups include families with children with disabilities or developmental delays. Regions have continued to expand membership of regional implementation teams to include families. Stakeholder input was also shared with the FSU team through facilitated discussions with various groups.</w:t>
      </w:r>
      <w:r w:rsidRPr="00ED172B">
        <w:rPr>
          <w:color w:val="000000" w:themeColor="text1"/>
        </w:rPr>
        <w:br/>
      </w:r>
      <w:r w:rsidRPr="00ED172B">
        <w:rPr>
          <w:color w:val="000000" w:themeColor="text1"/>
        </w:rPr>
        <w:br/>
        <w:t>Some of the specific stakeholder activities during FFY 2021 included:</w:t>
      </w:r>
      <w:r w:rsidRPr="00ED172B">
        <w:rPr>
          <w:color w:val="000000" w:themeColor="text1"/>
        </w:rPr>
        <w:br/>
        <w:t>- Developing and implementing a new data system, ACHIEVE, which included Early ACCESS providers, Signatory Agency representatives, administrators, and families;</w:t>
      </w:r>
      <w:r w:rsidRPr="00ED172B">
        <w:rPr>
          <w:color w:val="000000" w:themeColor="text1"/>
        </w:rPr>
        <w:br/>
        <w:t>- Discussing the implementation plan for 2022-2023 with Regional Grantee Administrators (AEA Directors of Special Education); and,</w:t>
      </w:r>
      <w:r w:rsidRPr="00ED172B">
        <w:rPr>
          <w:color w:val="000000" w:themeColor="text1"/>
        </w:rPr>
        <w:br/>
        <w:t>- Designing and implementing professional learning for use of ACHIEVE, which included Early ACCESS providers, Signatory Agency representatives, and administrators.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bookmarkStart w:id="85" w:name="_Hlk109647102"/>
      <w:r>
        <w:rPr>
          <w:rFonts w:cs="Arial"/>
          <w:b/>
          <w:bCs/>
        </w:rPr>
        <w:t xml:space="preserve">Describe how the State addressed the concerns expressed by stakeholders. </w:t>
      </w:r>
    </w:p>
    <w:bookmarkEnd w:id="85"/>
    <w:p w14:paraId="18AA4CF0" w14:textId="426ABC15" w:rsidR="0072398B" w:rsidRDefault="004A571B" w:rsidP="006237B0">
      <w:pPr>
        <w:rPr>
          <w:color w:val="000000" w:themeColor="text1"/>
        </w:rPr>
      </w:pPr>
      <w:r w:rsidRPr="00ED172B">
        <w:rPr>
          <w:color w:val="000000" w:themeColor="text1"/>
        </w:rPr>
        <w:t xml:space="preserve">The Regional Grantee Administrators have been concerned about the time and resource allocation needed to continue the established professional development model past 2023, when the current contracted supports provided by FSU cease. Conversations have continued and a sustainability plan is under development with the input and agreement of all Regional Grantee Administrators, which will commence in October 2023.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6"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6"/>
    <w:p w14:paraId="54FDC4CC" w14:textId="4E342817" w:rsidR="00917FC3" w:rsidRPr="00F85A5B" w:rsidRDefault="00917FC3" w:rsidP="004E393A">
      <w:pPr>
        <w:rPr>
          <w:color w:val="000000" w:themeColor="text1"/>
        </w:rPr>
      </w:pPr>
      <w:r w:rsidRPr="00ED172B">
        <w:rPr>
          <w:color w:val="000000" w:themeColor="text1"/>
        </w:rPr>
        <w:t>Not applicable.</w:t>
      </w:r>
    </w:p>
    <w:p w14:paraId="7E4D8D02" w14:textId="77777777" w:rsidR="00297898" w:rsidRPr="00297898" w:rsidRDefault="00297898" w:rsidP="00297898">
      <w:pPr>
        <w:rPr>
          <w:rFonts w:cs="Arial"/>
          <w:b/>
          <w:bCs/>
        </w:rPr>
      </w:pPr>
      <w:bookmarkStart w:id="87"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7"/>
    <w:p w14:paraId="08124F49" w14:textId="4CDFC9D0" w:rsidR="006237B0" w:rsidRDefault="007B151D" w:rsidP="00067F9F">
      <w:pPr>
        <w:spacing w:before="0" w:after="0"/>
        <w:rPr>
          <w:color w:val="000000" w:themeColor="text1"/>
        </w:rPr>
      </w:pPr>
      <w:r w:rsidRPr="00ED172B">
        <w:rPr>
          <w:color w:val="000000" w:themeColor="text1"/>
        </w:rPr>
        <w:t>Not applicable.</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8" w:name="_Hlk109647121"/>
      <w:r w:rsidRPr="009E0726">
        <w:rPr>
          <w:rFonts w:cs="Arial"/>
          <w:b/>
          <w:bCs/>
        </w:rPr>
        <w:t>Describe any newly identified barriers and include steps to address these barriers.</w:t>
      </w:r>
    </w:p>
    <w:bookmarkEnd w:id="88"/>
    <w:p w14:paraId="6E8B2008" w14:textId="0F892B41" w:rsidR="00F40121" w:rsidRDefault="00F40121" w:rsidP="00F40121">
      <w:pPr>
        <w:rPr>
          <w:color w:val="000000" w:themeColor="text1"/>
        </w:rPr>
      </w:pPr>
      <w:r w:rsidRPr="00ED172B">
        <w:rPr>
          <w:color w:val="000000" w:themeColor="text1"/>
        </w:rPr>
        <w:t>Not applicable.</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9" w:name="_Hlk109647123"/>
      <w:r w:rsidRPr="00261010">
        <w:rPr>
          <w:rFonts w:cs="Arial"/>
          <w:b/>
          <w:bCs/>
        </w:rPr>
        <w:t>Provide additional information about this indicator (optional).</w:t>
      </w:r>
    </w:p>
    <w:bookmarkEnd w:id="89"/>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Kimberly </w:t>
      </w:r>
      <w:proofErr w:type="spellStart"/>
      <w:r w:rsidRPr="00ED172B">
        <w:rPr>
          <w:rFonts w:cs="Arial"/>
          <w:bCs/>
          <w:color w:val="000000" w:themeColor="text1"/>
          <w:szCs w:val="16"/>
        </w:rPr>
        <w:t>Villotti</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Bureau Chief</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kimberly.villotti@iowa.gov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5153395519</w:t>
      </w:r>
      <w:bookmarkEnd w:id="62"/>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9:33:39</w:t>
      </w:r>
      <w:proofErr w:type="gramEnd"/>
      <w:r w:rsidRPr="00ED172B">
        <w:rPr>
          <w:rFonts w:cs="Arial"/>
          <w:bCs/>
          <w:color w:val="000000" w:themeColor="text1"/>
          <w:szCs w:val="16"/>
        </w:rPr>
        <w:t xml:space="preserve"> AM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3E98A6F8" w14:textId="660A1CCE" w:rsidR="00F86800" w:rsidRPr="00F86800" w:rsidRDefault="00F86800" w:rsidP="00F86800">
      <w:pPr>
        <w:rPr>
          <w:b/>
          <w:bCs/>
          <w:sz w:val="20"/>
          <w:szCs w:val="28"/>
        </w:rPr>
      </w:pPr>
      <w:r w:rsidRPr="00F86800">
        <w:rPr>
          <w:b/>
          <w:bCs/>
          <w:sz w:val="20"/>
          <w:szCs w:val="28"/>
        </w:rPr>
        <w:t>Iowa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75.00%</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4</w:t>
            </w:r>
          </w:p>
        </w:tc>
        <w:tc>
          <w:tcPr>
            <w:tcW w:w="1218" w:type="pct"/>
          </w:tcPr>
          <w:p w14:paraId="4A2646A0" w14:textId="15C11718" w:rsidR="005E363D" w:rsidRPr="00210AC6" w:rsidRDefault="005E363D" w:rsidP="005E363D">
            <w:pPr>
              <w:rPr>
                <w:rFonts w:cs="Arial"/>
                <w:szCs w:val="16"/>
              </w:rPr>
            </w:pPr>
            <w:r w:rsidRPr="009E3CB1">
              <w:t>50.00%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14</w:t>
            </w:r>
          </w:p>
        </w:tc>
        <w:tc>
          <w:tcPr>
            <w:tcW w:w="1218" w:type="pct"/>
          </w:tcPr>
          <w:p w14:paraId="0AF6DC9A" w14:textId="17AC6D6F" w:rsidR="005E363D" w:rsidRPr="00210AC6" w:rsidRDefault="005E363D" w:rsidP="005E363D">
            <w:pPr>
              <w:rPr>
                <w:rFonts w:cs="Arial"/>
                <w:szCs w:val="16"/>
              </w:rPr>
            </w:pPr>
            <w:r w:rsidRPr="009E3CB1">
              <w:t>100.00%</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1,871</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2,994</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62.49</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1</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0</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46.83%</w:t>
            </w:r>
          </w:p>
        </w:tc>
        <w:tc>
          <w:tcPr>
            <w:tcW w:w="715" w:type="pct"/>
          </w:tcPr>
          <w:p w14:paraId="542CEEB9" w14:textId="37E21014" w:rsidR="00B03B19" w:rsidRPr="00210AC6" w:rsidRDefault="00B03B19" w:rsidP="00B03B19">
            <w:pPr>
              <w:rPr>
                <w:rFonts w:cs="Arial"/>
                <w:szCs w:val="16"/>
              </w:rPr>
            </w:pPr>
            <w:r w:rsidRPr="00A46401">
              <w:t>51.68%</w:t>
            </w:r>
          </w:p>
        </w:tc>
        <w:tc>
          <w:tcPr>
            <w:tcW w:w="714" w:type="pct"/>
          </w:tcPr>
          <w:p w14:paraId="082867DD" w14:textId="7F23B051" w:rsidR="00B03B19" w:rsidRPr="00210AC6" w:rsidRDefault="00B03B19" w:rsidP="00B03B19">
            <w:pPr>
              <w:rPr>
                <w:rFonts w:cs="Arial"/>
                <w:szCs w:val="16"/>
              </w:rPr>
            </w:pPr>
            <w:r w:rsidRPr="00A46401">
              <w:t>53.03%</w:t>
            </w:r>
          </w:p>
        </w:tc>
        <w:tc>
          <w:tcPr>
            <w:tcW w:w="714" w:type="pct"/>
          </w:tcPr>
          <w:p w14:paraId="798EA0C8" w14:textId="2776FB61" w:rsidR="00B03B19" w:rsidRPr="00210AC6" w:rsidRDefault="00B03B19" w:rsidP="00B03B19">
            <w:pPr>
              <w:rPr>
                <w:rFonts w:cs="Arial"/>
                <w:szCs w:val="16"/>
              </w:rPr>
            </w:pPr>
            <w:r w:rsidRPr="00A46401">
              <w:t>38.96%</w:t>
            </w:r>
          </w:p>
        </w:tc>
        <w:tc>
          <w:tcPr>
            <w:tcW w:w="714" w:type="pct"/>
          </w:tcPr>
          <w:p w14:paraId="53B8C0FF" w14:textId="1ABA1A1C" w:rsidR="00B03B19" w:rsidRPr="00210AC6" w:rsidRDefault="00B03B19" w:rsidP="00B03B19">
            <w:pPr>
              <w:rPr>
                <w:rFonts w:cs="Arial"/>
                <w:szCs w:val="16"/>
              </w:rPr>
            </w:pPr>
            <w:r w:rsidRPr="00A46401">
              <w:t>54.84%</w:t>
            </w:r>
          </w:p>
        </w:tc>
        <w:tc>
          <w:tcPr>
            <w:tcW w:w="713" w:type="pct"/>
          </w:tcPr>
          <w:p w14:paraId="71D0CC34" w14:textId="38E23520" w:rsidR="00B03B19" w:rsidRPr="00210AC6" w:rsidRDefault="00B03B19" w:rsidP="00B03B19">
            <w:pPr>
              <w:rPr>
                <w:rFonts w:cs="Arial"/>
                <w:szCs w:val="16"/>
              </w:rPr>
            </w:pPr>
            <w:r w:rsidRPr="00A46401">
              <w:t>56.44%</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44.23%</w:t>
            </w:r>
          </w:p>
        </w:tc>
        <w:tc>
          <w:tcPr>
            <w:tcW w:w="715" w:type="pct"/>
          </w:tcPr>
          <w:p w14:paraId="4A7F27F4" w14:textId="16E8DAC9" w:rsidR="00A96CE2" w:rsidRPr="00210AC6" w:rsidRDefault="00A96CE2" w:rsidP="00A96CE2">
            <w:pPr>
              <w:rPr>
                <w:rFonts w:cs="Arial"/>
                <w:szCs w:val="16"/>
              </w:rPr>
            </w:pPr>
            <w:r w:rsidRPr="00902025">
              <w:t>53.32%</w:t>
            </w:r>
          </w:p>
        </w:tc>
        <w:tc>
          <w:tcPr>
            <w:tcW w:w="714" w:type="pct"/>
          </w:tcPr>
          <w:p w14:paraId="0B2C982E" w14:textId="60B64CC6" w:rsidR="00A96CE2" w:rsidRPr="00210AC6" w:rsidRDefault="00A96CE2" w:rsidP="00A96CE2">
            <w:pPr>
              <w:rPr>
                <w:rFonts w:cs="Arial"/>
                <w:szCs w:val="16"/>
              </w:rPr>
            </w:pPr>
            <w:r w:rsidRPr="00902025">
              <w:t>50.93%</w:t>
            </w:r>
          </w:p>
        </w:tc>
        <w:tc>
          <w:tcPr>
            <w:tcW w:w="714" w:type="pct"/>
          </w:tcPr>
          <w:p w14:paraId="48D6DCB3" w14:textId="035BCB73" w:rsidR="00A96CE2" w:rsidRPr="00210AC6" w:rsidRDefault="00A96CE2" w:rsidP="00A96CE2">
            <w:pPr>
              <w:rPr>
                <w:rFonts w:cs="Arial"/>
                <w:szCs w:val="16"/>
              </w:rPr>
            </w:pPr>
            <w:r w:rsidRPr="00902025">
              <w:t>38.10%</w:t>
            </w:r>
          </w:p>
        </w:tc>
        <w:tc>
          <w:tcPr>
            <w:tcW w:w="714" w:type="pct"/>
          </w:tcPr>
          <w:p w14:paraId="75DD9D82" w14:textId="41901A3C" w:rsidR="00A96CE2" w:rsidRPr="00210AC6" w:rsidRDefault="00A96CE2" w:rsidP="00A96CE2">
            <w:pPr>
              <w:rPr>
                <w:rFonts w:cs="Arial"/>
                <w:szCs w:val="16"/>
              </w:rPr>
            </w:pPr>
            <w:r w:rsidRPr="00902025">
              <w:t>54.56%</w:t>
            </w:r>
          </w:p>
        </w:tc>
        <w:tc>
          <w:tcPr>
            <w:tcW w:w="713" w:type="pct"/>
          </w:tcPr>
          <w:p w14:paraId="51F0864D" w14:textId="7593AA05" w:rsidR="00A96CE2" w:rsidRPr="00210AC6" w:rsidRDefault="00A96CE2" w:rsidP="00A96CE2">
            <w:pPr>
              <w:rPr>
                <w:rFonts w:cs="Arial"/>
                <w:szCs w:val="16"/>
              </w:rPr>
            </w:pPr>
            <w:r w:rsidRPr="00902025">
              <w:t>55.95%</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99.85%</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2</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99.11%</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2</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98.66%</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99.12%</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100.00%</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2</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If your State's FFY 2021 data reported in a progress category fell below the calculated "low percentage" or above the "high percentage" for that progress category for all States, the data in that particular category are statistically improbable outliers and considered an anomaly for that progress category. If your State’s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1,871</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55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616</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233</w:t>
            </w:r>
          </w:p>
        </w:tc>
        <w:tc>
          <w:tcPr>
            <w:tcW w:w="833" w:type="pct"/>
          </w:tcPr>
          <w:p w14:paraId="4C7FEB04" w14:textId="77777777" w:rsidR="00B25161" w:rsidRPr="00E0465B" w:rsidRDefault="00B25161" w:rsidP="00B25161">
            <w:pPr>
              <w:rPr>
                <w:rFonts w:cs="Arial"/>
                <w:bCs/>
                <w:szCs w:val="16"/>
              </w:rPr>
            </w:pPr>
            <w:r w:rsidRPr="00E0465B">
              <w:rPr>
                <w:rFonts w:cs="Arial"/>
                <w:bCs/>
                <w:szCs w:val="16"/>
              </w:rPr>
              <w:t>358</w:t>
            </w:r>
          </w:p>
        </w:tc>
        <w:tc>
          <w:tcPr>
            <w:tcW w:w="835" w:type="pct"/>
          </w:tcPr>
          <w:p w14:paraId="6267C81A" w14:textId="77777777" w:rsidR="00B25161" w:rsidRPr="00E0465B" w:rsidRDefault="00B25161" w:rsidP="00B25161">
            <w:pPr>
              <w:rPr>
                <w:rFonts w:cs="Arial"/>
                <w:bCs/>
                <w:szCs w:val="16"/>
              </w:rPr>
            </w:pPr>
            <w:r w:rsidRPr="00E0465B">
              <w:rPr>
                <w:rFonts w:cs="Arial"/>
                <w:bCs/>
                <w:szCs w:val="16"/>
              </w:rPr>
              <w:t>609</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2.94%</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32.92%</w:t>
            </w:r>
          </w:p>
        </w:tc>
        <w:tc>
          <w:tcPr>
            <w:tcW w:w="833" w:type="pct"/>
          </w:tcPr>
          <w:p w14:paraId="398F2D3D" w14:textId="68B45EA5" w:rsidR="00B25161" w:rsidRPr="00E0465B" w:rsidRDefault="00B25161" w:rsidP="00B25161">
            <w:pPr>
              <w:rPr>
                <w:rFonts w:cs="Arial"/>
                <w:bCs/>
                <w:szCs w:val="16"/>
              </w:rPr>
            </w:pPr>
            <w:r w:rsidRPr="00E0465B">
              <w:rPr>
                <w:rFonts w:cs="Arial"/>
                <w:bCs/>
                <w:szCs w:val="16"/>
              </w:rPr>
              <w:t>12.45%</w:t>
            </w:r>
          </w:p>
        </w:tc>
        <w:tc>
          <w:tcPr>
            <w:tcW w:w="833" w:type="pct"/>
          </w:tcPr>
          <w:p w14:paraId="44C74C6F" w14:textId="0FC8FB40" w:rsidR="00B25161" w:rsidRPr="00E0465B" w:rsidRDefault="00B25161" w:rsidP="00B25161">
            <w:pPr>
              <w:rPr>
                <w:rFonts w:cs="Arial"/>
                <w:bCs/>
                <w:szCs w:val="16"/>
              </w:rPr>
            </w:pPr>
            <w:r w:rsidRPr="00E0465B">
              <w:rPr>
                <w:rFonts w:cs="Arial"/>
                <w:bCs/>
                <w:szCs w:val="16"/>
              </w:rPr>
              <w:t>19.13%</w:t>
            </w:r>
          </w:p>
        </w:tc>
        <w:tc>
          <w:tcPr>
            <w:tcW w:w="835" w:type="pct"/>
          </w:tcPr>
          <w:p w14:paraId="2CCC1EE9" w14:textId="4C738514" w:rsidR="00B25161" w:rsidRPr="00E0465B" w:rsidRDefault="00B25161" w:rsidP="00B25161">
            <w:pPr>
              <w:rPr>
                <w:rFonts w:cs="Arial"/>
                <w:bCs/>
                <w:szCs w:val="16"/>
              </w:rPr>
            </w:pPr>
            <w:r w:rsidRPr="00E0465B">
              <w:rPr>
                <w:rFonts w:cs="Arial"/>
                <w:bCs/>
                <w:szCs w:val="16"/>
              </w:rPr>
              <w:t>32.55%</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12</w:t>
            </w:r>
          </w:p>
        </w:tc>
        <w:tc>
          <w:tcPr>
            <w:tcW w:w="833" w:type="pct"/>
          </w:tcPr>
          <w:p w14:paraId="6AACF40D" w14:textId="77777777" w:rsidR="00B25161" w:rsidRPr="00E0465B" w:rsidRDefault="00B25161" w:rsidP="00B25161">
            <w:pPr>
              <w:rPr>
                <w:rFonts w:cs="Arial"/>
                <w:bCs/>
                <w:szCs w:val="16"/>
              </w:rPr>
            </w:pPr>
            <w:r w:rsidRPr="00E0465B">
              <w:rPr>
                <w:rFonts w:cs="Arial"/>
                <w:bCs/>
                <w:szCs w:val="16"/>
              </w:rPr>
              <w:t>748</w:t>
            </w:r>
          </w:p>
        </w:tc>
        <w:tc>
          <w:tcPr>
            <w:tcW w:w="833" w:type="pct"/>
          </w:tcPr>
          <w:p w14:paraId="081B7FED" w14:textId="77777777" w:rsidR="00B25161" w:rsidRPr="00E0465B" w:rsidRDefault="00B25161" w:rsidP="00B25161">
            <w:pPr>
              <w:rPr>
                <w:rFonts w:cs="Arial"/>
                <w:bCs/>
                <w:szCs w:val="16"/>
              </w:rPr>
            </w:pPr>
            <w:r w:rsidRPr="00E0465B">
              <w:rPr>
                <w:rFonts w:cs="Arial"/>
                <w:bCs/>
                <w:szCs w:val="16"/>
              </w:rPr>
              <w:t>382</w:t>
            </w:r>
          </w:p>
        </w:tc>
        <w:tc>
          <w:tcPr>
            <w:tcW w:w="833" w:type="pct"/>
          </w:tcPr>
          <w:p w14:paraId="22075B7A" w14:textId="77777777" w:rsidR="00B25161" w:rsidRPr="00E0465B" w:rsidRDefault="00B25161" w:rsidP="00B25161">
            <w:pPr>
              <w:rPr>
                <w:rFonts w:cs="Arial"/>
                <w:bCs/>
                <w:szCs w:val="16"/>
              </w:rPr>
            </w:pPr>
            <w:r w:rsidRPr="00E0465B">
              <w:rPr>
                <w:rFonts w:cs="Arial"/>
                <w:bCs/>
                <w:szCs w:val="16"/>
              </w:rPr>
              <w:t>476</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253</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0.64%</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39.98%</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20.42%</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25.44%</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13.52%</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10</w:t>
            </w:r>
          </w:p>
        </w:tc>
        <w:tc>
          <w:tcPr>
            <w:tcW w:w="833" w:type="pct"/>
          </w:tcPr>
          <w:p w14:paraId="13413534" w14:textId="77777777" w:rsidR="00B25161" w:rsidRPr="00E0465B" w:rsidRDefault="00B25161" w:rsidP="00B25161">
            <w:pPr>
              <w:rPr>
                <w:rFonts w:cs="Arial"/>
                <w:bCs/>
                <w:szCs w:val="16"/>
              </w:rPr>
            </w:pPr>
            <w:r w:rsidRPr="00E0465B">
              <w:rPr>
                <w:rFonts w:cs="Arial"/>
                <w:bCs/>
                <w:szCs w:val="16"/>
              </w:rPr>
              <w:t>583</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222</w:t>
            </w:r>
          </w:p>
        </w:tc>
        <w:tc>
          <w:tcPr>
            <w:tcW w:w="833" w:type="pct"/>
          </w:tcPr>
          <w:p w14:paraId="4915D083" w14:textId="77777777" w:rsidR="00B25161" w:rsidRPr="00E0465B" w:rsidRDefault="00B25161" w:rsidP="00B25161">
            <w:pPr>
              <w:rPr>
                <w:rFonts w:cs="Arial"/>
                <w:bCs/>
                <w:szCs w:val="16"/>
              </w:rPr>
            </w:pPr>
            <w:r w:rsidRPr="00E0465B">
              <w:rPr>
                <w:rFonts w:cs="Arial"/>
                <w:bCs/>
                <w:szCs w:val="16"/>
              </w:rPr>
              <w:t>498</w:t>
            </w:r>
          </w:p>
        </w:tc>
        <w:tc>
          <w:tcPr>
            <w:tcW w:w="833" w:type="pct"/>
          </w:tcPr>
          <w:p w14:paraId="64ED007D" w14:textId="77777777" w:rsidR="00B25161" w:rsidRPr="00E0465B" w:rsidRDefault="00B25161" w:rsidP="00B25161">
            <w:pPr>
              <w:rPr>
                <w:rFonts w:cs="Arial"/>
                <w:bCs/>
                <w:szCs w:val="16"/>
              </w:rPr>
            </w:pPr>
            <w:r w:rsidRPr="00E0465B">
              <w:rPr>
                <w:rFonts w:cs="Arial"/>
                <w:bCs/>
                <w:szCs w:val="16"/>
              </w:rPr>
              <w:t>558</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0.53%</w:t>
            </w:r>
          </w:p>
        </w:tc>
        <w:tc>
          <w:tcPr>
            <w:tcW w:w="833" w:type="pct"/>
          </w:tcPr>
          <w:p w14:paraId="127BF181" w14:textId="3BECFE2D" w:rsidR="00B25161" w:rsidRPr="00E0465B" w:rsidRDefault="00B25161" w:rsidP="00B25161">
            <w:pPr>
              <w:rPr>
                <w:rFonts w:cs="Arial"/>
                <w:bCs/>
                <w:szCs w:val="16"/>
              </w:rPr>
            </w:pPr>
            <w:r w:rsidRPr="00E0465B">
              <w:rPr>
                <w:rFonts w:cs="Arial"/>
                <w:bCs/>
                <w:szCs w:val="16"/>
              </w:rPr>
              <w:t>31.16%</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11.87%</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26.62%</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29.82%</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46.83%</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51.68%</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53.03%</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38.96%</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54.84%</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56.44%</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0</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0</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4</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0</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Step 7: The score for each summary statement and outcome is summed to create a total score with a minimum of 0 and a maximum of 12. The score for the test of proportional difference is assigned a score for the Indicator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1,438</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44.23%</w:t>
            </w:r>
          </w:p>
        </w:tc>
        <w:tc>
          <w:tcPr>
            <w:tcW w:w="409" w:type="pct"/>
          </w:tcPr>
          <w:p w14:paraId="6338C1B2" w14:textId="7BC386DE" w:rsidR="002163B7" w:rsidRPr="002163B7" w:rsidRDefault="002163B7" w:rsidP="002163B7">
            <w:pPr>
              <w:rPr>
                <w:rFonts w:cs="Arial"/>
                <w:bCs/>
                <w:szCs w:val="16"/>
              </w:rPr>
            </w:pPr>
            <w:r w:rsidRPr="002163B7">
              <w:rPr>
                <w:rFonts w:cs="Arial"/>
                <w:bCs/>
                <w:szCs w:val="16"/>
              </w:rPr>
              <w:t>1,262</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46.83%</w:t>
            </w:r>
          </w:p>
        </w:tc>
        <w:tc>
          <w:tcPr>
            <w:tcW w:w="579" w:type="pct"/>
          </w:tcPr>
          <w:p w14:paraId="27AAECA7" w14:textId="77777777" w:rsidR="002163B7" w:rsidRPr="002163B7" w:rsidRDefault="002163B7" w:rsidP="002163B7">
            <w:pPr>
              <w:rPr>
                <w:rFonts w:cs="Arial"/>
                <w:bCs/>
                <w:szCs w:val="16"/>
              </w:rPr>
            </w:pPr>
            <w:r w:rsidRPr="002163B7">
              <w:rPr>
                <w:rFonts w:cs="Arial"/>
                <w:bCs/>
                <w:szCs w:val="16"/>
              </w:rPr>
              <w:t>2.60</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0.0192</w:t>
            </w:r>
          </w:p>
        </w:tc>
        <w:tc>
          <w:tcPr>
            <w:tcW w:w="386" w:type="pct"/>
          </w:tcPr>
          <w:p w14:paraId="7D05A1C3" w14:textId="77777777" w:rsidR="002163B7" w:rsidRPr="002163B7" w:rsidRDefault="002163B7" w:rsidP="002163B7">
            <w:pPr>
              <w:rPr>
                <w:rFonts w:cs="Arial"/>
                <w:bCs/>
                <w:szCs w:val="16"/>
              </w:rPr>
            </w:pPr>
            <w:r w:rsidRPr="002163B7">
              <w:rPr>
                <w:rFonts w:cs="Arial"/>
                <w:bCs/>
                <w:szCs w:val="16"/>
              </w:rPr>
              <w:t>1.3550</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0.1754</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1,887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50.93%</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1,618</w:t>
            </w:r>
          </w:p>
        </w:tc>
        <w:tc>
          <w:tcPr>
            <w:tcW w:w="451" w:type="pct"/>
          </w:tcPr>
          <w:p w14:paraId="633C801B" w14:textId="4A295D67" w:rsidR="002163B7" w:rsidRPr="002163B7" w:rsidRDefault="002163B7" w:rsidP="002163B7">
            <w:pPr>
              <w:rPr>
                <w:rFonts w:cs="Arial"/>
                <w:bCs/>
                <w:szCs w:val="16"/>
              </w:rPr>
            </w:pPr>
            <w:r w:rsidRPr="002163B7">
              <w:rPr>
                <w:rFonts w:cs="Arial"/>
                <w:bCs/>
                <w:szCs w:val="16"/>
              </w:rPr>
              <w:t>53.03%</w:t>
            </w:r>
          </w:p>
        </w:tc>
        <w:tc>
          <w:tcPr>
            <w:tcW w:w="579" w:type="pct"/>
          </w:tcPr>
          <w:p w14:paraId="230B7EE7" w14:textId="77777777" w:rsidR="002163B7" w:rsidRPr="002163B7" w:rsidRDefault="002163B7" w:rsidP="002163B7">
            <w:pPr>
              <w:rPr>
                <w:rFonts w:cs="Arial"/>
                <w:bCs/>
                <w:szCs w:val="16"/>
              </w:rPr>
            </w:pPr>
            <w:r w:rsidRPr="002163B7">
              <w:rPr>
                <w:rFonts w:cs="Arial"/>
                <w:bCs/>
                <w:szCs w:val="16"/>
              </w:rPr>
              <w:t>2.10</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0.0169</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1.2415</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0.2144</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1,534</w:t>
            </w:r>
          </w:p>
        </w:tc>
        <w:tc>
          <w:tcPr>
            <w:tcW w:w="451" w:type="pct"/>
          </w:tcPr>
          <w:p w14:paraId="540692E3" w14:textId="56E6F3CD" w:rsidR="002163B7" w:rsidRPr="002163B7" w:rsidRDefault="002163B7" w:rsidP="002163B7">
            <w:pPr>
              <w:rPr>
                <w:rFonts w:cs="Arial"/>
                <w:bCs/>
                <w:szCs w:val="16"/>
              </w:rPr>
            </w:pPr>
            <w:r w:rsidRPr="002163B7">
              <w:rPr>
                <w:rFonts w:cs="Arial"/>
                <w:bCs/>
                <w:szCs w:val="16"/>
              </w:rPr>
              <w:t>54.56%</w:t>
            </w:r>
          </w:p>
        </w:tc>
        <w:tc>
          <w:tcPr>
            <w:tcW w:w="409" w:type="pct"/>
          </w:tcPr>
          <w:p w14:paraId="1B3E02C2" w14:textId="2CE8465F" w:rsidR="002163B7" w:rsidRPr="002163B7" w:rsidRDefault="002163B7" w:rsidP="002163B7">
            <w:pPr>
              <w:rPr>
                <w:rFonts w:cs="Arial"/>
                <w:bCs/>
                <w:szCs w:val="16"/>
              </w:rPr>
            </w:pPr>
            <w:r w:rsidRPr="002163B7">
              <w:rPr>
                <w:rFonts w:cs="Arial"/>
                <w:bCs/>
                <w:szCs w:val="16"/>
              </w:rPr>
              <w:t>1,313</w:t>
            </w:r>
          </w:p>
        </w:tc>
        <w:tc>
          <w:tcPr>
            <w:tcW w:w="451" w:type="pct"/>
          </w:tcPr>
          <w:p w14:paraId="34FC7C5B" w14:textId="5058C880" w:rsidR="002163B7" w:rsidRPr="002163B7" w:rsidRDefault="002163B7" w:rsidP="002163B7">
            <w:pPr>
              <w:rPr>
                <w:rFonts w:cs="Arial"/>
                <w:bCs/>
                <w:szCs w:val="16"/>
              </w:rPr>
            </w:pPr>
            <w:r w:rsidRPr="002163B7">
              <w:rPr>
                <w:rFonts w:cs="Arial"/>
                <w:bCs/>
                <w:szCs w:val="16"/>
              </w:rPr>
              <w:t>54.84%</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0.27</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0.0187</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0.1459</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0.884</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2,168</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53.32%</w:t>
            </w:r>
          </w:p>
        </w:tc>
        <w:tc>
          <w:tcPr>
            <w:tcW w:w="409" w:type="pct"/>
          </w:tcPr>
          <w:p w14:paraId="5EAAAE8A" w14:textId="57AB6E77" w:rsidR="002163B7" w:rsidRPr="002163B7" w:rsidRDefault="002163B7" w:rsidP="002163B7">
            <w:pPr>
              <w:rPr>
                <w:rFonts w:cs="Arial"/>
                <w:bCs/>
                <w:szCs w:val="16"/>
              </w:rPr>
            </w:pPr>
            <w:r w:rsidRPr="002163B7">
              <w:rPr>
                <w:rFonts w:cs="Arial"/>
                <w:bCs/>
                <w:szCs w:val="16"/>
              </w:rPr>
              <w:t>1,871</w:t>
            </w:r>
          </w:p>
        </w:tc>
        <w:tc>
          <w:tcPr>
            <w:tcW w:w="451" w:type="pct"/>
          </w:tcPr>
          <w:p w14:paraId="54F6D99F" w14:textId="0EE83B30" w:rsidR="002163B7" w:rsidRPr="002163B7" w:rsidRDefault="002163B7" w:rsidP="002163B7">
            <w:pPr>
              <w:rPr>
                <w:rFonts w:cs="Arial"/>
                <w:bCs/>
                <w:szCs w:val="16"/>
              </w:rPr>
            </w:pPr>
            <w:r w:rsidRPr="002163B7">
              <w:rPr>
                <w:rFonts w:cs="Arial"/>
                <w:bCs/>
                <w:szCs w:val="16"/>
              </w:rPr>
              <w:t>51.68%</w:t>
            </w:r>
          </w:p>
        </w:tc>
        <w:tc>
          <w:tcPr>
            <w:tcW w:w="579" w:type="pct"/>
          </w:tcPr>
          <w:p w14:paraId="1D077B69" w14:textId="77777777" w:rsidR="002163B7" w:rsidRPr="002163B7" w:rsidRDefault="002163B7" w:rsidP="002163B7">
            <w:pPr>
              <w:rPr>
                <w:rFonts w:cs="Arial"/>
                <w:bCs/>
                <w:szCs w:val="16"/>
              </w:rPr>
            </w:pPr>
            <w:r w:rsidRPr="002163B7">
              <w:rPr>
                <w:rFonts w:cs="Arial"/>
                <w:bCs/>
                <w:szCs w:val="16"/>
              </w:rPr>
              <w:t>-1.64</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0.0158</w:t>
            </w:r>
          </w:p>
        </w:tc>
        <w:tc>
          <w:tcPr>
            <w:tcW w:w="386" w:type="pct"/>
          </w:tcPr>
          <w:p w14:paraId="44A41449" w14:textId="77777777" w:rsidR="002163B7" w:rsidRPr="002163B7" w:rsidRDefault="002163B7" w:rsidP="002163B7">
            <w:pPr>
              <w:rPr>
                <w:rFonts w:cs="Arial"/>
                <w:bCs/>
                <w:szCs w:val="16"/>
              </w:rPr>
            </w:pPr>
            <w:r w:rsidRPr="002163B7">
              <w:rPr>
                <w:rFonts w:cs="Arial"/>
                <w:bCs/>
                <w:szCs w:val="16"/>
              </w:rPr>
              <w:t>-1.0392</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0.2987</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2,168</w:t>
            </w:r>
          </w:p>
        </w:tc>
        <w:tc>
          <w:tcPr>
            <w:tcW w:w="451" w:type="pct"/>
          </w:tcPr>
          <w:p w14:paraId="2CE4E688" w14:textId="5431A696" w:rsidR="002163B7" w:rsidRPr="002163B7" w:rsidRDefault="002163B7" w:rsidP="002163B7">
            <w:pPr>
              <w:rPr>
                <w:rFonts w:cs="Arial"/>
                <w:bCs/>
                <w:szCs w:val="16"/>
              </w:rPr>
            </w:pPr>
            <w:r w:rsidRPr="002163B7">
              <w:rPr>
                <w:rFonts w:cs="Arial"/>
                <w:bCs/>
                <w:szCs w:val="16"/>
              </w:rPr>
              <w:t>38.10%</w:t>
            </w:r>
          </w:p>
        </w:tc>
        <w:tc>
          <w:tcPr>
            <w:tcW w:w="409" w:type="pct"/>
          </w:tcPr>
          <w:p w14:paraId="646CA85A" w14:textId="3C895BAE" w:rsidR="002163B7" w:rsidRPr="002163B7" w:rsidRDefault="002163B7" w:rsidP="002163B7">
            <w:pPr>
              <w:rPr>
                <w:rFonts w:cs="Arial"/>
                <w:bCs/>
                <w:szCs w:val="16"/>
              </w:rPr>
            </w:pPr>
            <w:r w:rsidRPr="002163B7">
              <w:rPr>
                <w:rFonts w:cs="Arial"/>
                <w:bCs/>
                <w:szCs w:val="16"/>
              </w:rPr>
              <w:t>1,871</w:t>
            </w:r>
          </w:p>
        </w:tc>
        <w:tc>
          <w:tcPr>
            <w:tcW w:w="451" w:type="pct"/>
          </w:tcPr>
          <w:p w14:paraId="37836055" w14:textId="1351FC3C" w:rsidR="002163B7" w:rsidRPr="002163B7" w:rsidRDefault="002163B7" w:rsidP="002163B7">
            <w:pPr>
              <w:rPr>
                <w:rFonts w:cs="Arial"/>
                <w:bCs/>
                <w:szCs w:val="16"/>
              </w:rPr>
            </w:pPr>
            <w:r w:rsidRPr="002163B7">
              <w:rPr>
                <w:rFonts w:cs="Arial"/>
                <w:bCs/>
                <w:szCs w:val="16"/>
              </w:rPr>
              <w:t>38.96%</w:t>
            </w:r>
          </w:p>
        </w:tc>
        <w:tc>
          <w:tcPr>
            <w:tcW w:w="579" w:type="pct"/>
          </w:tcPr>
          <w:p w14:paraId="46137C56" w14:textId="77777777" w:rsidR="002163B7" w:rsidRPr="002163B7" w:rsidRDefault="002163B7" w:rsidP="002163B7">
            <w:pPr>
              <w:rPr>
                <w:rFonts w:cs="Arial"/>
                <w:bCs/>
                <w:szCs w:val="16"/>
              </w:rPr>
            </w:pPr>
            <w:r w:rsidRPr="002163B7">
              <w:rPr>
                <w:rFonts w:cs="Arial"/>
                <w:bCs/>
                <w:szCs w:val="16"/>
              </w:rPr>
              <w:t>0.86</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0.0154</w:t>
            </w:r>
          </w:p>
        </w:tc>
        <w:tc>
          <w:tcPr>
            <w:tcW w:w="386" w:type="pct"/>
          </w:tcPr>
          <w:p w14:paraId="33ABA125" w14:textId="77777777" w:rsidR="002163B7" w:rsidRPr="002163B7" w:rsidRDefault="002163B7" w:rsidP="002163B7">
            <w:pPr>
              <w:rPr>
                <w:rFonts w:cs="Arial"/>
                <w:bCs/>
                <w:szCs w:val="16"/>
              </w:rPr>
            </w:pPr>
            <w:r w:rsidRPr="002163B7">
              <w:rPr>
                <w:rFonts w:cs="Arial"/>
                <w:bCs/>
                <w:szCs w:val="16"/>
              </w:rPr>
              <w:t>0.5622</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0.574</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2,168</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55.95%</w:t>
            </w:r>
          </w:p>
        </w:tc>
        <w:tc>
          <w:tcPr>
            <w:tcW w:w="409" w:type="pct"/>
          </w:tcPr>
          <w:p w14:paraId="15A07783" w14:textId="7CD02A10" w:rsidR="002163B7" w:rsidRPr="002163B7" w:rsidRDefault="002163B7" w:rsidP="002163B7">
            <w:pPr>
              <w:rPr>
                <w:rFonts w:cs="Arial"/>
                <w:bCs/>
                <w:szCs w:val="16"/>
              </w:rPr>
            </w:pPr>
            <w:r w:rsidRPr="002163B7">
              <w:rPr>
                <w:rFonts w:cs="Arial"/>
                <w:bCs/>
                <w:szCs w:val="16"/>
              </w:rPr>
              <w:t>1,871</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56.44%</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0.49</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0.0157</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0.3131</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0.7542</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1882BAD2" w14:textId="77777777" w:rsidR="00F86800" w:rsidRPr="00F86800" w:rsidRDefault="00F86800" w:rsidP="00F86800">
      <w:pPr>
        <w:rPr>
          <w:b/>
          <w:bCs/>
          <w:sz w:val="20"/>
          <w:szCs w:val="28"/>
        </w:rPr>
      </w:pPr>
      <w:r w:rsidRPr="00F86800">
        <w:rPr>
          <w:b/>
          <w:bCs/>
          <w:sz w:val="20"/>
          <w:szCs w:val="28"/>
        </w:rPr>
        <w:t>Iowa</w:t>
      </w:r>
    </w:p>
    <w:p w14:paraId="104A96AA" w14:textId="77777777" w:rsidR="00F86800" w:rsidRPr="00F86800" w:rsidRDefault="00F86800" w:rsidP="00F86800"/>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9</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18.00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18.00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35.00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1.0000</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100.00</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7C8D1C1" w14:textId="77777777" w:rsidR="0017666B" w:rsidRDefault="0017666B">
      <w:pPr>
        <w:spacing w:before="0" w:after="200" w:line="276" w:lineRule="auto"/>
      </w:pPr>
    </w:p>
    <w:p w14:paraId="2D73293C" w14:textId="408381AF" w:rsidR="00A241E8" w:rsidRDefault="00F86800">
      <w:pPr>
        <w:spacing w:before="0" w:after="200" w:line="276" w:lineRule="auto"/>
      </w:pPr>
      <w:r>
        <w:object w:dxaOrig="1540" w:dyaOrig="997" w14:anchorId="49FAD03C">
          <v:shape id="_x0000_i1026" type="#_x0000_t75" alt="IA-C-DR-2021-22" style="width:79.2pt;height:50.4pt" o:ole="">
            <v:imagedata r:id="rId14" o:title=""/>
          </v:shape>
          <o:OLEObject Type="Embed" ProgID="AcroExch.Document.DC" ShapeID="_x0000_i1026" DrawAspect="Icon" ObjectID="_1749387763"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803BF3"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hyperlink w:history="1"/>
      <w:hyperlink r:id="rId1" w:history="1">
        <w:r w:rsidR="00E34D8D" w:rsidRPr="00E34D8D">
          <w:rPr>
            <w:rStyle w:val="Hyperlink"/>
            <w:sz w:val="16"/>
            <w:szCs w:val="16"/>
          </w:rPr>
          <w:t>https://sites.ed.gov/idea/files/2023_Part-C_SPP-APR_Measurement_Table.pdf</w:t>
        </w:r>
      </w:hyperlink>
      <w:r w:rsidRPr="00E34D8D">
        <w:rPr>
          <w:sz w:val="16"/>
          <w:szCs w:val="16"/>
        </w:rPr>
        <w:t xml:space="preserve"> </w:t>
      </w:r>
      <w:hyperlink w:history="1"/>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State's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State's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6pt;height:21.6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654601013">
    <w:abstractNumId w:val="7"/>
  </w:num>
  <w:num w:numId="2" w16cid:durableId="1666476342">
    <w:abstractNumId w:val="16"/>
  </w:num>
  <w:num w:numId="3" w16cid:durableId="1251895017">
    <w:abstractNumId w:val="9"/>
  </w:num>
  <w:num w:numId="4" w16cid:durableId="1569461968">
    <w:abstractNumId w:val="8"/>
  </w:num>
  <w:num w:numId="5" w16cid:durableId="1263682915">
    <w:abstractNumId w:val="18"/>
  </w:num>
  <w:num w:numId="6" w16cid:durableId="376320754">
    <w:abstractNumId w:val="0"/>
  </w:num>
  <w:num w:numId="7" w16cid:durableId="1708677601">
    <w:abstractNumId w:val="1"/>
  </w:num>
  <w:num w:numId="8" w16cid:durableId="629559231">
    <w:abstractNumId w:val="14"/>
  </w:num>
  <w:num w:numId="9" w16cid:durableId="1535535492">
    <w:abstractNumId w:val="13"/>
  </w:num>
  <w:num w:numId="10" w16cid:durableId="1444374174">
    <w:abstractNumId w:val="3"/>
  </w:num>
  <w:num w:numId="11" w16cid:durableId="1532188361">
    <w:abstractNumId w:val="2"/>
  </w:num>
  <w:num w:numId="12" w16cid:durableId="1410007666">
    <w:abstractNumId w:val="5"/>
  </w:num>
  <w:num w:numId="13" w16cid:durableId="778642822">
    <w:abstractNumId w:val="11"/>
  </w:num>
  <w:num w:numId="14" w16cid:durableId="857233271">
    <w:abstractNumId w:val="10"/>
  </w:num>
  <w:num w:numId="15" w16cid:durableId="978925140">
    <w:abstractNumId w:val="12"/>
  </w:num>
  <w:num w:numId="16" w16cid:durableId="2015648778">
    <w:abstractNumId w:val="15"/>
  </w:num>
  <w:num w:numId="17" w16cid:durableId="303002049">
    <w:abstractNumId w:val="4"/>
  </w:num>
  <w:num w:numId="18" w16cid:durableId="1822306598">
    <w:abstractNumId w:val="6"/>
  </w:num>
  <w:num w:numId="19" w16cid:durableId="61224944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6B"/>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BF3"/>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00"/>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C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292db1e8-b3d0-4356-8ef3-2a6d7ed77883"/>
    <ds:schemaRef ds:uri="http://schemas.microsoft.com/office/infopath/2007/PartnerControls"/>
    <ds:schemaRef ds:uri="http://purl.org/dc/terms/"/>
    <ds:schemaRef ds:uri="http://schemas.microsoft.com/sharepoint/v3"/>
    <ds:schemaRef ds:uri="http://purl.org/dc/elements/1.1/"/>
    <ds:schemaRef ds:uri="http://schemas.microsoft.com/office/2006/documentManagement/types"/>
    <ds:schemaRef ds:uri="http://schemas.openxmlformats.org/package/2006/metadata/core-properties"/>
    <ds:schemaRef ds:uri="4f36bac4-6705-4a36-974b-7c07450fedf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F1D04E8-BAC0-4E58-B73B-43F4F9DD5F22}"/>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65</Pages>
  <Words>34749</Words>
  <Characters>198075</Characters>
  <Application>Microsoft Office Word</Application>
  <DocSecurity>0</DocSecurity>
  <Lines>1650</Lines>
  <Paragraphs>464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Alex Nackley</cp:lastModifiedBy>
  <cp:revision>2</cp:revision>
  <cp:lastPrinted>2014-08-19T16:56:00Z</cp:lastPrinted>
  <dcterms:created xsi:type="dcterms:W3CDTF">2023-06-27T20:16:00Z</dcterms:created>
  <dcterms:modified xsi:type="dcterms:W3CDTF">2023-06-27T20:16:00Z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