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Iowa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Schools in Iowa were closed beginning on March 15, </w:t>
      </w:r>
      <w:proofErr w:type="gramStart"/>
      <w:r w:rsidRPr="005C29F8">
        <w:rPr>
          <w:color w:val="000000" w:themeColor="text1"/>
        </w:rPr>
        <w:t>2020</w:t>
      </w:r>
      <w:proofErr w:type="gramEnd"/>
      <w:r w:rsidRPr="005C29F8">
        <w:rPr>
          <w:color w:val="000000" w:themeColor="text1"/>
        </w:rPr>
        <w:t xml:space="preserve"> by order of the Governor, and remained closed through the end of the 2019-2020 school year. </w:t>
      </w:r>
      <w:proofErr w:type="gramStart"/>
      <w:r w:rsidRPr="005C29F8">
        <w:rPr>
          <w:color w:val="000000" w:themeColor="text1"/>
        </w:rPr>
        <w:t>Thus</w:t>
      </w:r>
      <w:proofErr w:type="gramEnd"/>
      <w:r w:rsidRPr="005C29F8">
        <w:rPr>
          <w:color w:val="000000" w:themeColor="text1"/>
        </w:rPr>
        <w:t xml:space="preserve"> the COVID-19 pandemic impacted Iowa’s ability to collect and complete data for some indicators reported in this APR. Additional information regarding the impact of the COVID-19 pandemic on data is included under each indicator.</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327</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Since 1974, Iowa has been divided into intermediate agencies (Area Education Agencies) to provide specialized services. The AEAs were created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provide equity in the provision of programs and services across counties or merged areas. One key difference between Iowa’s AEA system and intermediate units in other states is that Iowa’s AEAs are mandatory. It is also mandatory that each local school district be assigned to an area education agency that will provide the services the school district needs. The AEAs carry special education general supervision and compliance responsibilities and the charge to provide the services needed by the local school districts. Their primary role is provision of special education support services to individuals under the age of 21 years requiring special education and related services, media services to all children through grade 12, and other educational services to pupils and education staff. The AEAs also provide the system used to locate and identify students suspected of having disabilities and provide the personnel to conduct evaluation activities in collaboration with LEAs. Iowa’s Part B general supervision system is a partnership between the Department of Education and the AEAs and is multifaceted. The components include: 1) support practices that improve educational outcomes for students (described under technical assistance and professional development); 2) use of multiple methods to identify and correct noncompliance within one year; and 3) mechanisms to encourage and support improvement and enforce compliance. </w:t>
      </w:r>
      <w:r w:rsidRPr="005C29F8">
        <w:rPr>
          <w:rFonts w:cs="Arial"/>
          <w:color w:val="000000" w:themeColor="text1"/>
          <w:szCs w:val="16"/>
        </w:rPr>
        <w:br/>
        <w:t xml:space="preserve">Dispute Resolution. The State uses a system for dispute resolution including both informal and formal mechanisms. Resolution Facilitation is a way to resolve differences instead of, or before use of, formal proceedings provided by the State. The SEA has written procedures for resolving any complaint, including a complaint filed by an organization or individual from another state. The SEA has widely disseminated these procedures to parents and other interested individuals, including the Iowa Parent Training and Information Center, Disability Rights Iowa, independent living centers and other appropriate entities. A mediator assists in resolving differences between parents, </w:t>
      </w:r>
      <w:proofErr w:type="gramStart"/>
      <w:r w:rsidRPr="005C29F8">
        <w:rPr>
          <w:rFonts w:cs="Arial"/>
          <w:color w:val="000000" w:themeColor="text1"/>
          <w:szCs w:val="16"/>
        </w:rPr>
        <w:t>schools</w:t>
      </w:r>
      <w:proofErr w:type="gramEnd"/>
      <w:r w:rsidRPr="005C29F8">
        <w:rPr>
          <w:rFonts w:cs="Arial"/>
          <w:color w:val="000000" w:themeColor="text1"/>
          <w:szCs w:val="16"/>
        </w:rPr>
        <w:t xml:space="preserve"> and private service providers. Mediation is voluntary on the part of all parties and conducted by a qualified and impartial mediator who is trained in effective mediation techniques. Mediation can occur at any time, even prior to the filing of a due process hearing request. Whenever a due process hearing request is filed, the parties involved in the dispute have an opportunity for an impartial due process hearing. </w:t>
      </w:r>
      <w:r w:rsidRPr="005C29F8">
        <w:rPr>
          <w:rFonts w:cs="Arial"/>
          <w:color w:val="000000" w:themeColor="text1"/>
          <w:szCs w:val="16"/>
        </w:rPr>
        <w:br/>
        <w:t xml:space="preserve">Monitoring - Area Education Agencies (intermediate agencies). The SEA annually conducts desk audits for each AEA and follows up with accreditation visits if determined necessary. During this visit AEA documents are reviewed and internal (AEA staff) and external (Staff from school districts served by the AEA) interviews are held that relate to the agency’s five-year Comprehensive Improvement Plan and the services the agency provides in accordance with the eight required standards and one optional standard outlined in Chapter 72 of the Iowa Code. During the accreditation process, the special education services the agency provides are a part of each of the eight required standards. A targeted interview is held with special education staff; topics discussed during this interview include the agency’s State Performance Plan indicator data, LEA (district) special education procedural compliance data, the AEA’s general supervision responsibilities and other AEA data used by the Iowa Department of Education to make the accreditation determination regarding the agency. </w:t>
      </w:r>
      <w:r w:rsidRPr="005C29F8">
        <w:rPr>
          <w:rFonts w:cs="Arial"/>
          <w:color w:val="000000" w:themeColor="text1"/>
          <w:szCs w:val="16"/>
        </w:rPr>
        <w:br/>
        <w:t xml:space="preserve">Monitoring - Local Education Agencies (school districts). The SEA annually conducts desk audits for each LEA and follows up with accreditation visits if determined necessary. The Accreditation Site Visit process may include Iowa Chapter 12, Equity, Special Education and Title </w:t>
      </w:r>
      <w:proofErr w:type="gramStart"/>
      <w:r w:rsidRPr="005C29F8">
        <w:rPr>
          <w:rFonts w:cs="Arial"/>
          <w:color w:val="000000" w:themeColor="text1"/>
          <w:szCs w:val="16"/>
        </w:rPr>
        <w:t>Programs;</w:t>
      </w:r>
      <w:proofErr w:type="gramEnd"/>
      <w:r w:rsidRPr="005C29F8">
        <w:rPr>
          <w:rFonts w:cs="Arial"/>
          <w:color w:val="000000" w:themeColor="text1"/>
          <w:szCs w:val="16"/>
        </w:rPr>
        <w:t xml:space="preserve"> dependent upon findings of the desk audit. During a site review, the district provides requested information, including additional information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Iowa Department of Education’s procedural compliance review related to the implementation of IDEA. Data are collected through a Web-based tool, with a report developed for each district to identify individual student noncompliance and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the issues are identified as a system level issue. If noncompliance is identified as a system level issue, the district must respond to the corrective action identified within the report. The AEA then monitors and verifies the correction of individual noncompliance as well as the implementation of the required corrective action. Individual student noncompliance and system level corrective action are to be fully implemented as soon as possible, but no later than one year from date of notification. After the AEA verifies that all corrections have been made, documentation is submitted to the SEA. </w:t>
      </w:r>
      <w:r w:rsidRPr="005C29F8">
        <w:rPr>
          <w:rFonts w:cs="Arial"/>
          <w:color w:val="000000" w:themeColor="text1"/>
          <w:szCs w:val="16"/>
        </w:rPr>
        <w:br/>
        <w:t xml:space="preserve">During the site visit, multiple interviews take place on a variety of topics. The on-site visit allows for conversations to occur regarding student performance and implementation of the special education practices in the district. Interview groups include community partners, parents, teachers, school board, district administrators, and support staff. One of the interviews allows for district staff to be interviewed with a specific focus on special education practices and district level special education data. A comprehensive report written to the district identifies strengths, </w:t>
      </w:r>
      <w:proofErr w:type="gramStart"/>
      <w:r w:rsidRPr="005C29F8">
        <w:rPr>
          <w:rFonts w:cs="Arial"/>
          <w:color w:val="000000" w:themeColor="text1"/>
          <w:szCs w:val="16"/>
        </w:rPr>
        <w:t>recommendations</w:t>
      </w:r>
      <w:proofErr w:type="gramEnd"/>
      <w:r w:rsidRPr="005C29F8">
        <w:rPr>
          <w:rFonts w:cs="Arial"/>
          <w:color w:val="000000" w:themeColor="text1"/>
          <w:szCs w:val="16"/>
        </w:rPr>
        <w:t xml:space="preserve"> and any noncompliance in all of the areas reviewed during the site visit. Any special education noncompliance identified during the site visit must be corrected as soon as possible, but no later than one year from date of notification.</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Iowa’s technical assistance system as distinguished by OSEP, is intricately entwined with Iowa’s professional development system. This section, therefore, describes the structures which support technical assistance and professional development. The activities and strategies used for technical assistance and professional development are explained within the description of Iowa’s professional development system. </w:t>
      </w:r>
      <w:r w:rsidRPr="005C29F8">
        <w:rPr>
          <w:rFonts w:cs="Arial"/>
          <w:color w:val="000000" w:themeColor="text1"/>
          <w:szCs w:val="16"/>
        </w:rPr>
        <w:br/>
        <w:t xml:space="preserve">Iowa’s technical assistance system has long been a partnership between the Department of Education, AEAS and LEAs. Recently, however, that partnership has reorganized into something known as Collaborating for Iowa’s Kids (C4K). C4K is a partnership among area education agencies, the Iowa Department of Education and local school districts. The intent of C4K is to work more effectively and efficiently as a full educational system to accomplish a few agreed upon priorities within a multi-tiered system of support as a framework to implement Iowa’s rigorous standards. The first areas </w:t>
      </w:r>
      <w:r w:rsidRPr="005C29F8">
        <w:rPr>
          <w:rFonts w:cs="Arial"/>
          <w:color w:val="000000" w:themeColor="text1"/>
          <w:szCs w:val="16"/>
        </w:rPr>
        <w:lastRenderedPageBreak/>
        <w:t xml:space="preserve">of focus are early literacy and closing the achievement gaps with the </w:t>
      </w:r>
      <w:proofErr w:type="gramStart"/>
      <w:r w:rsidRPr="005C29F8">
        <w:rPr>
          <w:rFonts w:cs="Arial"/>
          <w:color w:val="000000" w:themeColor="text1"/>
          <w:szCs w:val="16"/>
        </w:rPr>
        <w:t>ultimate goal</w:t>
      </w:r>
      <w:proofErr w:type="gramEnd"/>
      <w:r w:rsidRPr="005C29F8">
        <w:rPr>
          <w:rFonts w:cs="Arial"/>
          <w:color w:val="000000" w:themeColor="text1"/>
          <w:szCs w:val="16"/>
        </w:rPr>
        <w:t xml:space="preserve"> that every child is proficient by the end of third grade. </w:t>
      </w:r>
      <w:r w:rsidRPr="005C29F8">
        <w:rPr>
          <w:rFonts w:cs="Arial"/>
          <w:color w:val="000000" w:themeColor="text1"/>
          <w:szCs w:val="16"/>
        </w:rPr>
        <w:br/>
        <w:t xml:space="preserve">Collaborating for Iowa's Kids (C4K) was conceptualized within Iowa's Area Education Agency system </w:t>
      </w:r>
      <w:proofErr w:type="gramStart"/>
      <w:r w:rsidRPr="005C29F8">
        <w:rPr>
          <w:rFonts w:cs="Arial"/>
          <w:color w:val="000000" w:themeColor="text1"/>
          <w:szCs w:val="16"/>
        </w:rPr>
        <w:t>as a way to</w:t>
      </w:r>
      <w:proofErr w:type="gramEnd"/>
      <w:r w:rsidRPr="005C29F8">
        <w:rPr>
          <w:rFonts w:cs="Arial"/>
          <w:color w:val="000000" w:themeColor="text1"/>
          <w:szCs w:val="16"/>
        </w:rPr>
        <w:t xml:space="preserve"> more effectively work as partners with the Iowa Department of Education (DE) as well as across the AEA system. Established in 2011-12, the partnership includes: </w:t>
      </w:r>
      <w:r w:rsidRPr="005C29F8">
        <w:rPr>
          <w:rFonts w:cs="Arial"/>
          <w:color w:val="000000" w:themeColor="text1"/>
          <w:szCs w:val="16"/>
        </w:rPr>
        <w:br/>
        <w:t xml:space="preserve">- Collective commitment across AEAs and the DE to work as a unified system; </w:t>
      </w:r>
      <w:r w:rsidRPr="005C29F8">
        <w:rPr>
          <w:rFonts w:cs="Arial"/>
          <w:color w:val="000000" w:themeColor="text1"/>
          <w:szCs w:val="16"/>
        </w:rPr>
        <w:br/>
        <w:t xml:space="preserve">- Agreement that the role of the DE is to set direction and lead, and the role of the AEAs is to implement; </w:t>
      </w:r>
      <w:r w:rsidRPr="005C29F8">
        <w:rPr>
          <w:rFonts w:cs="Arial"/>
          <w:color w:val="000000" w:themeColor="text1"/>
          <w:szCs w:val="16"/>
        </w:rPr>
        <w:br/>
        <w:t xml:space="preserve">- Agreement that LEAs are </w:t>
      </w:r>
      <w:proofErr w:type="gramStart"/>
      <w:r w:rsidRPr="005C29F8">
        <w:rPr>
          <w:rFonts w:cs="Arial"/>
          <w:color w:val="000000" w:themeColor="text1"/>
          <w:szCs w:val="16"/>
        </w:rPr>
        <w:t>integral, and</w:t>
      </w:r>
      <w:proofErr w:type="gramEnd"/>
      <w:r w:rsidRPr="005C29F8">
        <w:rPr>
          <w:rFonts w:cs="Arial"/>
          <w:color w:val="000000" w:themeColor="text1"/>
          <w:szCs w:val="16"/>
        </w:rPr>
        <w:t xml:space="preserve"> need to be included in C4K; and </w:t>
      </w:r>
      <w:r w:rsidRPr="005C29F8">
        <w:rPr>
          <w:rFonts w:cs="Arial"/>
          <w:color w:val="000000" w:themeColor="text1"/>
          <w:szCs w:val="16"/>
        </w:rPr>
        <w:br/>
        <w:t xml:space="preserve">- Commitment to focus efforts and resources on selected priorities. </w:t>
      </w:r>
      <w:r w:rsidRPr="005C29F8">
        <w:rPr>
          <w:rFonts w:cs="Arial"/>
          <w:color w:val="000000" w:themeColor="text1"/>
          <w:szCs w:val="16"/>
        </w:rPr>
        <w:br/>
        <w:t xml:space="preserve">C4K accomplishes broad stakeholder involvement through a complex set of structures, </w:t>
      </w:r>
      <w:proofErr w:type="gramStart"/>
      <w:r w:rsidRPr="005C29F8">
        <w:rPr>
          <w:rFonts w:cs="Arial"/>
          <w:color w:val="000000" w:themeColor="text1"/>
          <w:szCs w:val="16"/>
        </w:rPr>
        <w:t>including:</w:t>
      </w:r>
      <w:proofErr w:type="gramEnd"/>
      <w:r w:rsidRPr="005C29F8">
        <w:rPr>
          <w:rFonts w:cs="Arial"/>
          <w:color w:val="000000" w:themeColor="text1"/>
          <w:szCs w:val="16"/>
        </w:rPr>
        <w:t xml:space="preserve"> governance teams (oversight, work, task, and implementation teams), external coaches and building leadership teams. These new structures have provided leverage in four ways: (1) Alignment of resources, including fiscal and personnel, focused on one priority (literacy) across priority areas that have the greatest success across children/youth (work teams); (2) Collaboration of the DE, AEA and LEAs as part of C4K; (3) Identification/development of evidence-based frameworks, strategies and programs by experts in the field regardless of affiliation or location; and (4) Intentional statewide scaling based on implementation science.</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Using the structures described above, Iowa employs its own model of professional development, established from </w:t>
      </w:r>
      <w:proofErr w:type="gramStart"/>
      <w:r w:rsidRPr="005C29F8">
        <w:rPr>
          <w:rFonts w:cs="Arial"/>
          <w:color w:val="000000" w:themeColor="text1"/>
          <w:szCs w:val="16"/>
        </w:rPr>
        <w:t>evidence based</w:t>
      </w:r>
      <w:proofErr w:type="gramEnd"/>
      <w:r w:rsidRPr="005C29F8">
        <w:rPr>
          <w:rFonts w:cs="Arial"/>
          <w:color w:val="000000" w:themeColor="text1"/>
          <w:szCs w:val="16"/>
        </w:rPr>
        <w:t xml:space="preserve"> practices of professional learning. The Iowa Professional Development Model (IPDM) is an integrated cycle of planning, ongoing </w:t>
      </w:r>
      <w:proofErr w:type="gramStart"/>
      <w:r w:rsidRPr="005C29F8">
        <w:rPr>
          <w:rFonts w:cs="Arial"/>
          <w:color w:val="000000" w:themeColor="text1"/>
          <w:szCs w:val="16"/>
        </w:rPr>
        <w:t>implementation</w:t>
      </w:r>
      <w:proofErr w:type="gramEnd"/>
      <w:r w:rsidRPr="005C29F8">
        <w:rPr>
          <w:rFonts w:cs="Arial"/>
          <w:color w:val="000000" w:themeColor="text1"/>
          <w:szCs w:val="16"/>
        </w:rPr>
        <w:t xml:space="preserve"> and evaluation. It emphasizes ongoing support and feedback for the learning and application of new skills. Iowa Administrative Code requires each district’s professional development plans to meet the following standards: </w:t>
      </w:r>
      <w:r w:rsidRPr="005C29F8">
        <w:rPr>
          <w:rFonts w:cs="Arial"/>
          <w:color w:val="000000" w:themeColor="text1"/>
          <w:szCs w:val="16"/>
        </w:rPr>
        <w:br/>
        <w:t>1.</w:t>
      </w:r>
      <w:r w:rsidRPr="005C29F8">
        <w:rPr>
          <w:rFonts w:cs="Arial"/>
          <w:color w:val="000000" w:themeColor="text1"/>
          <w:szCs w:val="16"/>
        </w:rPr>
        <w:tab/>
        <w:t xml:space="preserve">Align with the Iowa teaching standards and criteria; </w:t>
      </w:r>
      <w:r w:rsidRPr="005C29F8">
        <w:rPr>
          <w:rFonts w:cs="Arial"/>
          <w:color w:val="000000" w:themeColor="text1"/>
          <w:szCs w:val="16"/>
        </w:rPr>
        <w:br/>
        <w:t>2.</w:t>
      </w:r>
      <w:r w:rsidRPr="005C29F8">
        <w:rPr>
          <w:rFonts w:cs="Arial"/>
          <w:color w:val="000000" w:themeColor="text1"/>
          <w:szCs w:val="16"/>
        </w:rPr>
        <w:tab/>
        <w:t xml:space="preserve">Deliver research-based instructional strategies aligned with the student achievement goals established by the district; </w:t>
      </w:r>
      <w:r w:rsidRPr="005C29F8">
        <w:rPr>
          <w:rFonts w:cs="Arial"/>
          <w:color w:val="000000" w:themeColor="text1"/>
          <w:szCs w:val="16"/>
        </w:rPr>
        <w:br/>
        <w:t>3.</w:t>
      </w:r>
      <w:r w:rsidRPr="005C29F8">
        <w:rPr>
          <w:rFonts w:cs="Arial"/>
          <w:color w:val="000000" w:themeColor="text1"/>
          <w:szCs w:val="16"/>
        </w:rPr>
        <w:tab/>
        <w:t xml:space="preserve">Deliver professional development training and learning opportunities that are targeted at improvement of instruction and designed with the following components: </w:t>
      </w:r>
      <w:r w:rsidRPr="005C29F8">
        <w:rPr>
          <w:rFonts w:cs="Arial"/>
          <w:color w:val="000000" w:themeColor="text1"/>
          <w:szCs w:val="16"/>
        </w:rPr>
        <w:br/>
        <w:t>a.</w:t>
      </w:r>
      <w:r w:rsidRPr="005C29F8">
        <w:rPr>
          <w:rFonts w:cs="Arial"/>
          <w:color w:val="000000" w:themeColor="text1"/>
          <w:szCs w:val="16"/>
        </w:rPr>
        <w:tab/>
        <w:t xml:space="preserve">Student achievement data and analysis; </w:t>
      </w:r>
      <w:r w:rsidRPr="005C29F8">
        <w:rPr>
          <w:rFonts w:cs="Arial"/>
          <w:color w:val="000000" w:themeColor="text1"/>
          <w:szCs w:val="16"/>
        </w:rPr>
        <w:br/>
        <w:t>b.</w:t>
      </w:r>
      <w:r w:rsidRPr="005C29F8">
        <w:rPr>
          <w:rFonts w:cs="Arial"/>
          <w:color w:val="000000" w:themeColor="text1"/>
          <w:szCs w:val="16"/>
        </w:rPr>
        <w:tab/>
        <w:t xml:space="preserve">Theory about learning and instruction; </w:t>
      </w:r>
      <w:r w:rsidRPr="005C29F8">
        <w:rPr>
          <w:rFonts w:cs="Arial"/>
          <w:color w:val="000000" w:themeColor="text1"/>
          <w:szCs w:val="16"/>
        </w:rPr>
        <w:br/>
        <w:t>c.</w:t>
      </w:r>
      <w:r w:rsidRPr="005C29F8">
        <w:rPr>
          <w:rFonts w:cs="Arial"/>
          <w:color w:val="000000" w:themeColor="text1"/>
          <w:szCs w:val="16"/>
        </w:rPr>
        <w:tab/>
        <w:t xml:space="preserve">Classroom demonstration and practice; </w:t>
      </w:r>
      <w:r w:rsidRPr="005C29F8">
        <w:rPr>
          <w:rFonts w:cs="Arial"/>
          <w:color w:val="000000" w:themeColor="text1"/>
          <w:szCs w:val="16"/>
        </w:rPr>
        <w:br/>
        <w:t>d.</w:t>
      </w:r>
      <w:r w:rsidRPr="005C29F8">
        <w:rPr>
          <w:rFonts w:cs="Arial"/>
          <w:color w:val="000000" w:themeColor="text1"/>
          <w:szCs w:val="16"/>
        </w:rPr>
        <w:tab/>
        <w:t xml:space="preserve">Classroom observation and self-reflection; </w:t>
      </w:r>
      <w:r w:rsidRPr="005C29F8">
        <w:rPr>
          <w:rFonts w:cs="Arial"/>
          <w:color w:val="000000" w:themeColor="text1"/>
          <w:szCs w:val="16"/>
        </w:rPr>
        <w:br/>
        <w:t>e.</w:t>
      </w:r>
      <w:r w:rsidRPr="005C29F8">
        <w:rPr>
          <w:rFonts w:cs="Arial"/>
          <w:color w:val="000000" w:themeColor="text1"/>
          <w:szCs w:val="16"/>
        </w:rPr>
        <w:tab/>
        <w:t xml:space="preserve">Teacher collaboration and study of teacher implementation; and </w:t>
      </w:r>
      <w:r w:rsidRPr="005C29F8">
        <w:rPr>
          <w:rFonts w:cs="Arial"/>
          <w:color w:val="000000" w:themeColor="text1"/>
          <w:szCs w:val="16"/>
        </w:rPr>
        <w:br/>
        <w:t>f.</w:t>
      </w:r>
      <w:r w:rsidRPr="005C29F8">
        <w:rPr>
          <w:rFonts w:cs="Arial"/>
          <w:color w:val="000000" w:themeColor="text1"/>
          <w:szCs w:val="16"/>
        </w:rPr>
        <w:tab/>
        <w:t xml:space="preserve">Integration of instructional technology, if applicable; </w:t>
      </w:r>
      <w:r w:rsidRPr="005C29F8">
        <w:rPr>
          <w:rFonts w:cs="Arial"/>
          <w:color w:val="000000" w:themeColor="text1"/>
          <w:szCs w:val="16"/>
        </w:rPr>
        <w:br/>
        <w:t>4.</w:t>
      </w:r>
      <w:r w:rsidRPr="005C29F8">
        <w:rPr>
          <w:rFonts w:cs="Arial"/>
          <w:color w:val="000000" w:themeColor="text1"/>
          <w:szCs w:val="16"/>
        </w:rPr>
        <w:tab/>
        <w:t xml:space="preserve">Include an evaluation component of professional development that measures improvement in instructional practice and its impact on student learning; and </w:t>
      </w:r>
      <w:r w:rsidRPr="005C29F8">
        <w:rPr>
          <w:rFonts w:cs="Arial"/>
          <w:color w:val="000000" w:themeColor="text1"/>
          <w:szCs w:val="16"/>
        </w:rPr>
        <w:br/>
        <w:t>2. 5. Support the professional development needs of district certified staff responsible for instruction.</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A link to Iowa’s current SPP/APR on the IDEA website is located on IDE’s website under the Special Education Public Reporting section: https://educateiowa.gov/pk-12/special-education/special-education-public-reporting.</w:t>
      </w:r>
      <w:r w:rsidRPr="005C29F8">
        <w:rPr>
          <w:rFonts w:cs="Arial"/>
          <w:color w:val="000000" w:themeColor="text1"/>
          <w:szCs w:val="16"/>
        </w:rPr>
        <w:br/>
      </w:r>
      <w:r w:rsidRPr="005C29F8">
        <w:rPr>
          <w:rFonts w:cs="Arial"/>
          <w:color w:val="000000" w:themeColor="text1"/>
          <w:szCs w:val="16"/>
        </w:rPr>
        <w:br/>
        <w:t>When made available, the FFY 2019 SPP/APR will be posted on the same IDE website in the same location.</w:t>
      </w:r>
      <w:r w:rsidRPr="005C29F8">
        <w:rPr>
          <w:rFonts w:cs="Arial"/>
          <w:color w:val="000000" w:themeColor="text1"/>
          <w:szCs w:val="16"/>
        </w:rPr>
        <w:br/>
        <w:t>Performance of AEAs and LEAs on appropriate indicators are posted annually by June 1. District and AEA profiles are posted at: https://educateiowa.gov/pk-12/special-education/special-education-public-reporting</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r w:rsidRPr="005C29F8">
        <w:rPr>
          <w:rFonts w:cs="Arial"/>
          <w:color w:val="000000" w:themeColor="text1"/>
          <w:szCs w:val="16"/>
        </w:rPr>
        <w:br/>
      </w:r>
      <w:r w:rsidRPr="005C29F8">
        <w:rPr>
          <w:rFonts w:cs="Arial"/>
          <w:color w:val="000000" w:themeColor="text1"/>
          <w:szCs w:val="16"/>
        </w:rPr>
        <w:br/>
        <w:t xml:space="preserve">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2019 SPP/APR </w:t>
      </w:r>
      <w:r w:rsidRPr="005C29F8">
        <w:rPr>
          <w:rFonts w:cs="Arial"/>
          <w:color w:val="000000" w:themeColor="text1"/>
          <w:szCs w:val="16"/>
        </w:rPr>
        <w:lastRenderedPageBreak/>
        <w:t xml:space="preserve">submission, due February 1, 2021,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Iowa has received technical assistance from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OSEP funded centers as well as private entities throughout the reporting period. OSEP funded centers that have provided technical assistance to Iowa include Early Childhood Technical Assistance Center (ECTA), Center for IDEA Fiscal Reporting (CIFR), IDEA Data Center (IDC), National</w:t>
      </w:r>
      <w:r w:rsidRPr="005C29F8">
        <w:rPr>
          <w:rFonts w:cs="Arial"/>
          <w:color w:val="000000" w:themeColor="text1"/>
          <w:szCs w:val="16"/>
        </w:rPr>
        <w:br/>
        <w:t xml:space="preserve">Center for Systemic Improvement (NCSI), and National Technical Assistance Center on Transition (NTACT).  The </w:t>
      </w:r>
      <w:proofErr w:type="spellStart"/>
      <w:r w:rsidRPr="005C29F8">
        <w:rPr>
          <w:rFonts w:cs="Arial"/>
          <w:color w:val="000000" w:themeColor="text1"/>
          <w:szCs w:val="16"/>
        </w:rPr>
        <w:t>later</w:t>
      </w:r>
      <w:proofErr w:type="spellEnd"/>
      <w:r w:rsidRPr="005C29F8">
        <w:rPr>
          <w:rFonts w:cs="Arial"/>
          <w:color w:val="000000" w:themeColor="text1"/>
          <w:szCs w:val="16"/>
        </w:rPr>
        <w:t xml:space="preserve"> two centers are most relevant to Iowa's needs to meet requirements.  Actions taken as the result of technical assistance will focus on the work with NCSI and NTACT.  </w:t>
      </w:r>
      <w:r w:rsidRPr="005C29F8">
        <w:rPr>
          <w:rFonts w:cs="Arial"/>
          <w:color w:val="000000" w:themeColor="text1"/>
          <w:szCs w:val="16"/>
        </w:rPr>
        <w:br/>
      </w:r>
      <w:r w:rsidRPr="005C29F8">
        <w:rPr>
          <w:rFonts w:cs="Arial"/>
          <w:color w:val="000000" w:themeColor="text1"/>
          <w:szCs w:val="16"/>
        </w:rPr>
        <w:br/>
        <w:t xml:space="preserve">Iowa has participated in technical assistance provided by NCSI in </w:t>
      </w:r>
      <w:proofErr w:type="gramStart"/>
      <w:r w:rsidRPr="005C29F8">
        <w:rPr>
          <w:rFonts w:cs="Arial"/>
          <w:color w:val="000000" w:themeColor="text1"/>
          <w:szCs w:val="16"/>
        </w:rPr>
        <w:t>a number of</w:t>
      </w:r>
      <w:proofErr w:type="gramEnd"/>
      <w:r w:rsidRPr="005C29F8">
        <w:rPr>
          <w:rFonts w:cs="Arial"/>
          <w:color w:val="000000" w:themeColor="text1"/>
          <w:szCs w:val="16"/>
        </w:rPr>
        <w:t xml:space="preserve"> ways, including participation in general webinars, accessing resources collected and posted by NCSI and direct technical support provided by NCSI staff.  Iowa staff attended the Learning Collaboratives event hosted by NCSI but had not committed to joining one by the time that COVID hit.  Iowa has not, therefore, yet joined one of the three primary Learning Collaboratives sponsored by NCSI.  The State Director of Special Education has, however, joined the State Education Agency Leadership (SEAL) Collaborative.  Additionally, she meets monthly with NCSI staff in individual consultation.  Finally, an NCSI staff person meets at least monthly with the Iowa Education Consultant who leads Iowa's monitoring and general supervision responsibilities. The primary outcome of this work is that Iowa is refining </w:t>
      </w:r>
      <w:proofErr w:type="gramStart"/>
      <w:r w:rsidRPr="005C29F8">
        <w:rPr>
          <w:rFonts w:cs="Arial"/>
          <w:color w:val="000000" w:themeColor="text1"/>
          <w:szCs w:val="16"/>
        </w:rPr>
        <w:t>it's</w:t>
      </w:r>
      <w:proofErr w:type="gramEnd"/>
      <w:r w:rsidRPr="005C29F8">
        <w:rPr>
          <w:rFonts w:cs="Arial"/>
          <w:color w:val="000000" w:themeColor="text1"/>
          <w:szCs w:val="16"/>
        </w:rPr>
        <w:t xml:space="preserve"> processes for identifying districts in need of additional support.  The intent of this work is to better identify districts in need of support and connect them with </w:t>
      </w:r>
      <w:proofErr w:type="gramStart"/>
      <w:r w:rsidRPr="005C29F8">
        <w:rPr>
          <w:rFonts w:cs="Arial"/>
          <w:color w:val="000000" w:themeColor="text1"/>
          <w:szCs w:val="16"/>
        </w:rPr>
        <w:t>evidence based</w:t>
      </w:r>
      <w:proofErr w:type="gramEnd"/>
      <w:r w:rsidRPr="005C29F8">
        <w:rPr>
          <w:rFonts w:cs="Arial"/>
          <w:color w:val="000000" w:themeColor="text1"/>
          <w:szCs w:val="16"/>
        </w:rPr>
        <w:t xml:space="preserve"> strategies that directly address their needs.  For example, Iowa's SSIP and SPDG are focused on specially designed early literacy.  The </w:t>
      </w:r>
      <w:proofErr w:type="gramStart"/>
      <w:r w:rsidRPr="005C29F8">
        <w:rPr>
          <w:rFonts w:cs="Arial"/>
          <w:color w:val="000000" w:themeColor="text1"/>
          <w:szCs w:val="16"/>
        </w:rPr>
        <w:t>evidence based</w:t>
      </w:r>
      <w:proofErr w:type="gramEnd"/>
      <w:r w:rsidRPr="005C29F8">
        <w:rPr>
          <w:rFonts w:cs="Arial"/>
          <w:color w:val="000000" w:themeColor="text1"/>
          <w:szCs w:val="16"/>
        </w:rPr>
        <w:t xml:space="preserve"> practices from this work and the infrastructure supports for coaching will be available to those districts identified through Iowa's improved identification strategies which were refined with help from NCSI.</w:t>
      </w:r>
      <w:r w:rsidRPr="005C29F8">
        <w:rPr>
          <w:rFonts w:cs="Arial"/>
          <w:color w:val="000000" w:themeColor="text1"/>
          <w:szCs w:val="16"/>
        </w:rPr>
        <w:br/>
      </w:r>
      <w:r w:rsidRPr="005C29F8">
        <w:rPr>
          <w:rFonts w:cs="Arial"/>
          <w:color w:val="000000" w:themeColor="text1"/>
          <w:szCs w:val="16"/>
        </w:rPr>
        <w:br/>
        <w:t xml:space="preserve">Iowa continues to contract with Drs. Unruh and Rowe to improve secondary transition (B13) data.  Both these individuals are partners within NTACT and have considerable expertise </w:t>
      </w:r>
      <w:proofErr w:type="gramStart"/>
      <w:r w:rsidRPr="005C29F8">
        <w:rPr>
          <w:rFonts w:cs="Arial"/>
          <w:color w:val="000000" w:themeColor="text1"/>
          <w:szCs w:val="16"/>
        </w:rPr>
        <w:t>in the area of</w:t>
      </w:r>
      <w:proofErr w:type="gramEnd"/>
      <w:r w:rsidRPr="005C29F8">
        <w:rPr>
          <w:rFonts w:cs="Arial"/>
          <w:color w:val="000000" w:themeColor="text1"/>
          <w:szCs w:val="16"/>
        </w:rPr>
        <w:t xml:space="preserve"> secondary transition.  Actions taken prior to schools closing in March included refinement of a facilitated process for districts to review their data, training of facilitators and facilitation with districts identified in most need of support.  An action planning process was developed and alignment of </w:t>
      </w:r>
      <w:proofErr w:type="gramStart"/>
      <w:r w:rsidRPr="005C29F8">
        <w:rPr>
          <w:rFonts w:cs="Arial"/>
          <w:color w:val="000000" w:themeColor="text1"/>
          <w:szCs w:val="16"/>
        </w:rPr>
        <w:t>evidence based</w:t>
      </w:r>
      <w:proofErr w:type="gramEnd"/>
      <w:r w:rsidRPr="005C29F8">
        <w:rPr>
          <w:rFonts w:cs="Arial"/>
          <w:color w:val="000000" w:themeColor="text1"/>
          <w:szCs w:val="16"/>
        </w:rPr>
        <w:t xml:space="preserve"> strategies with the action planning process was begun.  Work also focused on developing ways that B13 data can be collected in Iowa's new statewide IEP/IFSP system set to launch in 2021-22 school year.  This will permit the use of real time data to identify districts, </w:t>
      </w:r>
      <w:proofErr w:type="gramStart"/>
      <w:r w:rsidRPr="005C29F8">
        <w:rPr>
          <w:rFonts w:cs="Arial"/>
          <w:color w:val="000000" w:themeColor="text1"/>
          <w:szCs w:val="16"/>
        </w:rPr>
        <w:t>schools</w:t>
      </w:r>
      <w:proofErr w:type="gramEnd"/>
      <w:r w:rsidRPr="005C29F8">
        <w:rPr>
          <w:rFonts w:cs="Arial"/>
          <w:color w:val="000000" w:themeColor="text1"/>
          <w:szCs w:val="16"/>
        </w:rPr>
        <w:t xml:space="preserve"> or IEP teams/teachers in need of extra support for every IEP, every year.</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2019</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83.12%</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91.00%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93.00%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95.00%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76.35%</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76.99%</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69.51%</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74.25%</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76.51%</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95.00%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249284A2">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249284A2">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613D8F12" w:rsidR="00866B4D" w:rsidRPr="005C29F8" w:rsidRDefault="16217405" w:rsidP="249284A2">
            <w:pPr>
              <w:jc w:val="center"/>
              <w:rPr>
                <w:rFonts w:cs="Arial"/>
                <w:color w:val="000000" w:themeColor="text1"/>
              </w:rPr>
            </w:pPr>
            <w:r w:rsidRPr="249284A2">
              <w:rPr>
                <w:rFonts w:cs="Arial"/>
                <w:color w:val="000000" w:themeColor="text1"/>
              </w:rPr>
              <w:t>*</w:t>
            </w:r>
            <w:bookmarkStart w:id="3" w:name="_Ref78273277"/>
            <w:r w:rsidR="00565AE6">
              <w:rPr>
                <w:rStyle w:val="FootnoteReference"/>
                <w:rFonts w:cs="Arial"/>
                <w:color w:val="000000" w:themeColor="text1"/>
              </w:rPr>
              <w:footnoteReference w:id="2"/>
            </w:r>
            <w:bookmarkEnd w:id="3"/>
          </w:p>
        </w:tc>
      </w:tr>
      <w:tr w:rsidR="005C29F8" w:rsidRPr="005C29F8" w14:paraId="2E9BAC4B" w14:textId="77777777" w:rsidTr="249284A2">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 xml:space="preserve">SY 2018-19 Cohorts for Regulatory Adjusted-Cohort Graduation Rate </w:t>
            </w:r>
            <w:r>
              <w:rPr>
                <w:rFonts w:cs="Arial"/>
                <w:color w:val="000000" w:themeColor="text1"/>
                <w:szCs w:val="16"/>
              </w:rPr>
              <w:lastRenderedPageBreak/>
              <w:t>(</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lastRenderedPageBreak/>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4,573</w:t>
            </w:r>
          </w:p>
        </w:tc>
      </w:tr>
      <w:tr w:rsidR="005C29F8" w:rsidRPr="005C29F8" w14:paraId="032776B0" w14:textId="77777777" w:rsidTr="249284A2">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83.12%</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249284A2">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249284A2">
        <w:trPr>
          <w:trHeight w:val="340"/>
        </w:trPr>
        <w:tc>
          <w:tcPr>
            <w:tcW w:w="828" w:type="pct"/>
            <w:shd w:val="clear" w:color="auto" w:fill="auto"/>
            <w:vAlign w:val="center"/>
          </w:tcPr>
          <w:p w14:paraId="70B1C138" w14:textId="475F86AC" w:rsidR="0098478C" w:rsidRPr="005C29F8" w:rsidRDefault="0B71F1B1" w:rsidP="249284A2">
            <w:pPr>
              <w:jc w:val="center"/>
              <w:rPr>
                <w:rFonts w:eastAsia="Calibri"/>
                <w:color w:val="000000" w:themeColor="text1"/>
                <w:szCs w:val="16"/>
              </w:rPr>
            </w:pPr>
            <w:r w:rsidRPr="249284A2">
              <w:rPr>
                <w:rFonts w:cs="Arial"/>
                <w:color w:val="000000" w:themeColor="text1"/>
              </w:rPr>
              <w:t>*</w:t>
            </w:r>
            <w:r w:rsidR="00565AE6" w:rsidRPr="00565AE6">
              <w:rPr>
                <w:rFonts w:cs="Arial"/>
                <w:color w:val="000000" w:themeColor="text1"/>
                <w:vertAlign w:val="superscript"/>
              </w:rPr>
              <w:fldChar w:fldCharType="begin"/>
            </w:r>
            <w:r w:rsidR="00565AE6" w:rsidRPr="00565AE6">
              <w:rPr>
                <w:rFonts w:cs="Arial"/>
                <w:color w:val="000000" w:themeColor="text1"/>
                <w:vertAlign w:val="superscript"/>
              </w:rPr>
              <w:instrText xml:space="preserve"> NOTEREF _Ref78273277 \h </w:instrText>
            </w:r>
            <w:r w:rsidR="00565AE6">
              <w:rPr>
                <w:rFonts w:cs="Arial"/>
                <w:color w:val="000000" w:themeColor="text1"/>
                <w:vertAlign w:val="superscript"/>
              </w:rPr>
              <w:instrText xml:space="preserve"> \* MERGEFORMAT </w:instrText>
            </w:r>
            <w:r w:rsidR="00565AE6" w:rsidRPr="00565AE6">
              <w:rPr>
                <w:rFonts w:cs="Arial"/>
                <w:color w:val="000000" w:themeColor="text1"/>
                <w:vertAlign w:val="superscript"/>
              </w:rPr>
            </w:r>
            <w:r w:rsidR="00565AE6" w:rsidRPr="00565AE6">
              <w:rPr>
                <w:rFonts w:cs="Arial"/>
                <w:color w:val="000000" w:themeColor="text1"/>
                <w:vertAlign w:val="superscript"/>
              </w:rPr>
              <w:fldChar w:fldCharType="separate"/>
            </w:r>
            <w:r w:rsidR="00565AE6" w:rsidRPr="00565AE6">
              <w:rPr>
                <w:rFonts w:cs="Arial"/>
                <w:color w:val="000000" w:themeColor="text1"/>
                <w:vertAlign w:val="superscript"/>
              </w:rPr>
              <w:t>1</w:t>
            </w:r>
            <w:r w:rsidR="00565AE6" w:rsidRPr="00565AE6">
              <w:rPr>
                <w:rFonts w:cs="Arial"/>
                <w:color w:val="000000" w:themeColor="text1"/>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4,573</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76.51%</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95.00%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83.12%</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5</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Graduation in the State of Iowa is defined as (1) a student who has received a regular diploma who completed all unmodified district graduation requirements in the standard number of four years, or (2) students receiving a regular diploma from an alternative placement within the district, or who have had the requirements modified in accordance with a disability. Students who have finished the high school program but did not earn a </w:t>
      </w:r>
      <w:proofErr w:type="gramStart"/>
      <w:r w:rsidRPr="005C29F8">
        <w:rPr>
          <w:rFonts w:cs="Arial"/>
          <w:color w:val="000000" w:themeColor="text1"/>
          <w:szCs w:val="16"/>
        </w:rPr>
        <w:t>diploma, or</w:t>
      </w:r>
      <w:proofErr w:type="gramEnd"/>
      <w:r w:rsidRPr="005C29F8">
        <w:rPr>
          <w:rFonts w:cs="Arial"/>
          <w:color w:val="000000" w:themeColor="text1"/>
          <w:szCs w:val="16"/>
        </w:rPr>
        <w:t xml:space="preserve"> earned a certificate of attendance or other credential in lieu of a diploma are not considered graduates.</w:t>
      </w:r>
      <w:r w:rsidRPr="005C29F8">
        <w:rPr>
          <w:rFonts w:cs="Arial"/>
          <w:color w:val="000000" w:themeColor="text1"/>
          <w:szCs w:val="16"/>
        </w:rPr>
        <w:br/>
      </w:r>
      <w:r w:rsidRPr="005C29F8">
        <w:rPr>
          <w:rFonts w:cs="Arial"/>
          <w:color w:val="000000" w:themeColor="text1"/>
          <w:szCs w:val="16"/>
        </w:rPr>
        <w:br/>
        <w:t xml:space="preserve">Data for this measure are reported using the five-year graduation rate. The five-year fixed cohort graduation rate is calculated by dividing the number of students in the cohort (denominator) who graduate with a regular high school diploma in five years or less by the number of first-time 9th graders enrolled in the fall five years earlier minus the number of students who transferred out plus the total number of students who transferred in. Please note that data reported for the current reporting period are from one year previous as described in the table below. </w:t>
      </w:r>
      <w:r w:rsidRPr="005C29F8">
        <w:rPr>
          <w:rFonts w:cs="Arial"/>
          <w:color w:val="000000" w:themeColor="text1"/>
          <w:szCs w:val="16"/>
        </w:rPr>
        <w:br/>
      </w:r>
      <w:r w:rsidRPr="005C29F8">
        <w:rPr>
          <w:rFonts w:cs="Arial"/>
          <w:color w:val="000000" w:themeColor="text1"/>
          <w:szCs w:val="16"/>
        </w:rPr>
        <w:br/>
        <w:t xml:space="preserve">Title I Cohort Graduation Rate = (FG + TIG) / (F + TI - TO) </w:t>
      </w:r>
      <w:r w:rsidRPr="005C29F8">
        <w:rPr>
          <w:rFonts w:cs="Arial"/>
          <w:color w:val="000000" w:themeColor="text1"/>
          <w:szCs w:val="16"/>
        </w:rPr>
        <w:br/>
        <w:t xml:space="preserve">FG: First-time 9th grade students in fall of 2014 and graduated in 2019 or sooner </w:t>
      </w:r>
      <w:r w:rsidRPr="005C29F8">
        <w:rPr>
          <w:rFonts w:cs="Arial"/>
          <w:color w:val="000000" w:themeColor="text1"/>
          <w:szCs w:val="16"/>
        </w:rPr>
        <w:br/>
        <w:t xml:space="preserve">TIG: Students who transferred in grades 9 to 12 and graduate in 2019 or sooner </w:t>
      </w:r>
      <w:r w:rsidRPr="005C29F8">
        <w:rPr>
          <w:rFonts w:cs="Arial"/>
          <w:color w:val="000000" w:themeColor="text1"/>
          <w:szCs w:val="16"/>
        </w:rPr>
        <w:br/>
        <w:t xml:space="preserve">F: First-time 9th grade students in fall of 2014 </w:t>
      </w:r>
      <w:r w:rsidRPr="005C29F8">
        <w:rPr>
          <w:rFonts w:cs="Arial"/>
          <w:color w:val="000000" w:themeColor="text1"/>
          <w:szCs w:val="16"/>
        </w:rPr>
        <w:br/>
        <w:t>TI: Transferred in between 2015 and 2018</w:t>
      </w:r>
      <w:r w:rsidRPr="005C29F8">
        <w:rPr>
          <w:rFonts w:cs="Arial"/>
          <w:color w:val="000000" w:themeColor="text1"/>
          <w:szCs w:val="16"/>
        </w:rPr>
        <w:br/>
        <w:t xml:space="preserve">TO: Transfer out between 2015 and 2018 (including emigrates and deceased) </w:t>
      </w:r>
      <w:r w:rsidRPr="005C29F8">
        <w:rPr>
          <w:rFonts w:cs="Arial"/>
          <w:color w:val="000000" w:themeColor="text1"/>
          <w:szCs w:val="16"/>
        </w:rPr>
        <w:br/>
        <w:t xml:space="preserve">First-time freshmen and transferred-in students include: resident students attending a public school in the district; non-resident students open-enrolled in, whole-grade sharing in, or tuition in; and foreign students on Visa. Those excluded </w:t>
      </w:r>
      <w:proofErr w:type="gramStart"/>
      <w:r w:rsidRPr="005C29F8">
        <w:rPr>
          <w:rFonts w:cs="Arial"/>
          <w:color w:val="000000" w:themeColor="text1"/>
          <w:szCs w:val="16"/>
        </w:rPr>
        <w:t>are:</w:t>
      </w:r>
      <w:proofErr w:type="gramEnd"/>
      <w:r w:rsidRPr="005C29F8">
        <w:rPr>
          <w:rFonts w:cs="Arial"/>
          <w:color w:val="000000" w:themeColor="text1"/>
          <w:szCs w:val="16"/>
        </w:rPr>
        <w:t xml:space="preserve"> home-schooled and nonpublic schooled students; public school students enrolled in another district but taking courses on a part-time basis; and foreign exchange students. Students receiving regular diplomas are included as graduates in the numerator. Early graduates are included in the original cohort.</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The state updated the baseline to account for the change from reporting a 4-year rate to a 5-year rate. The Special Education Advisory Panel (one of Iowa's primary stakeholder groups), transition coordinators, and superintendents across the state have requested that the 5-year rate be reported instead. Iowa has also been in the practice of including the 5-year graduation rate in reporting. Thus, when approached by OSEP with the option to use either the 4-year rate or exercise the reported extended year rate, the state was well-positioned to make the switch. </w:t>
      </w:r>
      <w:r w:rsidRPr="005C29F8">
        <w:rPr>
          <w:rFonts w:cs="Arial"/>
          <w:color w:val="000000" w:themeColor="text1"/>
          <w:szCs w:val="16"/>
        </w:rPr>
        <w:br/>
      </w:r>
      <w:r w:rsidRPr="005C29F8">
        <w:rPr>
          <w:rFonts w:cs="Arial"/>
          <w:color w:val="000000" w:themeColor="text1"/>
          <w:szCs w:val="16"/>
        </w:rPr>
        <w:br/>
        <w:t>COVID-19 Impact Statement: Due to this indicator data being from the year before the reporting year (2018-2019), there is no impact from COVID the state’s ability to collect the data, or on reliability, validity, or completeness. Thus, no steps were needed to mitigate data collection. The state anticipates the SY 2019-2020 data reported on the FFY 2021 SPP/APR in 2022 will show an impact from COVID-19.</w:t>
      </w: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B7490" w:rsidP="001F692C">
      <w:pPr>
        <w:rPr>
          <w:rFonts w:cs="Arial"/>
          <w:color w:val="000000" w:themeColor="text1"/>
          <w:szCs w:val="16"/>
        </w:rPr>
      </w:pPr>
      <w:r w:rsidRPr="005C29F8">
        <w:rPr>
          <w:rFonts w:cs="Arial"/>
          <w:color w:val="000000" w:themeColor="text1"/>
          <w:szCs w:val="16"/>
        </w:rPr>
        <w:t>The State has revised the baseline for this indicator, using data from FFY 2019, and OSEP accepts that revision.</w:t>
      </w:r>
    </w:p>
    <w:p w14:paraId="5F7376D0" w14:textId="1C114A8A" w:rsidR="004C462E" w:rsidRPr="0033429D" w:rsidRDefault="00B0742B" w:rsidP="008645AD">
      <w:pPr>
        <w:pStyle w:val="Heading2"/>
      </w:pPr>
      <w:bookmarkStart w:id="5" w:name="_Hlk21352084"/>
      <w:r w:rsidRPr="0033429D">
        <w:t xml:space="preserve">1 - </w:t>
      </w:r>
      <w:bookmarkEnd w:id="5"/>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2012</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21.49%</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21.00%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20.50%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20.00%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19.50%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19.00%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17.54%</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18.05%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19.79%</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19.34%</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19.02%</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19.00%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2,911</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53</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690</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19</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690</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3,673</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19.02%</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19.00%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18.79%</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According to the CCD definition, a dropout is an individual who </w:t>
      </w:r>
      <w:r w:rsidRPr="005C29F8">
        <w:rPr>
          <w:rFonts w:cs="Arial"/>
          <w:color w:val="000000" w:themeColor="text1"/>
          <w:szCs w:val="16"/>
          <w:shd w:val="clear" w:color="auto" w:fill="FFFFFF"/>
        </w:rPr>
        <w:br/>
        <w:t xml:space="preserve">1. was enrolled in school at some time during the 2018-2019 funding year (on or after October 1, </w:t>
      </w:r>
      <w:proofErr w:type="gramStart"/>
      <w:r w:rsidRPr="005C29F8">
        <w:rPr>
          <w:rFonts w:cs="Arial"/>
          <w:color w:val="000000" w:themeColor="text1"/>
          <w:szCs w:val="16"/>
          <w:shd w:val="clear" w:color="auto" w:fill="FFFFFF"/>
        </w:rPr>
        <w:t>2018</w:t>
      </w:r>
      <w:proofErr w:type="gramEnd"/>
      <w:r w:rsidRPr="005C29F8">
        <w:rPr>
          <w:rFonts w:cs="Arial"/>
          <w:color w:val="000000" w:themeColor="text1"/>
          <w:szCs w:val="16"/>
          <w:shd w:val="clear" w:color="auto" w:fill="FFFFFF"/>
        </w:rPr>
        <w:t xml:space="preserve"> through September 30, 2019) </w:t>
      </w:r>
      <w:r w:rsidRPr="005C29F8">
        <w:rPr>
          <w:rFonts w:cs="Arial"/>
          <w:color w:val="000000" w:themeColor="text1"/>
          <w:szCs w:val="16"/>
          <w:shd w:val="clear" w:color="auto" w:fill="FFFFFF"/>
        </w:rPr>
        <w:br/>
        <w:t xml:space="preserve">2. is not enrolled as of Count Day 2019 </w:t>
      </w:r>
      <w:r w:rsidRPr="005C29F8">
        <w:rPr>
          <w:rFonts w:cs="Arial"/>
          <w:color w:val="000000" w:themeColor="text1"/>
          <w:szCs w:val="16"/>
          <w:shd w:val="clear" w:color="auto" w:fill="FFFFFF"/>
        </w:rPr>
        <w:br/>
        <w:t xml:space="preserve">3. has not graduated from high school or completed a state- or district-approved education program; and </w:t>
      </w:r>
      <w:r w:rsidRPr="005C29F8">
        <w:rPr>
          <w:rFonts w:cs="Arial"/>
          <w:color w:val="000000" w:themeColor="text1"/>
          <w:szCs w:val="16"/>
          <w:shd w:val="clear" w:color="auto" w:fill="FFFFFF"/>
        </w:rPr>
        <w:br/>
        <w:t xml:space="preserve">4. does not meet any of the following exclusionary conditions: </w:t>
      </w:r>
      <w:r w:rsidRPr="005C29F8">
        <w:rPr>
          <w:rFonts w:cs="Arial"/>
          <w:color w:val="000000" w:themeColor="text1"/>
          <w:szCs w:val="16"/>
          <w:shd w:val="clear" w:color="auto" w:fill="FFFFFF"/>
        </w:rPr>
        <w:br/>
        <w:t xml:space="preserve">a. transfer to another public school district, private school, or state-or district-approved education program </w:t>
      </w:r>
      <w:r w:rsidRPr="005C29F8">
        <w:rPr>
          <w:rFonts w:cs="Arial"/>
          <w:color w:val="000000" w:themeColor="text1"/>
          <w:szCs w:val="16"/>
          <w:shd w:val="clear" w:color="auto" w:fill="FFFFFF"/>
        </w:rPr>
        <w:br/>
        <w:t xml:space="preserve">b. temporary absence due to suspension or school-approved illness; or </w:t>
      </w:r>
      <w:r w:rsidRPr="005C29F8">
        <w:rPr>
          <w:rFonts w:cs="Arial"/>
          <w:color w:val="000000" w:themeColor="text1"/>
          <w:szCs w:val="16"/>
          <w:shd w:val="clear" w:color="auto" w:fill="FFFFFF"/>
        </w:rPr>
        <w:br/>
        <w:t xml:space="preserve">c. death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For the purpose of this definition: 1) The school year is the 12-month </w:t>
      </w:r>
      <w:proofErr w:type="gramStart"/>
      <w:r w:rsidRPr="005C29F8">
        <w:rPr>
          <w:rFonts w:cs="Arial"/>
          <w:color w:val="000000" w:themeColor="text1"/>
          <w:szCs w:val="16"/>
          <w:shd w:val="clear" w:color="auto" w:fill="FFFFFF"/>
        </w:rPr>
        <w:t>period of time</w:t>
      </w:r>
      <w:proofErr w:type="gramEnd"/>
      <w:r w:rsidRPr="005C29F8">
        <w:rPr>
          <w:rFonts w:cs="Arial"/>
          <w:color w:val="000000" w:themeColor="text1"/>
          <w:szCs w:val="16"/>
          <w:shd w:val="clear" w:color="auto" w:fill="FFFFFF"/>
        </w:rPr>
        <w:t xml:space="preserve"> beginning on Count Day. </w:t>
      </w:r>
      <w:r w:rsidRPr="005C29F8">
        <w:rPr>
          <w:rFonts w:cs="Arial"/>
          <w:color w:val="000000" w:themeColor="text1"/>
          <w:szCs w:val="16"/>
          <w:shd w:val="clear" w:color="auto" w:fill="FFFFFF"/>
        </w:rPr>
        <w:br/>
        <w:t xml:space="preserve">2) Dropouts from the previous summer reported for the year and grade in which they fail to enroll. For example, a student completing 10th grade in 2018-2019, who does not enroll the next year would be reported as an 11th grade dropout for 2019-2020. </w:t>
      </w:r>
      <w:r w:rsidRPr="005C29F8">
        <w:rPr>
          <w:rFonts w:cs="Arial"/>
          <w:color w:val="000000" w:themeColor="text1"/>
          <w:szCs w:val="16"/>
          <w:shd w:val="clear" w:color="auto" w:fill="FFFFFF"/>
        </w:rPr>
        <w:br/>
        <w:t xml:space="preserve">3) Individuals who are not accounted for on Count Day of the current year are considered dropouts </w:t>
      </w:r>
      <w:r w:rsidRPr="005C29F8">
        <w:rPr>
          <w:rFonts w:cs="Arial"/>
          <w:color w:val="000000" w:themeColor="text1"/>
          <w:szCs w:val="16"/>
          <w:shd w:val="clear" w:color="auto" w:fill="FFFFFF"/>
        </w:rPr>
        <w:br/>
        <w:t>4) A school completer is an individual who graduated from high school or completed a state- or district- approved educational program upon receipt of formal recognition of school authorities.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8" w:name="_Toc382082362"/>
      <w:bookmarkStart w:id="9" w:name="_Toc392159270"/>
      <w:bookmarkStart w:id="10"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COVID-19 Impact Statement: Due to this indicator data being from the year before the reporting year (2018-2019), there is no impact from COVID the state’s ability to collect the data, or on reliability, validity, or completeness. Thus, no steps were needed to mitigate data collection. The state anticipates the SY 2019-2020 data reported on the FFY 2021 SPP/APR in 2022 will show an impact from COVID-19.</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lastRenderedPageBreak/>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8"/>
      <w:bookmarkEnd w:id="9"/>
    </w:p>
    <w:p w14:paraId="66C662B8" w14:textId="77777777" w:rsidR="007C3C89" w:rsidRPr="005C29F8" w:rsidRDefault="007C3C89" w:rsidP="00A018D4">
      <w:pPr>
        <w:rPr>
          <w:color w:val="000000" w:themeColor="text1"/>
          <w:szCs w:val="20"/>
        </w:rPr>
      </w:pPr>
      <w:bookmarkStart w:id="11"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1"/>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r w:rsidR="005C29F8" w:rsidRPr="005C29F8" w14:paraId="26536D6C" w14:textId="77777777" w:rsidTr="00044B5C">
        <w:trPr>
          <w:trHeight w:val="361"/>
        </w:trPr>
        <w:tc>
          <w:tcPr>
            <w:tcW w:w="270" w:type="pct"/>
            <w:shd w:val="clear" w:color="auto" w:fill="auto"/>
            <w:vAlign w:val="center"/>
          </w:tcPr>
          <w:p w14:paraId="5CDAFFC0" w14:textId="3F4A960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tcPr>
          <w:p w14:paraId="58925CBD" w14:textId="468520D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tcPr>
          <w:p w14:paraId="01FC9F66" w14:textId="13CAD9D5"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7BAC46" w14:textId="0B18E51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8CD751" w14:textId="29138617"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2D1FC3" w14:textId="3802A28C" w:rsidR="00421D14" w:rsidRPr="005C29F8" w:rsidRDefault="00421D14" w:rsidP="004E2151">
            <w:pPr>
              <w:pStyle w:val="Default"/>
              <w:jc w:val="center"/>
              <w:rPr>
                <w:b/>
                <w:color w:val="000000" w:themeColor="text1"/>
                <w:sz w:val="16"/>
                <w:szCs w:val="16"/>
              </w:rPr>
            </w:pPr>
          </w:p>
        </w:tc>
        <w:tc>
          <w:tcPr>
            <w:tcW w:w="394" w:type="pct"/>
            <w:shd w:val="clear" w:color="auto" w:fill="auto"/>
          </w:tcPr>
          <w:p w14:paraId="16282D72" w14:textId="55CB7672" w:rsidR="00421D14" w:rsidRPr="005C29F8" w:rsidRDefault="00421D14" w:rsidP="004E2151">
            <w:pPr>
              <w:pStyle w:val="Default"/>
              <w:jc w:val="center"/>
              <w:rPr>
                <w:b/>
                <w:color w:val="000000" w:themeColor="text1"/>
                <w:sz w:val="16"/>
                <w:szCs w:val="16"/>
              </w:rPr>
            </w:pPr>
          </w:p>
        </w:tc>
        <w:tc>
          <w:tcPr>
            <w:tcW w:w="394" w:type="pct"/>
            <w:shd w:val="clear" w:color="auto" w:fill="auto"/>
          </w:tcPr>
          <w:p w14:paraId="1E642B55" w14:textId="4FF8CB9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3DF2935" w14:textId="145F6590"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3C9B1D" w14:textId="010D87CE" w:rsidR="00421D14" w:rsidRPr="005C29F8" w:rsidRDefault="00421D14" w:rsidP="004E2151">
            <w:pPr>
              <w:pStyle w:val="Default"/>
              <w:jc w:val="center"/>
              <w:rPr>
                <w:b/>
                <w:color w:val="000000" w:themeColor="text1"/>
                <w:sz w:val="16"/>
                <w:szCs w:val="16"/>
              </w:rPr>
            </w:pPr>
          </w:p>
        </w:tc>
        <w:tc>
          <w:tcPr>
            <w:tcW w:w="394" w:type="pct"/>
            <w:shd w:val="clear" w:color="auto" w:fill="auto"/>
          </w:tcPr>
          <w:p w14:paraId="67177E9A" w14:textId="3C98B5F7"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60B656" w14:textId="595AB6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83FB34C" w14:textId="525B9B95" w:rsidR="00421D14" w:rsidRPr="005C29F8" w:rsidRDefault="00421D14" w:rsidP="004E2151">
            <w:pPr>
              <w:pStyle w:val="Default"/>
              <w:jc w:val="center"/>
              <w:rPr>
                <w:b/>
                <w:color w:val="000000" w:themeColor="text1"/>
                <w:sz w:val="16"/>
                <w:szCs w:val="16"/>
              </w:rPr>
            </w:pPr>
          </w:p>
        </w:tc>
      </w:tr>
      <w:tr w:rsidR="005C29F8" w:rsidRPr="005C29F8" w14:paraId="12735837" w14:textId="77777777" w:rsidTr="00044B5C">
        <w:trPr>
          <w:trHeight w:val="361"/>
        </w:trPr>
        <w:tc>
          <w:tcPr>
            <w:tcW w:w="270" w:type="pct"/>
            <w:shd w:val="clear" w:color="auto" w:fill="auto"/>
            <w:vAlign w:val="center"/>
          </w:tcPr>
          <w:p w14:paraId="74331F27" w14:textId="2B69AB9C"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tcPr>
          <w:p w14:paraId="683F21F6" w14:textId="3D093519"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tcPr>
          <w:p w14:paraId="5906D1E0" w14:textId="25035D79"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AE73B6" w14:textId="7CF43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4099F831" w14:textId="0D0EDEC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DD33901" w14:textId="2511B7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5B3EC6F5" w14:textId="4FEEA89F"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639EEA" w14:textId="2509A495" w:rsidR="00421D14" w:rsidRPr="005C29F8" w:rsidRDefault="00421D14" w:rsidP="004E2151">
            <w:pPr>
              <w:pStyle w:val="Default"/>
              <w:jc w:val="center"/>
              <w:rPr>
                <w:b/>
                <w:color w:val="000000" w:themeColor="text1"/>
                <w:sz w:val="16"/>
                <w:szCs w:val="16"/>
              </w:rPr>
            </w:pPr>
          </w:p>
        </w:tc>
        <w:tc>
          <w:tcPr>
            <w:tcW w:w="394" w:type="pct"/>
            <w:shd w:val="clear" w:color="auto" w:fill="auto"/>
          </w:tcPr>
          <w:p w14:paraId="12D43ECB" w14:textId="49457F06" w:rsidR="00421D14" w:rsidRPr="005C29F8" w:rsidRDefault="00421D14" w:rsidP="004E2151">
            <w:pPr>
              <w:pStyle w:val="Default"/>
              <w:jc w:val="center"/>
              <w:rPr>
                <w:b/>
                <w:color w:val="000000" w:themeColor="text1"/>
                <w:sz w:val="16"/>
                <w:szCs w:val="16"/>
              </w:rPr>
            </w:pPr>
          </w:p>
        </w:tc>
        <w:tc>
          <w:tcPr>
            <w:tcW w:w="394" w:type="pct"/>
            <w:shd w:val="clear" w:color="auto" w:fill="auto"/>
          </w:tcPr>
          <w:p w14:paraId="7379A5AB" w14:textId="4C60D7CB"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D58C9B" w14:textId="0F06DF2F" w:rsidR="00421D14" w:rsidRPr="005C29F8" w:rsidRDefault="00421D14" w:rsidP="004E2151">
            <w:pPr>
              <w:pStyle w:val="Default"/>
              <w:jc w:val="center"/>
              <w:rPr>
                <w:b/>
                <w:color w:val="000000" w:themeColor="text1"/>
                <w:sz w:val="16"/>
                <w:szCs w:val="16"/>
              </w:rPr>
            </w:pPr>
          </w:p>
        </w:tc>
        <w:tc>
          <w:tcPr>
            <w:tcW w:w="394" w:type="pct"/>
            <w:shd w:val="clear" w:color="auto" w:fill="auto"/>
          </w:tcPr>
          <w:p w14:paraId="477FD6F9" w14:textId="0D879898"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66DEEF" w14:textId="4D5A829B" w:rsidR="00421D14" w:rsidRPr="005C29F8" w:rsidRDefault="00421D14" w:rsidP="004E2151">
            <w:pPr>
              <w:pStyle w:val="Default"/>
              <w:jc w:val="center"/>
              <w:rPr>
                <w:b/>
                <w:color w:val="000000" w:themeColor="text1"/>
                <w:sz w:val="16"/>
                <w:szCs w:val="16"/>
              </w:rPr>
            </w:pPr>
          </w:p>
        </w:tc>
      </w:tr>
      <w:tr w:rsidR="005C29F8" w:rsidRPr="005C29F8" w14:paraId="6C213D9F" w14:textId="77777777" w:rsidTr="00044B5C">
        <w:trPr>
          <w:trHeight w:val="361"/>
        </w:trPr>
        <w:tc>
          <w:tcPr>
            <w:tcW w:w="270" w:type="pct"/>
            <w:shd w:val="clear" w:color="auto" w:fill="auto"/>
            <w:vAlign w:val="center"/>
          </w:tcPr>
          <w:p w14:paraId="743E9538" w14:textId="0FE9543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tcPr>
          <w:p w14:paraId="1FEF8DA4" w14:textId="7EFE021A"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tcPr>
          <w:p w14:paraId="44198FA4" w14:textId="2BEAD3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3A84FDC" w14:textId="3BA3FB53" w:rsidR="00421D14" w:rsidRPr="005C29F8" w:rsidRDefault="00421D14" w:rsidP="004E2151">
            <w:pPr>
              <w:pStyle w:val="Default"/>
              <w:jc w:val="center"/>
              <w:rPr>
                <w:b/>
                <w:color w:val="000000" w:themeColor="text1"/>
                <w:sz w:val="16"/>
                <w:szCs w:val="16"/>
              </w:rPr>
            </w:pPr>
          </w:p>
        </w:tc>
        <w:tc>
          <w:tcPr>
            <w:tcW w:w="394" w:type="pct"/>
            <w:shd w:val="clear" w:color="auto" w:fill="auto"/>
          </w:tcPr>
          <w:p w14:paraId="0B0C7721" w14:textId="52B4DA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842D60C" w14:textId="2B3C80E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71A78E1" w14:textId="22C78159" w:rsidR="00421D14" w:rsidRPr="005C29F8" w:rsidRDefault="00421D14" w:rsidP="004E2151">
            <w:pPr>
              <w:pStyle w:val="Default"/>
              <w:jc w:val="center"/>
              <w:rPr>
                <w:b/>
                <w:color w:val="000000" w:themeColor="text1"/>
                <w:sz w:val="16"/>
                <w:szCs w:val="16"/>
              </w:rPr>
            </w:pPr>
          </w:p>
        </w:tc>
        <w:tc>
          <w:tcPr>
            <w:tcW w:w="394" w:type="pct"/>
            <w:shd w:val="clear" w:color="auto" w:fill="auto"/>
          </w:tcPr>
          <w:p w14:paraId="0D9C2695" w14:textId="7C53894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A80E99C" w14:textId="43D29663" w:rsidR="00421D14" w:rsidRPr="005C29F8" w:rsidRDefault="00421D14" w:rsidP="004E2151">
            <w:pPr>
              <w:pStyle w:val="Default"/>
              <w:jc w:val="center"/>
              <w:rPr>
                <w:b/>
                <w:color w:val="000000" w:themeColor="text1"/>
                <w:sz w:val="16"/>
                <w:szCs w:val="16"/>
              </w:rPr>
            </w:pPr>
          </w:p>
        </w:tc>
        <w:tc>
          <w:tcPr>
            <w:tcW w:w="394" w:type="pct"/>
            <w:shd w:val="clear" w:color="auto" w:fill="auto"/>
          </w:tcPr>
          <w:p w14:paraId="7E8EEA72" w14:textId="470AFE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C52361" w14:textId="744BBF60" w:rsidR="00421D14" w:rsidRPr="005C29F8" w:rsidRDefault="00421D14" w:rsidP="004E2151">
            <w:pPr>
              <w:pStyle w:val="Default"/>
              <w:jc w:val="center"/>
              <w:rPr>
                <w:b/>
                <w:color w:val="000000" w:themeColor="text1"/>
                <w:sz w:val="16"/>
                <w:szCs w:val="16"/>
              </w:rPr>
            </w:pPr>
          </w:p>
        </w:tc>
        <w:tc>
          <w:tcPr>
            <w:tcW w:w="394" w:type="pct"/>
            <w:shd w:val="clear" w:color="auto" w:fill="auto"/>
          </w:tcPr>
          <w:p w14:paraId="64EB25C4" w14:textId="061B7CFB" w:rsidR="00421D14" w:rsidRPr="005C29F8" w:rsidRDefault="00421D14" w:rsidP="004E2151">
            <w:pPr>
              <w:pStyle w:val="Default"/>
              <w:jc w:val="center"/>
              <w:rPr>
                <w:b/>
                <w:color w:val="000000" w:themeColor="text1"/>
                <w:sz w:val="16"/>
                <w:szCs w:val="16"/>
              </w:rPr>
            </w:pPr>
          </w:p>
        </w:tc>
        <w:tc>
          <w:tcPr>
            <w:tcW w:w="394" w:type="pct"/>
            <w:shd w:val="clear" w:color="auto" w:fill="auto"/>
          </w:tcPr>
          <w:p w14:paraId="2C14AEC4" w14:textId="4036B8FC" w:rsidR="00421D14" w:rsidRPr="005C29F8" w:rsidRDefault="00421D14" w:rsidP="004E2151">
            <w:pPr>
              <w:pStyle w:val="Default"/>
              <w:jc w:val="center"/>
              <w:rPr>
                <w:b/>
                <w:color w:val="000000" w:themeColor="text1"/>
                <w:sz w:val="16"/>
                <w:szCs w:val="16"/>
              </w:rPr>
            </w:pPr>
          </w:p>
        </w:tc>
      </w:tr>
      <w:tr w:rsidR="005C29F8" w:rsidRPr="005C29F8" w14:paraId="389B0E67" w14:textId="77777777" w:rsidTr="00044B5C">
        <w:trPr>
          <w:trHeight w:val="361"/>
        </w:trPr>
        <w:tc>
          <w:tcPr>
            <w:tcW w:w="270" w:type="pct"/>
            <w:shd w:val="clear" w:color="auto" w:fill="auto"/>
            <w:vAlign w:val="center"/>
          </w:tcPr>
          <w:p w14:paraId="7F91EC77" w14:textId="054FB173"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tcPr>
          <w:p w14:paraId="1C299B40" w14:textId="18C26384"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tcPr>
          <w:p w14:paraId="0335B035" w14:textId="2E4BD4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59F72" w14:textId="255346B7"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B2A91C" w14:textId="0335ED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100EA012" w14:textId="45F211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1C1F809F" w14:textId="0A897DCF"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F96226F" w14:textId="5EF099C7"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B3F1E3" w14:textId="6BAE8A65" w:rsidR="00421D14" w:rsidRPr="005C29F8" w:rsidRDefault="00421D14" w:rsidP="004E2151">
            <w:pPr>
              <w:pStyle w:val="Default"/>
              <w:jc w:val="center"/>
              <w:rPr>
                <w:b/>
                <w:color w:val="000000" w:themeColor="text1"/>
                <w:sz w:val="16"/>
                <w:szCs w:val="16"/>
              </w:rPr>
            </w:pPr>
          </w:p>
        </w:tc>
        <w:tc>
          <w:tcPr>
            <w:tcW w:w="394" w:type="pct"/>
            <w:shd w:val="clear" w:color="auto" w:fill="auto"/>
          </w:tcPr>
          <w:p w14:paraId="3B536B28" w14:textId="2A87273B" w:rsidR="00421D14" w:rsidRPr="005C29F8" w:rsidRDefault="00421D14" w:rsidP="004E2151">
            <w:pPr>
              <w:pStyle w:val="Default"/>
              <w:jc w:val="center"/>
              <w:rPr>
                <w:b/>
                <w:color w:val="000000" w:themeColor="text1"/>
                <w:sz w:val="16"/>
                <w:szCs w:val="16"/>
              </w:rPr>
            </w:pPr>
          </w:p>
        </w:tc>
        <w:tc>
          <w:tcPr>
            <w:tcW w:w="394" w:type="pct"/>
            <w:shd w:val="clear" w:color="auto" w:fill="auto"/>
          </w:tcPr>
          <w:p w14:paraId="0A42A145" w14:textId="1EB9DC6B"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318F56" w14:textId="5C1336C4" w:rsidR="00421D14" w:rsidRPr="005C29F8" w:rsidRDefault="00421D14" w:rsidP="004E2151">
            <w:pPr>
              <w:pStyle w:val="Default"/>
              <w:jc w:val="center"/>
              <w:rPr>
                <w:b/>
                <w:color w:val="000000" w:themeColor="text1"/>
                <w:sz w:val="16"/>
                <w:szCs w:val="16"/>
              </w:rPr>
            </w:pPr>
          </w:p>
        </w:tc>
        <w:tc>
          <w:tcPr>
            <w:tcW w:w="394" w:type="pct"/>
            <w:shd w:val="clear" w:color="auto" w:fill="auto"/>
          </w:tcPr>
          <w:p w14:paraId="3D54A3B8" w14:textId="08EBD448" w:rsidR="00421D14" w:rsidRPr="005C29F8" w:rsidRDefault="00421D14" w:rsidP="004E2151">
            <w:pPr>
              <w:pStyle w:val="Default"/>
              <w:jc w:val="center"/>
              <w:rPr>
                <w:b/>
                <w:color w:val="000000" w:themeColor="text1"/>
                <w:sz w:val="16"/>
                <w:szCs w:val="16"/>
              </w:rPr>
            </w:pPr>
          </w:p>
        </w:tc>
      </w:tr>
      <w:tr w:rsidR="005C29F8" w:rsidRPr="005C29F8" w14:paraId="0D121E28" w14:textId="77777777" w:rsidTr="00044B5C">
        <w:trPr>
          <w:trHeight w:val="361"/>
        </w:trPr>
        <w:tc>
          <w:tcPr>
            <w:tcW w:w="270" w:type="pct"/>
            <w:shd w:val="clear" w:color="auto" w:fill="auto"/>
            <w:vAlign w:val="center"/>
          </w:tcPr>
          <w:p w14:paraId="33D6B950" w14:textId="5D572D7E"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tcPr>
          <w:p w14:paraId="4F9004EF" w14:textId="179EAF9F" w:rsidR="00421D14" w:rsidRPr="005C29F8" w:rsidRDefault="00421D14" w:rsidP="004E2151">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tcPr>
          <w:p w14:paraId="631A1A9E" w14:textId="27512DD0"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7BF869" w14:textId="51579064" w:rsidR="00421D14" w:rsidRPr="005C29F8" w:rsidRDefault="00421D14" w:rsidP="004E2151">
            <w:pPr>
              <w:pStyle w:val="Default"/>
              <w:jc w:val="center"/>
              <w:rPr>
                <w:b/>
                <w:color w:val="000000" w:themeColor="text1"/>
                <w:sz w:val="16"/>
                <w:szCs w:val="16"/>
              </w:rPr>
            </w:pPr>
          </w:p>
        </w:tc>
        <w:tc>
          <w:tcPr>
            <w:tcW w:w="394" w:type="pct"/>
            <w:shd w:val="clear" w:color="auto" w:fill="auto"/>
          </w:tcPr>
          <w:p w14:paraId="5DF5CC41" w14:textId="78BD3639"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A9BA0C" w14:textId="17BD209D" w:rsidR="00421D14" w:rsidRPr="005C29F8" w:rsidRDefault="00421D14" w:rsidP="004E2151">
            <w:pPr>
              <w:pStyle w:val="Default"/>
              <w:jc w:val="center"/>
              <w:rPr>
                <w:b/>
                <w:color w:val="000000" w:themeColor="text1"/>
                <w:sz w:val="16"/>
                <w:szCs w:val="16"/>
              </w:rPr>
            </w:pPr>
          </w:p>
        </w:tc>
        <w:tc>
          <w:tcPr>
            <w:tcW w:w="394" w:type="pct"/>
            <w:shd w:val="clear" w:color="auto" w:fill="auto"/>
          </w:tcPr>
          <w:p w14:paraId="3F532F6F" w14:textId="452C84B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54F7D54" w14:textId="61658A9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587EEB7" w14:textId="6DF33E9B"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DD84DF" w14:textId="15BF7233" w:rsidR="00421D14" w:rsidRPr="005C29F8" w:rsidRDefault="00421D14" w:rsidP="004E2151">
            <w:pPr>
              <w:pStyle w:val="Default"/>
              <w:jc w:val="center"/>
              <w:rPr>
                <w:b/>
                <w:color w:val="000000" w:themeColor="text1"/>
                <w:sz w:val="16"/>
                <w:szCs w:val="16"/>
              </w:rPr>
            </w:pPr>
          </w:p>
        </w:tc>
        <w:tc>
          <w:tcPr>
            <w:tcW w:w="394" w:type="pct"/>
            <w:shd w:val="clear" w:color="auto" w:fill="auto"/>
          </w:tcPr>
          <w:p w14:paraId="2F3F472A" w14:textId="119EEAFF" w:rsidR="00421D14" w:rsidRPr="005C29F8" w:rsidRDefault="00421D14" w:rsidP="004E2151">
            <w:pPr>
              <w:pStyle w:val="Default"/>
              <w:jc w:val="center"/>
              <w:rPr>
                <w:b/>
                <w:color w:val="000000" w:themeColor="text1"/>
                <w:sz w:val="16"/>
                <w:szCs w:val="16"/>
              </w:rPr>
            </w:pPr>
          </w:p>
        </w:tc>
        <w:tc>
          <w:tcPr>
            <w:tcW w:w="394" w:type="pct"/>
            <w:shd w:val="clear" w:color="auto" w:fill="auto"/>
          </w:tcPr>
          <w:p w14:paraId="2999DC2B" w14:textId="217905E5" w:rsidR="00421D14" w:rsidRPr="005C29F8" w:rsidRDefault="00421D14" w:rsidP="004E2151">
            <w:pPr>
              <w:pStyle w:val="Default"/>
              <w:jc w:val="center"/>
              <w:rPr>
                <w:b/>
                <w:color w:val="000000" w:themeColor="text1"/>
                <w:sz w:val="16"/>
                <w:szCs w:val="16"/>
              </w:rPr>
            </w:pPr>
          </w:p>
        </w:tc>
        <w:tc>
          <w:tcPr>
            <w:tcW w:w="394" w:type="pct"/>
            <w:shd w:val="clear" w:color="auto" w:fill="auto"/>
          </w:tcPr>
          <w:p w14:paraId="0EA02328" w14:textId="2F5C0C59" w:rsidR="00421D14" w:rsidRPr="005C29F8" w:rsidRDefault="00421D14" w:rsidP="004E2151">
            <w:pPr>
              <w:pStyle w:val="Default"/>
              <w:jc w:val="center"/>
              <w:rPr>
                <w:b/>
                <w:color w:val="000000" w:themeColor="text1"/>
                <w:sz w:val="16"/>
                <w:szCs w:val="16"/>
              </w:rPr>
            </w:pPr>
          </w:p>
        </w:tc>
      </w:tr>
      <w:tr w:rsidR="005C29F8" w:rsidRPr="005C29F8" w14:paraId="188854A6" w14:textId="77777777" w:rsidTr="00044B5C">
        <w:trPr>
          <w:trHeight w:val="361"/>
        </w:trPr>
        <w:tc>
          <w:tcPr>
            <w:tcW w:w="270" w:type="pct"/>
            <w:shd w:val="clear" w:color="auto" w:fill="auto"/>
            <w:vAlign w:val="center"/>
          </w:tcPr>
          <w:p w14:paraId="4CDC0B99" w14:textId="747914C2"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tcPr>
          <w:p w14:paraId="30B5CA2C" w14:textId="083C6103" w:rsidR="00421D14" w:rsidRPr="005C29F8" w:rsidRDefault="00421D14" w:rsidP="004E2151">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tcPr>
          <w:p w14:paraId="4919BF71" w14:textId="6B436DB2" w:rsidR="00421D14" w:rsidRPr="005C29F8" w:rsidRDefault="00421D14" w:rsidP="004E2151">
            <w:pPr>
              <w:pStyle w:val="Default"/>
              <w:jc w:val="center"/>
              <w:rPr>
                <w:b/>
                <w:color w:val="000000" w:themeColor="text1"/>
                <w:sz w:val="16"/>
                <w:szCs w:val="16"/>
              </w:rPr>
            </w:pPr>
          </w:p>
        </w:tc>
        <w:tc>
          <w:tcPr>
            <w:tcW w:w="394" w:type="pct"/>
            <w:shd w:val="clear" w:color="auto" w:fill="auto"/>
          </w:tcPr>
          <w:p w14:paraId="7BD23A7F" w14:textId="40F0BE26"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1B2248" w14:textId="5391DE68" w:rsidR="00421D14" w:rsidRPr="005C29F8" w:rsidRDefault="00421D14" w:rsidP="004E2151">
            <w:pPr>
              <w:pStyle w:val="Default"/>
              <w:jc w:val="center"/>
              <w:rPr>
                <w:b/>
                <w:color w:val="000000" w:themeColor="text1"/>
                <w:sz w:val="16"/>
                <w:szCs w:val="16"/>
              </w:rPr>
            </w:pPr>
          </w:p>
        </w:tc>
        <w:tc>
          <w:tcPr>
            <w:tcW w:w="394" w:type="pct"/>
            <w:shd w:val="clear" w:color="auto" w:fill="auto"/>
          </w:tcPr>
          <w:p w14:paraId="6AFEFFA4" w14:textId="4B8964A8" w:rsidR="00421D14" w:rsidRPr="005C29F8" w:rsidRDefault="00421D14" w:rsidP="004E2151">
            <w:pPr>
              <w:pStyle w:val="Default"/>
              <w:jc w:val="center"/>
              <w:rPr>
                <w:b/>
                <w:color w:val="000000" w:themeColor="text1"/>
                <w:sz w:val="16"/>
                <w:szCs w:val="16"/>
              </w:rPr>
            </w:pPr>
          </w:p>
        </w:tc>
        <w:tc>
          <w:tcPr>
            <w:tcW w:w="394" w:type="pct"/>
            <w:shd w:val="clear" w:color="auto" w:fill="auto"/>
          </w:tcPr>
          <w:p w14:paraId="53A22E76" w14:textId="54C144BD" w:rsidR="00421D14" w:rsidRPr="005C29F8" w:rsidRDefault="00421D14" w:rsidP="004E2151">
            <w:pPr>
              <w:pStyle w:val="Default"/>
              <w:jc w:val="center"/>
              <w:rPr>
                <w:b/>
                <w:color w:val="000000" w:themeColor="text1"/>
                <w:sz w:val="16"/>
                <w:szCs w:val="16"/>
              </w:rPr>
            </w:pPr>
          </w:p>
        </w:tc>
        <w:tc>
          <w:tcPr>
            <w:tcW w:w="394" w:type="pct"/>
            <w:shd w:val="clear" w:color="auto" w:fill="auto"/>
          </w:tcPr>
          <w:p w14:paraId="0FDD56B0" w14:textId="2F927523" w:rsidR="00421D14" w:rsidRPr="005C29F8" w:rsidRDefault="00421D14" w:rsidP="004E2151">
            <w:pPr>
              <w:pStyle w:val="Default"/>
              <w:jc w:val="center"/>
              <w:rPr>
                <w:b/>
                <w:color w:val="000000" w:themeColor="text1"/>
                <w:sz w:val="16"/>
                <w:szCs w:val="16"/>
              </w:rPr>
            </w:pPr>
          </w:p>
        </w:tc>
        <w:tc>
          <w:tcPr>
            <w:tcW w:w="394" w:type="pct"/>
            <w:shd w:val="clear" w:color="auto" w:fill="auto"/>
          </w:tcPr>
          <w:p w14:paraId="39534E0B" w14:textId="173C77F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BE5C700" w14:textId="7288B707" w:rsidR="00421D14" w:rsidRPr="005C29F8" w:rsidRDefault="00421D14" w:rsidP="004E2151">
            <w:pPr>
              <w:pStyle w:val="Default"/>
              <w:jc w:val="center"/>
              <w:rPr>
                <w:b/>
                <w:color w:val="000000" w:themeColor="text1"/>
                <w:sz w:val="16"/>
                <w:szCs w:val="16"/>
              </w:rPr>
            </w:pPr>
          </w:p>
        </w:tc>
        <w:tc>
          <w:tcPr>
            <w:tcW w:w="394" w:type="pct"/>
            <w:shd w:val="clear" w:color="auto" w:fill="auto"/>
          </w:tcPr>
          <w:p w14:paraId="49101E05" w14:textId="24890A7B"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0A5C898D" w14:textId="182098F1" w:rsidR="00421D14" w:rsidRPr="005C29F8" w:rsidRDefault="00421D14" w:rsidP="004E2151">
            <w:pPr>
              <w:pStyle w:val="Default"/>
              <w:jc w:val="center"/>
              <w:rPr>
                <w:b/>
                <w:color w:val="000000" w:themeColor="text1"/>
                <w:sz w:val="16"/>
                <w:szCs w:val="16"/>
              </w:rPr>
            </w:pPr>
          </w:p>
        </w:tc>
        <w:tc>
          <w:tcPr>
            <w:tcW w:w="394" w:type="pct"/>
            <w:shd w:val="clear" w:color="auto" w:fill="auto"/>
          </w:tcPr>
          <w:p w14:paraId="1B1590A2" w14:textId="79E7CBF8"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3</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98.89%</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98.70%</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98.02%</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98.43%</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98.23%</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98.90%</w:t>
            </w:r>
          </w:p>
        </w:tc>
      </w:tr>
      <w:tr w:rsidR="005C29F8" w:rsidRPr="005C29F8" w14:paraId="1CFECF5A" w14:textId="77777777" w:rsidTr="00044B5C">
        <w:trPr>
          <w:trHeight w:val="152"/>
        </w:trPr>
        <w:tc>
          <w:tcPr>
            <w:tcW w:w="331" w:type="pct"/>
            <w:shd w:val="clear" w:color="auto" w:fill="auto"/>
            <w:vAlign w:val="center"/>
          </w:tcPr>
          <w:p w14:paraId="61B25C66"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0890755" w14:textId="33EB3739" w:rsidR="008667B9" w:rsidRPr="005C29F8" w:rsidRDefault="008667B9" w:rsidP="00A018D4">
            <w:pPr>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41152A69" w14:textId="77777777" w:rsidR="0052033B" w:rsidRPr="005C29F8" w:rsidRDefault="0052033B">
            <w:pPr>
              <w:spacing w:before="0" w:after="0"/>
              <w:jc w:val="center"/>
              <w:rPr>
                <w:rFonts w:cs="Arial"/>
                <w:color w:val="000000" w:themeColor="text1"/>
                <w:szCs w:val="16"/>
              </w:rPr>
            </w:pPr>
            <w:r w:rsidRPr="005C29F8">
              <w:rPr>
                <w:rFonts w:cs="Arial"/>
                <w:color w:val="000000" w:themeColor="text1"/>
                <w:szCs w:val="16"/>
              </w:rPr>
              <w:t>2005</w:t>
            </w:r>
          </w:p>
          <w:p w14:paraId="1547EC13" w14:textId="59D1ED07"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480F7FFD" w14:textId="657EFB7C"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5ADDB10" w14:textId="5382AAF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9B9B999" w14:textId="56E6E88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511F2AD" w14:textId="73727DF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C97DDB8" w14:textId="0A577C8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921B3E2" w14:textId="5950C3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8D01145" w14:textId="77777777" w:rsidTr="00044B5C">
        <w:trPr>
          <w:trHeight w:val="80"/>
        </w:trPr>
        <w:tc>
          <w:tcPr>
            <w:tcW w:w="331" w:type="pct"/>
            <w:shd w:val="clear" w:color="auto" w:fill="auto"/>
            <w:vAlign w:val="center"/>
          </w:tcPr>
          <w:p w14:paraId="5ACF54D3" w14:textId="64F11CC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B</w:t>
            </w:r>
          </w:p>
        </w:tc>
        <w:tc>
          <w:tcPr>
            <w:tcW w:w="417" w:type="pct"/>
            <w:shd w:val="clear" w:color="auto" w:fill="auto"/>
            <w:vAlign w:val="center"/>
          </w:tcPr>
          <w:p w14:paraId="5EF5FB71" w14:textId="10EB23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4</w:t>
            </w:r>
          </w:p>
        </w:tc>
        <w:tc>
          <w:tcPr>
            <w:tcW w:w="501" w:type="pct"/>
            <w:shd w:val="clear" w:color="auto" w:fill="auto"/>
            <w:vAlign w:val="center"/>
          </w:tcPr>
          <w:p w14:paraId="20A529C4" w14:textId="21E3B3C6" w:rsidR="0052033B" w:rsidRPr="005C29F8" w:rsidRDefault="0052033B">
            <w:pPr>
              <w:spacing w:before="0" w:after="0"/>
              <w:jc w:val="center"/>
              <w:rPr>
                <w:rFonts w:cs="Arial"/>
                <w:color w:val="000000" w:themeColor="text1"/>
                <w:szCs w:val="16"/>
              </w:rPr>
            </w:pPr>
            <w:r w:rsidRPr="005C29F8">
              <w:rPr>
                <w:rFonts w:cs="Arial"/>
                <w:color w:val="000000" w:themeColor="text1"/>
                <w:szCs w:val="16"/>
              </w:rPr>
              <w:t>99.35%</w:t>
            </w:r>
          </w:p>
        </w:tc>
        <w:tc>
          <w:tcPr>
            <w:tcW w:w="497" w:type="pct"/>
            <w:shd w:val="clear" w:color="auto" w:fill="auto"/>
            <w:vAlign w:val="center"/>
          </w:tcPr>
          <w:p w14:paraId="2DE1BAE5" w14:textId="13460804"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47CBAEA5" w14:textId="561D822C" w:rsidR="00FC7E3A" w:rsidRPr="005C29F8" w:rsidRDefault="00FC7E3A" w:rsidP="00A018D4">
            <w:pPr>
              <w:jc w:val="center"/>
              <w:rPr>
                <w:rFonts w:cs="Arial"/>
                <w:color w:val="000000" w:themeColor="text1"/>
                <w:szCs w:val="16"/>
              </w:rPr>
            </w:pPr>
            <w:r w:rsidRPr="005C29F8">
              <w:rPr>
                <w:rFonts w:cs="Arial"/>
                <w:color w:val="000000" w:themeColor="text1"/>
                <w:szCs w:val="16"/>
              </w:rPr>
              <w:t>98.79%</w:t>
            </w:r>
          </w:p>
        </w:tc>
        <w:tc>
          <w:tcPr>
            <w:tcW w:w="659" w:type="pct"/>
            <w:tcBorders>
              <w:bottom w:val="single" w:sz="4" w:space="0" w:color="auto"/>
            </w:tcBorders>
            <w:shd w:val="clear" w:color="auto" w:fill="auto"/>
            <w:vAlign w:val="bottom"/>
          </w:tcPr>
          <w:p w14:paraId="6BF7C668" w14:textId="7490F0ED" w:rsidR="00FC7E3A" w:rsidRPr="005C29F8" w:rsidRDefault="00FC7E3A" w:rsidP="00A018D4">
            <w:pPr>
              <w:jc w:val="center"/>
              <w:rPr>
                <w:rFonts w:cs="Arial"/>
                <w:color w:val="000000" w:themeColor="text1"/>
                <w:szCs w:val="16"/>
              </w:rPr>
            </w:pPr>
            <w:r w:rsidRPr="005C29F8">
              <w:rPr>
                <w:rFonts w:cs="Arial"/>
                <w:color w:val="000000" w:themeColor="text1"/>
                <w:szCs w:val="16"/>
              </w:rPr>
              <w:t>98.54%</w:t>
            </w:r>
          </w:p>
        </w:tc>
        <w:tc>
          <w:tcPr>
            <w:tcW w:w="659" w:type="pct"/>
            <w:tcBorders>
              <w:bottom w:val="single" w:sz="4" w:space="0" w:color="auto"/>
            </w:tcBorders>
            <w:shd w:val="clear" w:color="auto" w:fill="auto"/>
            <w:vAlign w:val="bottom"/>
          </w:tcPr>
          <w:p w14:paraId="1B837526" w14:textId="34EF072E" w:rsidR="00FC7E3A" w:rsidRPr="005C29F8" w:rsidRDefault="00FC7E3A" w:rsidP="00A018D4">
            <w:pPr>
              <w:jc w:val="center"/>
              <w:rPr>
                <w:rFonts w:cs="Arial"/>
                <w:color w:val="000000" w:themeColor="text1"/>
                <w:szCs w:val="16"/>
              </w:rPr>
            </w:pPr>
            <w:r w:rsidRPr="005C29F8">
              <w:rPr>
                <w:rFonts w:cs="Arial"/>
                <w:color w:val="000000" w:themeColor="text1"/>
                <w:szCs w:val="16"/>
              </w:rPr>
              <w:t>98.45%</w:t>
            </w:r>
          </w:p>
        </w:tc>
        <w:tc>
          <w:tcPr>
            <w:tcW w:w="659" w:type="pct"/>
            <w:tcBorders>
              <w:bottom w:val="single" w:sz="4" w:space="0" w:color="auto"/>
            </w:tcBorders>
            <w:shd w:val="clear" w:color="auto" w:fill="auto"/>
            <w:vAlign w:val="bottom"/>
          </w:tcPr>
          <w:p w14:paraId="1D3205E7" w14:textId="23B6BCE7" w:rsidR="00FC7E3A" w:rsidRPr="005C29F8" w:rsidRDefault="00FC7E3A" w:rsidP="00A018D4">
            <w:pPr>
              <w:jc w:val="center"/>
              <w:rPr>
                <w:rFonts w:cs="Arial"/>
                <w:color w:val="000000" w:themeColor="text1"/>
                <w:szCs w:val="16"/>
              </w:rPr>
            </w:pPr>
            <w:r w:rsidRPr="005C29F8">
              <w:rPr>
                <w:rFonts w:cs="Arial"/>
                <w:color w:val="000000" w:themeColor="text1"/>
                <w:szCs w:val="16"/>
              </w:rPr>
              <w:t>98.80%</w:t>
            </w:r>
          </w:p>
        </w:tc>
        <w:tc>
          <w:tcPr>
            <w:tcW w:w="655" w:type="pct"/>
            <w:tcBorders>
              <w:bottom w:val="single" w:sz="4" w:space="0" w:color="auto"/>
            </w:tcBorders>
            <w:shd w:val="clear" w:color="auto" w:fill="auto"/>
            <w:vAlign w:val="bottom"/>
          </w:tcPr>
          <w:p w14:paraId="23193341" w14:textId="1D8BA1C9" w:rsidR="00FC7E3A" w:rsidRPr="005C29F8" w:rsidRDefault="00FC7E3A" w:rsidP="00A018D4">
            <w:pPr>
              <w:jc w:val="center"/>
              <w:rPr>
                <w:rFonts w:cs="Arial"/>
                <w:color w:val="000000" w:themeColor="text1"/>
                <w:szCs w:val="16"/>
              </w:rPr>
            </w:pPr>
            <w:r w:rsidRPr="005C29F8">
              <w:rPr>
                <w:rFonts w:cs="Arial"/>
                <w:color w:val="000000" w:themeColor="text1"/>
                <w:szCs w:val="16"/>
              </w:rPr>
              <w:t>98.55%</w:t>
            </w:r>
          </w:p>
        </w:tc>
      </w:tr>
      <w:tr w:rsidR="005C29F8" w:rsidRPr="005C29F8" w14:paraId="35AA2732" w14:textId="77777777" w:rsidTr="00044B5C">
        <w:trPr>
          <w:trHeight w:val="152"/>
        </w:trPr>
        <w:tc>
          <w:tcPr>
            <w:tcW w:w="331" w:type="pct"/>
            <w:shd w:val="clear" w:color="auto" w:fill="auto"/>
            <w:vAlign w:val="center"/>
          </w:tcPr>
          <w:p w14:paraId="156016B5"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685FBFB6" w14:textId="3C4A9C6F" w:rsidR="008667B9" w:rsidRPr="005C29F8" w:rsidRDefault="008667B9" w:rsidP="00A018D4">
            <w:pPr>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63F8E9C0" w14:textId="640B1E2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23DB4D33" w14:textId="1991519B"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2F2D502E" w14:textId="76F4760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869D1F5" w14:textId="1B61F39F"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EA89303" w14:textId="17CBCA0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41CA4A4" w14:textId="0012D31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09E51D85" w14:textId="6D3859E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17E599E5" w14:textId="77777777" w:rsidTr="00044B5C">
        <w:trPr>
          <w:trHeight w:val="80"/>
        </w:trPr>
        <w:tc>
          <w:tcPr>
            <w:tcW w:w="331" w:type="pct"/>
            <w:shd w:val="clear" w:color="auto" w:fill="auto"/>
            <w:vAlign w:val="center"/>
          </w:tcPr>
          <w:p w14:paraId="72AF1C70" w14:textId="4D475875"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C</w:t>
            </w:r>
          </w:p>
        </w:tc>
        <w:tc>
          <w:tcPr>
            <w:tcW w:w="417" w:type="pct"/>
            <w:shd w:val="clear" w:color="auto" w:fill="auto"/>
            <w:vAlign w:val="center"/>
          </w:tcPr>
          <w:p w14:paraId="42E2D6C5" w14:textId="45195878" w:rsidR="00FC7E3A" w:rsidRPr="005C29F8" w:rsidRDefault="00FC7E3A">
            <w:pPr>
              <w:spacing w:before="0" w:after="0"/>
              <w:jc w:val="center"/>
              <w:rPr>
                <w:rFonts w:cs="Arial"/>
                <w:color w:val="000000" w:themeColor="text1"/>
                <w:szCs w:val="16"/>
              </w:rPr>
            </w:pPr>
            <w:r w:rsidRPr="005C29F8">
              <w:rPr>
                <w:rFonts w:cs="Arial"/>
                <w:color w:val="000000" w:themeColor="text1"/>
                <w:szCs w:val="16"/>
              </w:rPr>
              <w:t>Grade 5</w:t>
            </w:r>
          </w:p>
        </w:tc>
        <w:tc>
          <w:tcPr>
            <w:tcW w:w="501" w:type="pct"/>
            <w:shd w:val="clear" w:color="auto" w:fill="auto"/>
            <w:vAlign w:val="center"/>
          </w:tcPr>
          <w:p w14:paraId="09AAFB8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99.26%</w:t>
            </w:r>
          </w:p>
          <w:p w14:paraId="41D714F0" w14:textId="0F7C4F23" w:rsidR="00FC7E3A" w:rsidRPr="005C29F8" w:rsidRDefault="00FC7E3A">
            <w:pPr>
              <w:spacing w:before="0" w:after="0"/>
              <w:jc w:val="center"/>
              <w:rPr>
                <w:rFonts w:cs="Arial"/>
                <w:color w:val="000000" w:themeColor="text1"/>
                <w:szCs w:val="16"/>
              </w:rPr>
            </w:pPr>
          </w:p>
        </w:tc>
        <w:tc>
          <w:tcPr>
            <w:tcW w:w="497" w:type="pct"/>
            <w:shd w:val="clear" w:color="auto" w:fill="auto"/>
            <w:vAlign w:val="center"/>
          </w:tcPr>
          <w:p w14:paraId="51492A82" w14:textId="6AFA119C"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7EF09FD4" w14:textId="5612EFEF" w:rsidR="00FC7E3A" w:rsidRPr="005C29F8" w:rsidRDefault="00FC7E3A" w:rsidP="00A018D4">
            <w:pPr>
              <w:jc w:val="center"/>
              <w:rPr>
                <w:rFonts w:cs="Arial"/>
                <w:color w:val="000000" w:themeColor="text1"/>
                <w:szCs w:val="16"/>
              </w:rPr>
            </w:pPr>
            <w:r w:rsidRPr="005C29F8">
              <w:rPr>
                <w:rFonts w:cs="Arial"/>
                <w:color w:val="000000" w:themeColor="text1"/>
                <w:szCs w:val="16"/>
              </w:rPr>
              <w:t>98.51%</w:t>
            </w:r>
          </w:p>
        </w:tc>
        <w:tc>
          <w:tcPr>
            <w:tcW w:w="659" w:type="pct"/>
            <w:tcBorders>
              <w:bottom w:val="single" w:sz="4" w:space="0" w:color="auto"/>
            </w:tcBorders>
            <w:shd w:val="clear" w:color="auto" w:fill="auto"/>
            <w:vAlign w:val="bottom"/>
          </w:tcPr>
          <w:p w14:paraId="703089B7" w14:textId="0ABCDD6E" w:rsidR="00FC7E3A" w:rsidRPr="005C29F8" w:rsidRDefault="00FC7E3A" w:rsidP="00A018D4">
            <w:pPr>
              <w:jc w:val="center"/>
              <w:rPr>
                <w:rFonts w:cs="Arial"/>
                <w:color w:val="000000" w:themeColor="text1"/>
                <w:szCs w:val="16"/>
              </w:rPr>
            </w:pPr>
            <w:r w:rsidRPr="005C29F8">
              <w:rPr>
                <w:rFonts w:cs="Arial"/>
                <w:color w:val="000000" w:themeColor="text1"/>
                <w:szCs w:val="16"/>
              </w:rPr>
              <w:t>98.38%</w:t>
            </w:r>
          </w:p>
        </w:tc>
        <w:tc>
          <w:tcPr>
            <w:tcW w:w="659" w:type="pct"/>
            <w:tcBorders>
              <w:bottom w:val="single" w:sz="4" w:space="0" w:color="auto"/>
            </w:tcBorders>
            <w:shd w:val="clear" w:color="auto" w:fill="auto"/>
            <w:vAlign w:val="bottom"/>
          </w:tcPr>
          <w:p w14:paraId="11201B82" w14:textId="05BD2C2B" w:rsidR="00FC7E3A" w:rsidRPr="005C29F8" w:rsidRDefault="00FC7E3A" w:rsidP="00A018D4">
            <w:pPr>
              <w:jc w:val="center"/>
              <w:rPr>
                <w:rFonts w:cs="Arial"/>
                <w:color w:val="000000" w:themeColor="text1"/>
                <w:szCs w:val="16"/>
              </w:rPr>
            </w:pPr>
            <w:r w:rsidRPr="005C29F8">
              <w:rPr>
                <w:rFonts w:cs="Arial"/>
                <w:color w:val="000000" w:themeColor="text1"/>
                <w:szCs w:val="16"/>
              </w:rPr>
              <w:t>98.77%</w:t>
            </w:r>
          </w:p>
        </w:tc>
        <w:tc>
          <w:tcPr>
            <w:tcW w:w="659" w:type="pct"/>
            <w:tcBorders>
              <w:bottom w:val="single" w:sz="4" w:space="0" w:color="auto"/>
            </w:tcBorders>
            <w:shd w:val="clear" w:color="auto" w:fill="auto"/>
            <w:vAlign w:val="bottom"/>
          </w:tcPr>
          <w:p w14:paraId="17CBFE9B" w14:textId="7E012E2D" w:rsidR="00FC7E3A" w:rsidRPr="005C29F8" w:rsidRDefault="00FC7E3A" w:rsidP="00A018D4">
            <w:pPr>
              <w:jc w:val="center"/>
              <w:rPr>
                <w:rFonts w:cs="Arial"/>
                <w:color w:val="000000" w:themeColor="text1"/>
                <w:szCs w:val="16"/>
              </w:rPr>
            </w:pPr>
            <w:r w:rsidRPr="005C29F8">
              <w:rPr>
                <w:rFonts w:cs="Arial"/>
                <w:color w:val="000000" w:themeColor="text1"/>
                <w:szCs w:val="16"/>
              </w:rPr>
              <w:t>99.18%</w:t>
            </w:r>
          </w:p>
        </w:tc>
        <w:tc>
          <w:tcPr>
            <w:tcW w:w="655" w:type="pct"/>
            <w:tcBorders>
              <w:bottom w:val="single" w:sz="4" w:space="0" w:color="auto"/>
            </w:tcBorders>
            <w:shd w:val="clear" w:color="auto" w:fill="auto"/>
            <w:vAlign w:val="bottom"/>
          </w:tcPr>
          <w:p w14:paraId="07F33284" w14:textId="38E211C4" w:rsidR="00FC7E3A" w:rsidRPr="005C29F8" w:rsidRDefault="00FC7E3A" w:rsidP="00A018D4">
            <w:pPr>
              <w:jc w:val="center"/>
              <w:rPr>
                <w:rFonts w:cs="Arial"/>
                <w:color w:val="000000" w:themeColor="text1"/>
                <w:szCs w:val="16"/>
              </w:rPr>
            </w:pPr>
            <w:r w:rsidRPr="005C29F8">
              <w:rPr>
                <w:rFonts w:cs="Arial"/>
                <w:color w:val="000000" w:themeColor="text1"/>
                <w:szCs w:val="16"/>
              </w:rPr>
              <w:t>99.02%</w:t>
            </w:r>
          </w:p>
        </w:tc>
      </w:tr>
      <w:tr w:rsidR="005C29F8" w:rsidRPr="005C29F8" w14:paraId="51CF64E7" w14:textId="77777777" w:rsidTr="00044B5C">
        <w:trPr>
          <w:trHeight w:val="152"/>
        </w:trPr>
        <w:tc>
          <w:tcPr>
            <w:tcW w:w="331" w:type="pct"/>
            <w:shd w:val="clear" w:color="auto" w:fill="auto"/>
            <w:vAlign w:val="center"/>
          </w:tcPr>
          <w:p w14:paraId="355AB0E8" w14:textId="77777777" w:rsidR="008667B9" w:rsidRPr="00691ABA" w:rsidRDefault="008667B9" w:rsidP="001474EC">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3418BB8" w14:textId="77777777"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49A1113" w14:textId="66A6F4EB" w:rsidR="00857C39" w:rsidRPr="005C29F8" w:rsidRDefault="00857C39">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158DC9DD" w14:textId="2E0ECF70"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7B85F375" w14:textId="0938BD0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CD9B6FA" w14:textId="60B8780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4D8F2E" w14:textId="1FE09CA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57AA2F0" w14:textId="06E56C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2CC9B91D" w14:textId="2A90D9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384DF809" w14:textId="77777777" w:rsidTr="00044B5C">
        <w:trPr>
          <w:trHeight w:val="80"/>
        </w:trPr>
        <w:tc>
          <w:tcPr>
            <w:tcW w:w="331" w:type="pct"/>
            <w:shd w:val="clear" w:color="auto" w:fill="auto"/>
            <w:vAlign w:val="center"/>
          </w:tcPr>
          <w:p w14:paraId="1C5EC3D1" w14:textId="31907CB1" w:rsidR="00F621BD" w:rsidRPr="00691ABA" w:rsidRDefault="00F621BD" w:rsidP="00F621BD">
            <w:pPr>
              <w:spacing w:before="0" w:after="0"/>
              <w:jc w:val="center"/>
              <w:rPr>
                <w:rFonts w:cs="Arial"/>
                <w:b/>
                <w:bCs/>
                <w:color w:val="000000" w:themeColor="text1"/>
                <w:szCs w:val="16"/>
              </w:rPr>
            </w:pPr>
            <w:r w:rsidRPr="00691ABA">
              <w:rPr>
                <w:rFonts w:cs="Arial"/>
                <w:b/>
                <w:bCs/>
                <w:color w:val="000000" w:themeColor="text1"/>
                <w:szCs w:val="16"/>
              </w:rPr>
              <w:t>D</w:t>
            </w:r>
          </w:p>
        </w:tc>
        <w:tc>
          <w:tcPr>
            <w:tcW w:w="417" w:type="pct"/>
            <w:shd w:val="clear" w:color="auto" w:fill="auto"/>
            <w:vAlign w:val="center"/>
          </w:tcPr>
          <w:p w14:paraId="7A8AF0DB" w14:textId="0F0C645A" w:rsidR="00F621BD" w:rsidRPr="005C29F8" w:rsidRDefault="00F621BD">
            <w:pPr>
              <w:spacing w:before="0" w:after="0"/>
              <w:jc w:val="center"/>
              <w:rPr>
                <w:rFonts w:cs="Arial"/>
                <w:color w:val="000000" w:themeColor="text1"/>
                <w:szCs w:val="16"/>
              </w:rPr>
            </w:pPr>
            <w:r w:rsidRPr="005C29F8">
              <w:rPr>
                <w:rFonts w:cs="Arial"/>
                <w:color w:val="000000" w:themeColor="text1"/>
                <w:szCs w:val="16"/>
              </w:rPr>
              <w:t>Grade 6</w:t>
            </w:r>
          </w:p>
        </w:tc>
        <w:tc>
          <w:tcPr>
            <w:tcW w:w="501" w:type="pct"/>
            <w:shd w:val="clear" w:color="auto" w:fill="auto"/>
            <w:vAlign w:val="center"/>
          </w:tcPr>
          <w:p w14:paraId="35B609F9" w14:textId="77777777" w:rsidR="00857C39" w:rsidRPr="005C29F8" w:rsidRDefault="00857C39">
            <w:pPr>
              <w:spacing w:before="0" w:after="0"/>
              <w:jc w:val="center"/>
              <w:rPr>
                <w:rFonts w:cs="Arial"/>
                <w:color w:val="000000" w:themeColor="text1"/>
                <w:szCs w:val="16"/>
              </w:rPr>
            </w:pPr>
            <w:r w:rsidRPr="005C29F8">
              <w:rPr>
                <w:rFonts w:cs="Arial"/>
                <w:color w:val="000000" w:themeColor="text1"/>
                <w:szCs w:val="16"/>
              </w:rPr>
              <w:t>99.20%</w:t>
            </w:r>
          </w:p>
          <w:p w14:paraId="3F46E9C9" w14:textId="330BFC2A" w:rsidR="00F621BD" w:rsidRPr="005C29F8" w:rsidRDefault="00F621BD">
            <w:pPr>
              <w:spacing w:before="0" w:after="0"/>
              <w:jc w:val="center"/>
              <w:rPr>
                <w:rFonts w:cs="Arial"/>
                <w:color w:val="000000" w:themeColor="text1"/>
                <w:szCs w:val="16"/>
              </w:rPr>
            </w:pPr>
          </w:p>
        </w:tc>
        <w:tc>
          <w:tcPr>
            <w:tcW w:w="497" w:type="pct"/>
            <w:shd w:val="clear" w:color="auto" w:fill="auto"/>
            <w:vAlign w:val="center"/>
          </w:tcPr>
          <w:p w14:paraId="1E8390F9" w14:textId="77777777" w:rsidR="00F621BD" w:rsidRPr="005C29F8" w:rsidRDefault="00F621B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385D68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98.39%</w:t>
            </w:r>
          </w:p>
        </w:tc>
        <w:tc>
          <w:tcPr>
            <w:tcW w:w="659" w:type="pct"/>
            <w:tcBorders>
              <w:bottom w:val="single" w:sz="4" w:space="0" w:color="auto"/>
            </w:tcBorders>
            <w:shd w:val="clear" w:color="auto" w:fill="auto"/>
            <w:vAlign w:val="bottom"/>
          </w:tcPr>
          <w:p w14:paraId="728BC569"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97.71%</w:t>
            </w:r>
          </w:p>
        </w:tc>
        <w:tc>
          <w:tcPr>
            <w:tcW w:w="659" w:type="pct"/>
            <w:tcBorders>
              <w:bottom w:val="single" w:sz="4" w:space="0" w:color="auto"/>
            </w:tcBorders>
            <w:shd w:val="clear" w:color="auto" w:fill="auto"/>
            <w:vAlign w:val="bottom"/>
          </w:tcPr>
          <w:p w14:paraId="77214E05"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97.93%</w:t>
            </w:r>
          </w:p>
        </w:tc>
        <w:tc>
          <w:tcPr>
            <w:tcW w:w="659" w:type="pct"/>
            <w:tcBorders>
              <w:bottom w:val="single" w:sz="4" w:space="0" w:color="auto"/>
            </w:tcBorders>
            <w:shd w:val="clear" w:color="auto" w:fill="auto"/>
            <w:vAlign w:val="bottom"/>
          </w:tcPr>
          <w:p w14:paraId="53BAFFD7"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98.70%</w:t>
            </w:r>
          </w:p>
        </w:tc>
        <w:tc>
          <w:tcPr>
            <w:tcW w:w="655" w:type="pct"/>
            <w:tcBorders>
              <w:bottom w:val="single" w:sz="4" w:space="0" w:color="auto"/>
            </w:tcBorders>
            <w:shd w:val="clear" w:color="auto" w:fill="auto"/>
            <w:vAlign w:val="bottom"/>
          </w:tcPr>
          <w:p w14:paraId="47F5B5D8" w14:textId="77777777" w:rsidR="00F621BD" w:rsidRPr="005C29F8" w:rsidRDefault="00F621BD" w:rsidP="00A018D4">
            <w:pPr>
              <w:jc w:val="center"/>
              <w:rPr>
                <w:rFonts w:cs="Arial"/>
                <w:color w:val="000000" w:themeColor="text1"/>
                <w:szCs w:val="16"/>
              </w:rPr>
            </w:pPr>
            <w:r w:rsidRPr="005C29F8">
              <w:rPr>
                <w:rFonts w:cs="Arial"/>
                <w:color w:val="000000" w:themeColor="text1"/>
                <w:szCs w:val="16"/>
              </w:rPr>
              <w:t>98.15%</w:t>
            </w:r>
          </w:p>
        </w:tc>
      </w:tr>
      <w:tr w:rsidR="005C29F8" w:rsidRPr="005C29F8" w14:paraId="666B419B" w14:textId="77777777" w:rsidTr="00044B5C">
        <w:trPr>
          <w:trHeight w:val="152"/>
        </w:trPr>
        <w:tc>
          <w:tcPr>
            <w:tcW w:w="331" w:type="pct"/>
            <w:shd w:val="clear" w:color="auto" w:fill="auto"/>
            <w:vAlign w:val="center"/>
          </w:tcPr>
          <w:p w14:paraId="38755F1F" w14:textId="11EB5095"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43E6B98F" w14:textId="25386E70"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24A02621" w14:textId="572351BC" w:rsidR="00AA55EE" w:rsidRPr="005C29F8" w:rsidRDefault="00AA55EE">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60FBF314" w14:textId="01037B28"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3CA92786" w14:textId="5C4D13D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05E10AD" w14:textId="7ADF0164"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73B2A43F" w14:textId="0A32001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753F834" w14:textId="46AD164E"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B65AB58" w14:textId="3C4C4E5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9930D10" w14:textId="77777777" w:rsidTr="00044B5C">
        <w:trPr>
          <w:trHeight w:val="80"/>
        </w:trPr>
        <w:tc>
          <w:tcPr>
            <w:tcW w:w="331" w:type="pct"/>
            <w:shd w:val="clear" w:color="auto" w:fill="auto"/>
            <w:vAlign w:val="center"/>
          </w:tcPr>
          <w:p w14:paraId="2534B78C" w14:textId="0C8355EC" w:rsidR="0020456D" w:rsidRPr="00691ABA" w:rsidRDefault="0020456D" w:rsidP="0020456D">
            <w:pPr>
              <w:spacing w:before="0" w:after="0"/>
              <w:jc w:val="center"/>
              <w:rPr>
                <w:rFonts w:cs="Arial"/>
                <w:b/>
                <w:bCs/>
                <w:color w:val="000000" w:themeColor="text1"/>
                <w:szCs w:val="16"/>
              </w:rPr>
            </w:pPr>
            <w:r w:rsidRPr="00691ABA">
              <w:rPr>
                <w:rFonts w:cs="Arial"/>
                <w:b/>
                <w:bCs/>
                <w:color w:val="000000" w:themeColor="text1"/>
                <w:szCs w:val="16"/>
              </w:rPr>
              <w:t>E</w:t>
            </w:r>
          </w:p>
        </w:tc>
        <w:tc>
          <w:tcPr>
            <w:tcW w:w="417" w:type="pct"/>
            <w:shd w:val="clear" w:color="auto" w:fill="auto"/>
            <w:vAlign w:val="center"/>
          </w:tcPr>
          <w:p w14:paraId="72723013" w14:textId="2583F2E3" w:rsidR="0020456D" w:rsidRPr="005C29F8" w:rsidRDefault="0020456D">
            <w:pPr>
              <w:spacing w:before="0" w:after="0"/>
              <w:jc w:val="center"/>
              <w:rPr>
                <w:rFonts w:cs="Arial"/>
                <w:color w:val="000000" w:themeColor="text1"/>
                <w:szCs w:val="16"/>
              </w:rPr>
            </w:pPr>
            <w:r w:rsidRPr="005C29F8">
              <w:rPr>
                <w:rFonts w:cs="Arial"/>
                <w:color w:val="000000" w:themeColor="text1"/>
                <w:szCs w:val="16"/>
              </w:rPr>
              <w:t>Grade 7</w:t>
            </w:r>
          </w:p>
        </w:tc>
        <w:tc>
          <w:tcPr>
            <w:tcW w:w="501" w:type="pct"/>
            <w:shd w:val="clear" w:color="auto" w:fill="auto"/>
            <w:vAlign w:val="center"/>
          </w:tcPr>
          <w:p w14:paraId="12A1CB10" w14:textId="77777777" w:rsidR="00AA55EE" w:rsidRPr="005C29F8" w:rsidRDefault="00AA55EE">
            <w:pPr>
              <w:spacing w:before="0" w:after="0"/>
              <w:jc w:val="center"/>
              <w:rPr>
                <w:rFonts w:cs="Arial"/>
                <w:color w:val="000000" w:themeColor="text1"/>
                <w:szCs w:val="16"/>
              </w:rPr>
            </w:pPr>
            <w:r w:rsidRPr="005C29F8">
              <w:rPr>
                <w:rFonts w:cs="Arial"/>
                <w:color w:val="000000" w:themeColor="text1"/>
                <w:szCs w:val="16"/>
              </w:rPr>
              <w:t>99.54%</w:t>
            </w:r>
          </w:p>
          <w:p w14:paraId="67ABE412" w14:textId="21AEE350" w:rsidR="0020456D" w:rsidRPr="005C29F8" w:rsidRDefault="0020456D">
            <w:pPr>
              <w:spacing w:before="0" w:after="0"/>
              <w:jc w:val="center"/>
              <w:rPr>
                <w:rFonts w:cs="Arial"/>
                <w:color w:val="000000" w:themeColor="text1"/>
                <w:szCs w:val="16"/>
              </w:rPr>
            </w:pPr>
          </w:p>
        </w:tc>
        <w:tc>
          <w:tcPr>
            <w:tcW w:w="497" w:type="pct"/>
            <w:shd w:val="clear" w:color="auto" w:fill="auto"/>
            <w:vAlign w:val="center"/>
          </w:tcPr>
          <w:p w14:paraId="6F945435" w14:textId="6EDDA048" w:rsidR="0020456D" w:rsidRPr="005C29F8" w:rsidRDefault="0020456D"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86F72C3" w14:textId="0C60C4AC" w:rsidR="0020456D" w:rsidRPr="005C29F8" w:rsidRDefault="0020456D" w:rsidP="00A018D4">
            <w:pPr>
              <w:jc w:val="center"/>
              <w:rPr>
                <w:rFonts w:cs="Arial"/>
                <w:color w:val="000000" w:themeColor="text1"/>
                <w:szCs w:val="16"/>
              </w:rPr>
            </w:pPr>
            <w:r w:rsidRPr="005C29F8">
              <w:rPr>
                <w:rFonts w:cs="Arial"/>
                <w:color w:val="000000" w:themeColor="text1"/>
                <w:szCs w:val="16"/>
              </w:rPr>
              <w:t>97.78%</w:t>
            </w:r>
          </w:p>
        </w:tc>
        <w:tc>
          <w:tcPr>
            <w:tcW w:w="659" w:type="pct"/>
            <w:tcBorders>
              <w:bottom w:val="single" w:sz="4" w:space="0" w:color="auto"/>
            </w:tcBorders>
            <w:shd w:val="clear" w:color="auto" w:fill="auto"/>
            <w:vAlign w:val="bottom"/>
          </w:tcPr>
          <w:p w14:paraId="56925FE8" w14:textId="7FB5503C" w:rsidR="0020456D" w:rsidRPr="005C29F8" w:rsidRDefault="0020456D" w:rsidP="00A018D4">
            <w:pPr>
              <w:jc w:val="center"/>
              <w:rPr>
                <w:rFonts w:cs="Arial"/>
                <w:color w:val="000000" w:themeColor="text1"/>
                <w:szCs w:val="16"/>
              </w:rPr>
            </w:pPr>
            <w:r w:rsidRPr="005C29F8">
              <w:rPr>
                <w:rFonts w:cs="Arial"/>
                <w:color w:val="000000" w:themeColor="text1"/>
                <w:szCs w:val="16"/>
              </w:rPr>
              <w:t>97.57%</w:t>
            </w:r>
          </w:p>
        </w:tc>
        <w:tc>
          <w:tcPr>
            <w:tcW w:w="659" w:type="pct"/>
            <w:tcBorders>
              <w:bottom w:val="single" w:sz="4" w:space="0" w:color="auto"/>
            </w:tcBorders>
            <w:shd w:val="clear" w:color="auto" w:fill="auto"/>
            <w:vAlign w:val="bottom"/>
          </w:tcPr>
          <w:p w14:paraId="4876228B" w14:textId="7DFE7116" w:rsidR="0020456D" w:rsidRPr="005C29F8" w:rsidRDefault="0020456D" w:rsidP="00A018D4">
            <w:pPr>
              <w:jc w:val="center"/>
              <w:rPr>
                <w:rFonts w:cs="Arial"/>
                <w:color w:val="000000" w:themeColor="text1"/>
                <w:szCs w:val="16"/>
              </w:rPr>
            </w:pPr>
            <w:r w:rsidRPr="005C29F8">
              <w:rPr>
                <w:rFonts w:cs="Arial"/>
                <w:color w:val="000000" w:themeColor="text1"/>
                <w:szCs w:val="16"/>
              </w:rPr>
              <w:t>97.68%</w:t>
            </w:r>
          </w:p>
        </w:tc>
        <w:tc>
          <w:tcPr>
            <w:tcW w:w="659" w:type="pct"/>
            <w:tcBorders>
              <w:bottom w:val="single" w:sz="4" w:space="0" w:color="auto"/>
            </w:tcBorders>
            <w:shd w:val="clear" w:color="auto" w:fill="auto"/>
            <w:vAlign w:val="bottom"/>
          </w:tcPr>
          <w:p w14:paraId="77181179" w14:textId="2395DA67" w:rsidR="0020456D" w:rsidRPr="005C29F8" w:rsidRDefault="0020456D" w:rsidP="00A018D4">
            <w:pPr>
              <w:jc w:val="center"/>
              <w:rPr>
                <w:rFonts w:cs="Arial"/>
                <w:color w:val="000000" w:themeColor="text1"/>
                <w:szCs w:val="16"/>
              </w:rPr>
            </w:pPr>
            <w:r w:rsidRPr="005C29F8">
              <w:rPr>
                <w:rFonts w:cs="Arial"/>
                <w:color w:val="000000" w:themeColor="text1"/>
                <w:szCs w:val="16"/>
              </w:rPr>
              <w:t>97.99%</w:t>
            </w:r>
          </w:p>
        </w:tc>
        <w:tc>
          <w:tcPr>
            <w:tcW w:w="655" w:type="pct"/>
            <w:tcBorders>
              <w:bottom w:val="single" w:sz="4" w:space="0" w:color="auto"/>
            </w:tcBorders>
            <w:shd w:val="clear" w:color="auto" w:fill="auto"/>
            <w:vAlign w:val="bottom"/>
          </w:tcPr>
          <w:p w14:paraId="71634D22" w14:textId="1F3129B0" w:rsidR="0020456D" w:rsidRPr="005C29F8" w:rsidRDefault="0020456D" w:rsidP="00A018D4">
            <w:pPr>
              <w:jc w:val="center"/>
              <w:rPr>
                <w:rFonts w:cs="Arial"/>
                <w:color w:val="000000" w:themeColor="text1"/>
                <w:szCs w:val="16"/>
              </w:rPr>
            </w:pPr>
            <w:r w:rsidRPr="005C29F8">
              <w:rPr>
                <w:rFonts w:cs="Arial"/>
                <w:color w:val="000000" w:themeColor="text1"/>
                <w:szCs w:val="16"/>
              </w:rPr>
              <w:t>98.42%</w:t>
            </w:r>
          </w:p>
        </w:tc>
      </w:tr>
      <w:tr w:rsidR="005C29F8" w:rsidRPr="005C29F8" w14:paraId="7655CAA8" w14:textId="77777777" w:rsidTr="00044B5C">
        <w:trPr>
          <w:trHeight w:val="152"/>
        </w:trPr>
        <w:tc>
          <w:tcPr>
            <w:tcW w:w="331" w:type="pct"/>
            <w:shd w:val="clear" w:color="auto" w:fill="auto"/>
            <w:vAlign w:val="center"/>
          </w:tcPr>
          <w:p w14:paraId="46DDB38A" w14:textId="35FE2CFB"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tcPr>
          <w:p w14:paraId="423D8CA6" w14:textId="5B64C151"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tcPr>
          <w:p w14:paraId="4E499C23" w14:textId="5FB3A10E" w:rsidR="00864E23" w:rsidRPr="005C29F8" w:rsidRDefault="00864E23">
            <w:pPr>
              <w:spacing w:before="0" w:after="0"/>
              <w:jc w:val="center"/>
              <w:rPr>
                <w:rFonts w:cs="Arial"/>
                <w:color w:val="000000" w:themeColor="text1"/>
                <w:szCs w:val="16"/>
              </w:rPr>
            </w:pPr>
            <w:r w:rsidRPr="005C29F8">
              <w:rPr>
                <w:rFonts w:cs="Arial"/>
                <w:color w:val="000000" w:themeColor="text1"/>
                <w:szCs w:val="16"/>
              </w:rPr>
              <w:t>2005</w:t>
            </w:r>
          </w:p>
        </w:tc>
        <w:tc>
          <w:tcPr>
            <w:tcW w:w="497" w:type="pct"/>
            <w:shd w:val="clear" w:color="auto" w:fill="auto"/>
            <w:vAlign w:val="center"/>
          </w:tcPr>
          <w:p w14:paraId="78F7D0C4" w14:textId="09368A2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610D82D" w14:textId="0C5EBB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F42229E" w14:textId="294C2CB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0736F34D" w14:textId="6A5B3A3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22073AA" w14:textId="48D47D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12021E6C" w14:textId="1AD918AC"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3A58411" w14:textId="77777777" w:rsidTr="00044B5C">
        <w:trPr>
          <w:trHeight w:val="80"/>
        </w:trPr>
        <w:tc>
          <w:tcPr>
            <w:tcW w:w="331" w:type="pct"/>
            <w:shd w:val="clear" w:color="auto" w:fill="auto"/>
            <w:vAlign w:val="center"/>
          </w:tcPr>
          <w:p w14:paraId="544C7C6D" w14:textId="40FC6943" w:rsidR="008667B9" w:rsidRPr="00691ABA" w:rsidRDefault="00736AE6" w:rsidP="008667B9">
            <w:pPr>
              <w:spacing w:before="0" w:after="0"/>
              <w:jc w:val="center"/>
              <w:rPr>
                <w:rFonts w:cs="Arial"/>
                <w:b/>
                <w:bCs/>
                <w:color w:val="000000" w:themeColor="text1"/>
                <w:szCs w:val="16"/>
              </w:rPr>
            </w:pPr>
            <w:r w:rsidRPr="00691ABA">
              <w:rPr>
                <w:rFonts w:cs="Arial"/>
                <w:b/>
                <w:bCs/>
                <w:color w:val="000000" w:themeColor="text1"/>
                <w:szCs w:val="16"/>
              </w:rPr>
              <w:t>F</w:t>
            </w:r>
          </w:p>
        </w:tc>
        <w:tc>
          <w:tcPr>
            <w:tcW w:w="417" w:type="pct"/>
            <w:shd w:val="clear" w:color="auto" w:fill="auto"/>
            <w:vAlign w:val="center"/>
          </w:tcPr>
          <w:p w14:paraId="154E42EF" w14:textId="0D71AC96" w:rsidR="008667B9" w:rsidRPr="005C29F8" w:rsidRDefault="00736AE6">
            <w:pPr>
              <w:spacing w:before="0" w:after="0"/>
              <w:jc w:val="center"/>
              <w:rPr>
                <w:rFonts w:cs="Arial"/>
                <w:color w:val="000000" w:themeColor="text1"/>
                <w:szCs w:val="16"/>
              </w:rPr>
            </w:pPr>
            <w:r w:rsidRPr="005C29F8">
              <w:rPr>
                <w:rFonts w:cs="Arial"/>
                <w:color w:val="000000" w:themeColor="text1"/>
                <w:szCs w:val="16"/>
              </w:rPr>
              <w:t>Grade 8</w:t>
            </w:r>
          </w:p>
        </w:tc>
        <w:tc>
          <w:tcPr>
            <w:tcW w:w="501" w:type="pct"/>
            <w:shd w:val="clear" w:color="auto" w:fill="auto"/>
            <w:vAlign w:val="center"/>
          </w:tcPr>
          <w:p w14:paraId="4DE74DA5" w14:textId="77777777" w:rsidR="00864E23" w:rsidRPr="005C29F8" w:rsidRDefault="00864E23">
            <w:pPr>
              <w:spacing w:before="0" w:after="0"/>
              <w:jc w:val="center"/>
              <w:rPr>
                <w:rFonts w:cs="Arial"/>
                <w:color w:val="000000" w:themeColor="text1"/>
                <w:szCs w:val="16"/>
              </w:rPr>
            </w:pPr>
            <w:r w:rsidRPr="005C29F8">
              <w:rPr>
                <w:rFonts w:cs="Arial"/>
                <w:color w:val="000000" w:themeColor="text1"/>
                <w:szCs w:val="16"/>
              </w:rPr>
              <w:t>99.53%</w:t>
            </w:r>
          </w:p>
          <w:p w14:paraId="766A7C6C" w14:textId="0FDA37B6"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6E3444E0" w14:textId="77777777" w:rsidR="008667B9" w:rsidRPr="005C29F8" w:rsidRDefault="008667B9"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66433923" w14:textId="4D41DBB5" w:rsidR="008667B9" w:rsidRPr="005C29F8" w:rsidRDefault="008667B9" w:rsidP="00A018D4">
            <w:pPr>
              <w:jc w:val="center"/>
              <w:rPr>
                <w:rFonts w:cs="Arial"/>
                <w:color w:val="000000" w:themeColor="text1"/>
                <w:szCs w:val="16"/>
              </w:rPr>
            </w:pPr>
            <w:r w:rsidRPr="005C29F8">
              <w:rPr>
                <w:rFonts w:cs="Arial"/>
                <w:color w:val="000000" w:themeColor="text1"/>
                <w:szCs w:val="16"/>
              </w:rPr>
              <w:t>96.49%</w:t>
            </w:r>
          </w:p>
        </w:tc>
        <w:tc>
          <w:tcPr>
            <w:tcW w:w="659" w:type="pct"/>
            <w:tcBorders>
              <w:bottom w:val="single" w:sz="4" w:space="0" w:color="auto"/>
            </w:tcBorders>
            <w:shd w:val="clear" w:color="auto" w:fill="auto"/>
            <w:vAlign w:val="bottom"/>
          </w:tcPr>
          <w:p w14:paraId="3BF3E5FB" w14:textId="091CD0A5" w:rsidR="008667B9" w:rsidRPr="005C29F8" w:rsidRDefault="008667B9" w:rsidP="00A018D4">
            <w:pPr>
              <w:jc w:val="center"/>
              <w:rPr>
                <w:rFonts w:cs="Arial"/>
                <w:color w:val="000000" w:themeColor="text1"/>
                <w:szCs w:val="16"/>
              </w:rPr>
            </w:pPr>
            <w:r w:rsidRPr="005C29F8">
              <w:rPr>
                <w:rFonts w:cs="Arial"/>
                <w:color w:val="000000" w:themeColor="text1"/>
                <w:szCs w:val="16"/>
              </w:rPr>
              <w:t>96.67%</w:t>
            </w:r>
          </w:p>
        </w:tc>
        <w:tc>
          <w:tcPr>
            <w:tcW w:w="659" w:type="pct"/>
            <w:tcBorders>
              <w:bottom w:val="single" w:sz="4" w:space="0" w:color="auto"/>
            </w:tcBorders>
            <w:shd w:val="clear" w:color="auto" w:fill="auto"/>
            <w:vAlign w:val="bottom"/>
          </w:tcPr>
          <w:p w14:paraId="16CAA81A" w14:textId="76B7D3C1" w:rsidR="008667B9" w:rsidRPr="005C29F8" w:rsidRDefault="008667B9" w:rsidP="00A018D4">
            <w:pPr>
              <w:jc w:val="center"/>
              <w:rPr>
                <w:rFonts w:cs="Arial"/>
                <w:color w:val="000000" w:themeColor="text1"/>
                <w:szCs w:val="16"/>
              </w:rPr>
            </w:pPr>
            <w:r w:rsidRPr="005C29F8">
              <w:rPr>
                <w:rFonts w:cs="Arial"/>
                <w:color w:val="000000" w:themeColor="text1"/>
                <w:szCs w:val="16"/>
              </w:rPr>
              <w:t>96.83%</w:t>
            </w:r>
          </w:p>
        </w:tc>
        <w:tc>
          <w:tcPr>
            <w:tcW w:w="659" w:type="pct"/>
            <w:tcBorders>
              <w:bottom w:val="single" w:sz="4" w:space="0" w:color="auto"/>
            </w:tcBorders>
            <w:shd w:val="clear" w:color="auto" w:fill="auto"/>
            <w:vAlign w:val="bottom"/>
          </w:tcPr>
          <w:p w14:paraId="779F9FB8" w14:textId="40488D9C" w:rsidR="008667B9" w:rsidRPr="005C29F8" w:rsidRDefault="008667B9" w:rsidP="00A018D4">
            <w:pPr>
              <w:jc w:val="center"/>
              <w:rPr>
                <w:rFonts w:cs="Arial"/>
                <w:color w:val="000000" w:themeColor="text1"/>
                <w:szCs w:val="16"/>
              </w:rPr>
            </w:pPr>
            <w:r w:rsidRPr="005C29F8">
              <w:rPr>
                <w:rFonts w:cs="Arial"/>
                <w:color w:val="000000" w:themeColor="text1"/>
                <w:szCs w:val="16"/>
              </w:rPr>
              <w:t>96.84%</w:t>
            </w:r>
          </w:p>
        </w:tc>
        <w:tc>
          <w:tcPr>
            <w:tcW w:w="655" w:type="pct"/>
            <w:tcBorders>
              <w:bottom w:val="single" w:sz="4" w:space="0" w:color="auto"/>
            </w:tcBorders>
            <w:shd w:val="clear" w:color="auto" w:fill="auto"/>
            <w:vAlign w:val="bottom"/>
          </w:tcPr>
          <w:p w14:paraId="41BF517A" w14:textId="019C03A3" w:rsidR="008667B9" w:rsidRPr="005C29F8" w:rsidRDefault="008667B9" w:rsidP="00A018D4">
            <w:pPr>
              <w:jc w:val="center"/>
              <w:rPr>
                <w:rFonts w:cs="Arial"/>
                <w:color w:val="000000" w:themeColor="text1"/>
                <w:szCs w:val="16"/>
              </w:rPr>
            </w:pPr>
            <w:r w:rsidRPr="005C29F8">
              <w:rPr>
                <w:rFonts w:cs="Arial"/>
                <w:color w:val="000000" w:themeColor="text1"/>
                <w:szCs w:val="16"/>
              </w:rPr>
              <w:t>97.60%</w:t>
            </w:r>
          </w:p>
        </w:tc>
      </w:tr>
      <w:tr w:rsidR="005C29F8" w:rsidRPr="005C29F8" w14:paraId="070B7E55" w14:textId="77777777" w:rsidTr="00044B5C">
        <w:trPr>
          <w:trHeight w:val="152"/>
        </w:trPr>
        <w:tc>
          <w:tcPr>
            <w:tcW w:w="331" w:type="pct"/>
            <w:shd w:val="clear" w:color="auto" w:fill="auto"/>
            <w:vAlign w:val="center"/>
          </w:tcPr>
          <w:p w14:paraId="435E81CB" w14:textId="1DB360E9" w:rsidR="008667B9" w:rsidRPr="00691ABA" w:rsidRDefault="008667B9" w:rsidP="008667B9">
            <w:pPr>
              <w:spacing w:before="0" w:after="0"/>
              <w:jc w:val="center"/>
              <w:rPr>
                <w:rFonts w:cs="Arial"/>
                <w:b/>
                <w:bCs/>
                <w:color w:val="000000" w:themeColor="text1"/>
                <w:szCs w:val="16"/>
              </w:rPr>
            </w:pPr>
            <w:r w:rsidRPr="00691ABA">
              <w:rPr>
                <w:rFonts w:cs="Arial"/>
                <w:b/>
                <w:bCs/>
                <w:color w:val="000000" w:themeColor="text1"/>
                <w:szCs w:val="16"/>
              </w:rPr>
              <w:lastRenderedPageBreak/>
              <w:t>G</w:t>
            </w:r>
          </w:p>
        </w:tc>
        <w:tc>
          <w:tcPr>
            <w:tcW w:w="417" w:type="pct"/>
            <w:shd w:val="clear" w:color="auto" w:fill="auto"/>
          </w:tcPr>
          <w:p w14:paraId="1BA61912" w14:textId="5F196B38" w:rsidR="008667B9" w:rsidRPr="005C29F8" w:rsidDel="00345B60" w:rsidRDefault="008667B9" w:rsidP="00A018D4">
            <w:pPr>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41AC4A0A" w14:textId="77777777" w:rsidR="00047CB5" w:rsidRPr="005C29F8" w:rsidRDefault="00047CB5">
            <w:pPr>
              <w:spacing w:before="0" w:after="0"/>
              <w:jc w:val="center"/>
              <w:rPr>
                <w:rFonts w:cs="Arial"/>
                <w:color w:val="000000" w:themeColor="text1"/>
                <w:szCs w:val="16"/>
              </w:rPr>
            </w:pPr>
            <w:r w:rsidRPr="005C29F8">
              <w:rPr>
                <w:rFonts w:cs="Arial"/>
                <w:color w:val="000000" w:themeColor="text1"/>
                <w:szCs w:val="16"/>
              </w:rPr>
              <w:t>2005</w:t>
            </w:r>
          </w:p>
          <w:p w14:paraId="4E1C9696" w14:textId="131E4DB8"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39C9EA89" w14:textId="0C9841DF"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12374EC8" w14:textId="4823BA1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D60D4B" w14:textId="1DA5DE8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4C8F0C1" w14:textId="7F572F18"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4BC8F55A" w14:textId="4EB6993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77796458" w14:textId="4E1FAED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F28F2E1" w14:textId="77777777" w:rsidTr="00044B5C">
        <w:trPr>
          <w:trHeight w:val="80"/>
        </w:trPr>
        <w:tc>
          <w:tcPr>
            <w:tcW w:w="331" w:type="pct"/>
            <w:shd w:val="clear" w:color="auto" w:fill="auto"/>
            <w:vAlign w:val="center"/>
          </w:tcPr>
          <w:p w14:paraId="5EFA27D1" w14:textId="3B4A7886" w:rsidR="00A03745" w:rsidRPr="00691ABA" w:rsidRDefault="00A03745" w:rsidP="00A03745">
            <w:pPr>
              <w:spacing w:before="0" w:after="0"/>
              <w:jc w:val="center"/>
              <w:rPr>
                <w:rFonts w:cs="Arial"/>
                <w:b/>
                <w:bCs/>
                <w:color w:val="000000" w:themeColor="text1"/>
                <w:szCs w:val="16"/>
              </w:rPr>
            </w:pPr>
            <w:r w:rsidRPr="00691ABA">
              <w:rPr>
                <w:rFonts w:cs="Arial"/>
                <w:b/>
                <w:bCs/>
                <w:color w:val="000000" w:themeColor="text1"/>
                <w:szCs w:val="16"/>
              </w:rPr>
              <w:t>G</w:t>
            </w:r>
          </w:p>
        </w:tc>
        <w:tc>
          <w:tcPr>
            <w:tcW w:w="417" w:type="pct"/>
            <w:shd w:val="clear" w:color="auto" w:fill="auto"/>
          </w:tcPr>
          <w:p w14:paraId="3DD66BD2" w14:textId="32FE8B2A" w:rsidR="00A03745" w:rsidRPr="005C29F8" w:rsidRDefault="00A03745">
            <w:pPr>
              <w:spacing w:before="0" w:after="0"/>
              <w:jc w:val="center"/>
              <w:rPr>
                <w:rFonts w:cs="Arial"/>
                <w:color w:val="000000" w:themeColor="text1"/>
                <w:szCs w:val="16"/>
              </w:rPr>
            </w:pPr>
            <w:r w:rsidRPr="005C29F8">
              <w:rPr>
                <w:rFonts w:cs="Arial"/>
                <w:color w:val="000000" w:themeColor="text1"/>
                <w:szCs w:val="16"/>
              </w:rPr>
              <w:t>HS</w:t>
            </w:r>
          </w:p>
        </w:tc>
        <w:tc>
          <w:tcPr>
            <w:tcW w:w="501" w:type="pct"/>
            <w:shd w:val="clear" w:color="auto" w:fill="auto"/>
          </w:tcPr>
          <w:p w14:paraId="65F32A88" w14:textId="7BE5EF3F" w:rsidR="00047CB5" w:rsidRPr="005C29F8" w:rsidRDefault="00047CB5">
            <w:pPr>
              <w:spacing w:before="0" w:after="0"/>
              <w:jc w:val="center"/>
              <w:rPr>
                <w:rFonts w:cs="Arial"/>
                <w:color w:val="000000" w:themeColor="text1"/>
                <w:szCs w:val="16"/>
              </w:rPr>
            </w:pPr>
            <w:r w:rsidRPr="005C29F8">
              <w:rPr>
                <w:rFonts w:cs="Arial"/>
                <w:color w:val="000000" w:themeColor="text1"/>
                <w:szCs w:val="16"/>
              </w:rPr>
              <w:t>97.61%</w:t>
            </w:r>
          </w:p>
        </w:tc>
        <w:tc>
          <w:tcPr>
            <w:tcW w:w="497" w:type="pct"/>
            <w:shd w:val="clear" w:color="auto" w:fill="auto"/>
            <w:vAlign w:val="center"/>
          </w:tcPr>
          <w:p w14:paraId="3CB39C0B" w14:textId="77777777" w:rsidR="00A03745" w:rsidRPr="005C29F8" w:rsidRDefault="00A03745"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51761668" w14:textId="1F99256E" w:rsidR="00A03745" w:rsidRPr="005C29F8" w:rsidRDefault="00A03745" w:rsidP="00A018D4">
            <w:pPr>
              <w:jc w:val="center"/>
              <w:rPr>
                <w:rFonts w:cs="Arial"/>
                <w:color w:val="000000" w:themeColor="text1"/>
                <w:szCs w:val="16"/>
              </w:rPr>
            </w:pPr>
            <w:r w:rsidRPr="005C29F8">
              <w:rPr>
                <w:rFonts w:cs="Arial"/>
                <w:color w:val="000000" w:themeColor="text1"/>
                <w:szCs w:val="16"/>
              </w:rPr>
              <w:t>93.27%</w:t>
            </w:r>
          </w:p>
        </w:tc>
        <w:tc>
          <w:tcPr>
            <w:tcW w:w="659" w:type="pct"/>
            <w:tcBorders>
              <w:bottom w:val="single" w:sz="4" w:space="0" w:color="auto"/>
            </w:tcBorders>
            <w:shd w:val="clear" w:color="auto" w:fill="auto"/>
            <w:vAlign w:val="bottom"/>
          </w:tcPr>
          <w:p w14:paraId="3A466767" w14:textId="3482BC76" w:rsidR="00A03745" w:rsidRPr="005C29F8" w:rsidRDefault="00A03745" w:rsidP="00A018D4">
            <w:pPr>
              <w:jc w:val="center"/>
              <w:rPr>
                <w:rFonts w:cs="Arial"/>
                <w:color w:val="000000" w:themeColor="text1"/>
                <w:szCs w:val="16"/>
              </w:rPr>
            </w:pPr>
            <w:r w:rsidRPr="005C29F8">
              <w:rPr>
                <w:rFonts w:cs="Arial"/>
                <w:color w:val="000000" w:themeColor="text1"/>
                <w:szCs w:val="16"/>
              </w:rPr>
              <w:t>93.79%</w:t>
            </w:r>
          </w:p>
        </w:tc>
        <w:tc>
          <w:tcPr>
            <w:tcW w:w="659" w:type="pct"/>
            <w:tcBorders>
              <w:bottom w:val="single" w:sz="4" w:space="0" w:color="auto"/>
            </w:tcBorders>
            <w:shd w:val="clear" w:color="auto" w:fill="auto"/>
            <w:vAlign w:val="bottom"/>
          </w:tcPr>
          <w:p w14:paraId="39F9A92B" w14:textId="7E94B17F" w:rsidR="00A03745" w:rsidRPr="005C29F8" w:rsidRDefault="00A03745" w:rsidP="00A018D4">
            <w:pPr>
              <w:jc w:val="center"/>
              <w:rPr>
                <w:rFonts w:cs="Arial"/>
                <w:color w:val="000000" w:themeColor="text1"/>
                <w:szCs w:val="16"/>
              </w:rPr>
            </w:pPr>
            <w:r w:rsidRPr="005C29F8">
              <w:rPr>
                <w:rFonts w:cs="Arial"/>
                <w:color w:val="000000" w:themeColor="text1"/>
                <w:szCs w:val="16"/>
              </w:rPr>
              <w:t>93.35%</w:t>
            </w:r>
          </w:p>
        </w:tc>
        <w:tc>
          <w:tcPr>
            <w:tcW w:w="659" w:type="pct"/>
            <w:tcBorders>
              <w:bottom w:val="single" w:sz="4" w:space="0" w:color="auto"/>
            </w:tcBorders>
            <w:shd w:val="clear" w:color="auto" w:fill="auto"/>
            <w:vAlign w:val="bottom"/>
          </w:tcPr>
          <w:p w14:paraId="39DBACCA" w14:textId="0EE9E628" w:rsidR="00A03745" w:rsidRPr="005C29F8" w:rsidRDefault="00A03745" w:rsidP="00A018D4">
            <w:pPr>
              <w:jc w:val="center"/>
              <w:rPr>
                <w:rFonts w:cs="Arial"/>
                <w:color w:val="000000" w:themeColor="text1"/>
                <w:szCs w:val="16"/>
              </w:rPr>
            </w:pPr>
            <w:r w:rsidRPr="005C29F8">
              <w:rPr>
                <w:rFonts w:cs="Arial"/>
                <w:color w:val="000000" w:themeColor="text1"/>
                <w:szCs w:val="16"/>
              </w:rPr>
              <w:t>95.18%</w:t>
            </w:r>
          </w:p>
        </w:tc>
        <w:tc>
          <w:tcPr>
            <w:tcW w:w="655" w:type="pct"/>
            <w:tcBorders>
              <w:bottom w:val="single" w:sz="4" w:space="0" w:color="auto"/>
            </w:tcBorders>
            <w:shd w:val="clear" w:color="auto" w:fill="auto"/>
            <w:vAlign w:val="bottom"/>
          </w:tcPr>
          <w:p w14:paraId="3B8096E0" w14:textId="29D949A6" w:rsidR="00A03745" w:rsidRPr="005C29F8" w:rsidRDefault="00A03745" w:rsidP="00A018D4">
            <w:pPr>
              <w:jc w:val="center"/>
              <w:rPr>
                <w:rFonts w:cs="Arial"/>
                <w:color w:val="000000" w:themeColor="text1"/>
                <w:szCs w:val="16"/>
              </w:rPr>
            </w:pPr>
            <w:r w:rsidRPr="005C29F8">
              <w:rPr>
                <w:rFonts w:cs="Arial"/>
                <w:color w:val="000000" w:themeColor="text1"/>
                <w:szCs w:val="16"/>
              </w:rPr>
              <w:t>95.48%</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Grade 3</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98.85%</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98.68%</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98.25%</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98.39%</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98.39%</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98.88%</w:t>
            </w:r>
          </w:p>
        </w:tc>
      </w:tr>
      <w:tr w:rsidR="005C29F8" w:rsidRPr="005C29F8" w14:paraId="60421105" w14:textId="77777777" w:rsidTr="00044B5C">
        <w:trPr>
          <w:trHeight w:val="152"/>
        </w:trPr>
        <w:tc>
          <w:tcPr>
            <w:tcW w:w="331" w:type="pct"/>
            <w:shd w:val="clear" w:color="auto" w:fill="auto"/>
            <w:vAlign w:val="center"/>
          </w:tcPr>
          <w:p w14:paraId="3903CE61"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2B276572" w14:textId="216BA0C8"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002D8AD0" w14:textId="75A47EF7"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E7C9F79" w14:textId="42A7B135"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1DFEB2A9" w14:textId="364612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18BEBB" w14:textId="3936EC7B"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359F4C3" w14:textId="0B1AEC4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2D0F94BD" w14:textId="22E60441"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49C9DD78" w14:textId="6D3E038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490B9F1" w14:textId="77777777" w:rsidTr="00044B5C">
        <w:trPr>
          <w:trHeight w:val="80"/>
        </w:trPr>
        <w:tc>
          <w:tcPr>
            <w:tcW w:w="331" w:type="pct"/>
            <w:shd w:val="clear" w:color="auto" w:fill="auto"/>
            <w:vAlign w:val="center"/>
          </w:tcPr>
          <w:p w14:paraId="4097EE6C" w14:textId="171FE086"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B</w:t>
            </w:r>
          </w:p>
        </w:tc>
        <w:tc>
          <w:tcPr>
            <w:tcW w:w="542" w:type="pct"/>
            <w:shd w:val="clear" w:color="auto" w:fill="auto"/>
            <w:vAlign w:val="center"/>
          </w:tcPr>
          <w:p w14:paraId="1FA279D5" w14:textId="3CF538DD"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4</w:t>
            </w:r>
          </w:p>
        </w:tc>
        <w:tc>
          <w:tcPr>
            <w:tcW w:w="500" w:type="pct"/>
            <w:shd w:val="clear" w:color="auto" w:fill="auto"/>
            <w:vAlign w:val="center"/>
          </w:tcPr>
          <w:p w14:paraId="3656E753" w14:textId="6C432C55" w:rsidR="004D1EAB" w:rsidRPr="005C29F8" w:rsidRDefault="004A74D2">
            <w:pPr>
              <w:spacing w:before="0" w:after="0"/>
              <w:jc w:val="center"/>
              <w:rPr>
                <w:rFonts w:cs="Arial"/>
                <w:color w:val="000000" w:themeColor="text1"/>
                <w:szCs w:val="16"/>
              </w:rPr>
            </w:pPr>
            <w:r w:rsidRPr="005C29F8">
              <w:rPr>
                <w:rFonts w:cs="Arial"/>
                <w:color w:val="000000" w:themeColor="text1"/>
                <w:szCs w:val="16"/>
              </w:rPr>
              <w:t>99.22%</w:t>
            </w:r>
          </w:p>
        </w:tc>
        <w:tc>
          <w:tcPr>
            <w:tcW w:w="455" w:type="pct"/>
            <w:shd w:val="clear" w:color="auto" w:fill="auto"/>
            <w:vAlign w:val="center"/>
          </w:tcPr>
          <w:p w14:paraId="7ECB5A98" w14:textId="6E330515"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5A5F7779" w14:textId="0D4429C5" w:rsidR="004D1EAB" w:rsidRPr="005C29F8" w:rsidRDefault="004D1EAB" w:rsidP="00A018D4">
            <w:pPr>
              <w:jc w:val="center"/>
              <w:rPr>
                <w:rFonts w:cs="Arial"/>
                <w:color w:val="000000" w:themeColor="text1"/>
                <w:szCs w:val="16"/>
              </w:rPr>
            </w:pPr>
            <w:r w:rsidRPr="005C29F8">
              <w:rPr>
                <w:rFonts w:cs="Arial"/>
                <w:color w:val="000000" w:themeColor="text1"/>
                <w:szCs w:val="16"/>
              </w:rPr>
              <w:t>98.83%</w:t>
            </w:r>
          </w:p>
        </w:tc>
        <w:tc>
          <w:tcPr>
            <w:tcW w:w="641" w:type="pct"/>
            <w:tcBorders>
              <w:bottom w:val="single" w:sz="4" w:space="0" w:color="auto"/>
            </w:tcBorders>
            <w:shd w:val="clear" w:color="auto" w:fill="auto"/>
            <w:vAlign w:val="bottom"/>
          </w:tcPr>
          <w:p w14:paraId="1B773959" w14:textId="12F13808" w:rsidR="004D1EAB" w:rsidRPr="005C29F8" w:rsidRDefault="004D1EAB" w:rsidP="00A018D4">
            <w:pPr>
              <w:jc w:val="center"/>
              <w:rPr>
                <w:rFonts w:cs="Arial"/>
                <w:color w:val="000000" w:themeColor="text1"/>
                <w:szCs w:val="16"/>
              </w:rPr>
            </w:pPr>
            <w:r w:rsidRPr="005C29F8">
              <w:rPr>
                <w:rFonts w:cs="Arial"/>
                <w:color w:val="000000" w:themeColor="text1"/>
                <w:szCs w:val="16"/>
              </w:rPr>
              <w:t>98.56%</w:t>
            </w:r>
          </w:p>
        </w:tc>
        <w:tc>
          <w:tcPr>
            <w:tcW w:w="641" w:type="pct"/>
            <w:tcBorders>
              <w:bottom w:val="single" w:sz="4" w:space="0" w:color="auto"/>
            </w:tcBorders>
            <w:shd w:val="clear" w:color="auto" w:fill="auto"/>
            <w:vAlign w:val="bottom"/>
          </w:tcPr>
          <w:p w14:paraId="47DFBD62" w14:textId="2829905B" w:rsidR="004D1EAB" w:rsidRPr="005C29F8" w:rsidRDefault="004D1EAB" w:rsidP="00A018D4">
            <w:pPr>
              <w:jc w:val="center"/>
              <w:rPr>
                <w:rFonts w:cs="Arial"/>
                <w:color w:val="000000" w:themeColor="text1"/>
                <w:szCs w:val="16"/>
              </w:rPr>
            </w:pPr>
            <w:r w:rsidRPr="005C29F8">
              <w:rPr>
                <w:rFonts w:cs="Arial"/>
                <w:color w:val="000000" w:themeColor="text1"/>
                <w:szCs w:val="16"/>
              </w:rPr>
              <w:t>98.48%</w:t>
            </w:r>
          </w:p>
        </w:tc>
        <w:tc>
          <w:tcPr>
            <w:tcW w:w="641" w:type="pct"/>
            <w:tcBorders>
              <w:bottom w:val="single" w:sz="4" w:space="0" w:color="auto"/>
            </w:tcBorders>
            <w:shd w:val="clear" w:color="auto" w:fill="auto"/>
            <w:vAlign w:val="bottom"/>
          </w:tcPr>
          <w:p w14:paraId="6D713F53" w14:textId="2A0DBF0E" w:rsidR="004D1EAB" w:rsidRPr="005C29F8" w:rsidRDefault="004D1EAB" w:rsidP="00A018D4">
            <w:pPr>
              <w:jc w:val="center"/>
              <w:rPr>
                <w:rFonts w:cs="Arial"/>
                <w:color w:val="000000" w:themeColor="text1"/>
                <w:szCs w:val="16"/>
              </w:rPr>
            </w:pPr>
            <w:r w:rsidRPr="005C29F8">
              <w:rPr>
                <w:rFonts w:cs="Arial"/>
                <w:color w:val="000000" w:themeColor="text1"/>
                <w:szCs w:val="16"/>
              </w:rPr>
              <w:t>98.71%</w:t>
            </w:r>
          </w:p>
        </w:tc>
        <w:tc>
          <w:tcPr>
            <w:tcW w:w="624" w:type="pct"/>
            <w:tcBorders>
              <w:bottom w:val="single" w:sz="4" w:space="0" w:color="auto"/>
            </w:tcBorders>
            <w:shd w:val="clear" w:color="auto" w:fill="auto"/>
            <w:vAlign w:val="bottom"/>
          </w:tcPr>
          <w:p w14:paraId="2C97547B" w14:textId="2473AA0B" w:rsidR="004D1EAB" w:rsidRPr="005C29F8" w:rsidRDefault="004D1EAB" w:rsidP="00A018D4">
            <w:pPr>
              <w:jc w:val="center"/>
              <w:rPr>
                <w:rFonts w:cs="Arial"/>
                <w:color w:val="000000" w:themeColor="text1"/>
                <w:szCs w:val="16"/>
              </w:rPr>
            </w:pPr>
            <w:r w:rsidRPr="005C29F8">
              <w:rPr>
                <w:rFonts w:cs="Arial"/>
                <w:color w:val="000000" w:themeColor="text1"/>
                <w:szCs w:val="16"/>
              </w:rPr>
              <w:t>98.55%</w:t>
            </w:r>
          </w:p>
        </w:tc>
      </w:tr>
      <w:tr w:rsidR="005C29F8" w:rsidRPr="005C29F8" w14:paraId="46975851" w14:textId="77777777" w:rsidTr="00044B5C">
        <w:trPr>
          <w:trHeight w:val="152"/>
        </w:trPr>
        <w:tc>
          <w:tcPr>
            <w:tcW w:w="331" w:type="pct"/>
            <w:shd w:val="clear" w:color="auto" w:fill="auto"/>
            <w:vAlign w:val="center"/>
          </w:tcPr>
          <w:p w14:paraId="0D7468CA"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3CBABCAE" w14:textId="62E53022"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D7AE2EA" w14:textId="7458DF72" w:rsidR="00A44BD9" w:rsidRPr="005C29F8" w:rsidRDefault="00A44BD9">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74477B33" w14:textId="10810729"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54E3801" w14:textId="40FC755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4C76E88" w14:textId="302EE62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01E82E1A" w14:textId="123FFB3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33D54FE" w14:textId="3B95951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2F25AEF" w14:textId="748690D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622D9219" w14:textId="77777777" w:rsidTr="00044B5C">
        <w:trPr>
          <w:trHeight w:val="80"/>
        </w:trPr>
        <w:tc>
          <w:tcPr>
            <w:tcW w:w="331" w:type="pct"/>
            <w:shd w:val="clear" w:color="auto" w:fill="auto"/>
            <w:vAlign w:val="center"/>
          </w:tcPr>
          <w:p w14:paraId="5D668A09" w14:textId="0C4A8655"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C</w:t>
            </w:r>
          </w:p>
        </w:tc>
        <w:tc>
          <w:tcPr>
            <w:tcW w:w="542" w:type="pct"/>
            <w:shd w:val="clear" w:color="auto" w:fill="auto"/>
            <w:vAlign w:val="center"/>
          </w:tcPr>
          <w:p w14:paraId="41CA64FE" w14:textId="2210276C"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5</w:t>
            </w:r>
          </w:p>
        </w:tc>
        <w:tc>
          <w:tcPr>
            <w:tcW w:w="500" w:type="pct"/>
            <w:shd w:val="clear" w:color="auto" w:fill="auto"/>
            <w:vAlign w:val="center"/>
          </w:tcPr>
          <w:p w14:paraId="54F18724" w14:textId="6EB006FC" w:rsidR="004D1EAB" w:rsidRPr="005C29F8" w:rsidRDefault="00A44BD9">
            <w:pPr>
              <w:spacing w:before="0" w:after="0"/>
              <w:jc w:val="center"/>
              <w:rPr>
                <w:rFonts w:cs="Arial"/>
                <w:color w:val="000000" w:themeColor="text1"/>
                <w:szCs w:val="16"/>
              </w:rPr>
            </w:pPr>
            <w:r w:rsidRPr="005C29F8">
              <w:rPr>
                <w:rFonts w:cs="Arial"/>
                <w:color w:val="000000" w:themeColor="text1"/>
                <w:szCs w:val="16"/>
              </w:rPr>
              <w:t>99.04%</w:t>
            </w:r>
          </w:p>
        </w:tc>
        <w:tc>
          <w:tcPr>
            <w:tcW w:w="455" w:type="pct"/>
            <w:shd w:val="clear" w:color="auto" w:fill="auto"/>
            <w:vAlign w:val="center"/>
          </w:tcPr>
          <w:p w14:paraId="7AF7D2B0" w14:textId="4E6006CB"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5AAF2A" w14:textId="7EC2139A" w:rsidR="004D1EAB" w:rsidRPr="005C29F8" w:rsidRDefault="004D1EAB" w:rsidP="00A018D4">
            <w:pPr>
              <w:jc w:val="center"/>
              <w:rPr>
                <w:rFonts w:cs="Arial"/>
                <w:color w:val="000000" w:themeColor="text1"/>
                <w:szCs w:val="16"/>
              </w:rPr>
            </w:pPr>
            <w:r w:rsidRPr="005C29F8">
              <w:rPr>
                <w:rFonts w:cs="Arial"/>
                <w:color w:val="000000" w:themeColor="text1"/>
                <w:szCs w:val="16"/>
              </w:rPr>
              <w:t>98.57%</w:t>
            </w:r>
          </w:p>
        </w:tc>
        <w:tc>
          <w:tcPr>
            <w:tcW w:w="641" w:type="pct"/>
            <w:tcBorders>
              <w:bottom w:val="single" w:sz="4" w:space="0" w:color="auto"/>
            </w:tcBorders>
            <w:shd w:val="clear" w:color="auto" w:fill="auto"/>
            <w:vAlign w:val="bottom"/>
          </w:tcPr>
          <w:p w14:paraId="01FE903D" w14:textId="6059B1FF" w:rsidR="004D1EAB" w:rsidRPr="005C29F8" w:rsidRDefault="004D1EAB" w:rsidP="00A018D4">
            <w:pPr>
              <w:jc w:val="center"/>
              <w:rPr>
                <w:rFonts w:cs="Arial"/>
                <w:color w:val="000000" w:themeColor="text1"/>
                <w:szCs w:val="16"/>
              </w:rPr>
            </w:pPr>
            <w:r w:rsidRPr="005C29F8">
              <w:rPr>
                <w:rFonts w:cs="Arial"/>
                <w:color w:val="000000" w:themeColor="text1"/>
                <w:szCs w:val="16"/>
              </w:rPr>
              <w:t>98.38%</w:t>
            </w:r>
          </w:p>
        </w:tc>
        <w:tc>
          <w:tcPr>
            <w:tcW w:w="641" w:type="pct"/>
            <w:tcBorders>
              <w:bottom w:val="single" w:sz="4" w:space="0" w:color="auto"/>
            </w:tcBorders>
            <w:shd w:val="clear" w:color="auto" w:fill="auto"/>
            <w:vAlign w:val="bottom"/>
          </w:tcPr>
          <w:p w14:paraId="1DF02D8F" w14:textId="55B0BEFC" w:rsidR="004D1EAB" w:rsidRPr="005C29F8" w:rsidRDefault="004D1EAB" w:rsidP="00A018D4">
            <w:pPr>
              <w:jc w:val="center"/>
              <w:rPr>
                <w:rFonts w:cs="Arial"/>
                <w:color w:val="000000" w:themeColor="text1"/>
                <w:szCs w:val="16"/>
              </w:rPr>
            </w:pPr>
            <w:r w:rsidRPr="005C29F8">
              <w:rPr>
                <w:rFonts w:cs="Arial"/>
                <w:color w:val="000000" w:themeColor="text1"/>
                <w:szCs w:val="16"/>
              </w:rPr>
              <w:t>98.77%</w:t>
            </w:r>
          </w:p>
        </w:tc>
        <w:tc>
          <w:tcPr>
            <w:tcW w:w="641" w:type="pct"/>
            <w:tcBorders>
              <w:bottom w:val="single" w:sz="4" w:space="0" w:color="auto"/>
            </w:tcBorders>
            <w:shd w:val="clear" w:color="auto" w:fill="auto"/>
            <w:vAlign w:val="bottom"/>
          </w:tcPr>
          <w:p w14:paraId="22107FAD" w14:textId="11291005" w:rsidR="004D1EAB" w:rsidRPr="005C29F8" w:rsidRDefault="004D1EAB" w:rsidP="00A018D4">
            <w:pPr>
              <w:jc w:val="center"/>
              <w:rPr>
                <w:rFonts w:cs="Arial"/>
                <w:color w:val="000000" w:themeColor="text1"/>
                <w:szCs w:val="16"/>
              </w:rPr>
            </w:pPr>
            <w:r w:rsidRPr="005C29F8">
              <w:rPr>
                <w:rFonts w:cs="Arial"/>
                <w:color w:val="000000" w:themeColor="text1"/>
                <w:szCs w:val="16"/>
              </w:rPr>
              <w:t>99.09%</w:t>
            </w:r>
          </w:p>
        </w:tc>
        <w:tc>
          <w:tcPr>
            <w:tcW w:w="624" w:type="pct"/>
            <w:tcBorders>
              <w:bottom w:val="single" w:sz="4" w:space="0" w:color="auto"/>
            </w:tcBorders>
            <w:shd w:val="clear" w:color="auto" w:fill="auto"/>
            <w:vAlign w:val="bottom"/>
          </w:tcPr>
          <w:p w14:paraId="6DFEC738" w14:textId="320C2EF1" w:rsidR="004D1EAB" w:rsidRPr="005C29F8" w:rsidRDefault="004D1EAB" w:rsidP="00A018D4">
            <w:pPr>
              <w:jc w:val="center"/>
              <w:rPr>
                <w:rFonts w:cs="Arial"/>
                <w:color w:val="000000" w:themeColor="text1"/>
                <w:szCs w:val="16"/>
              </w:rPr>
            </w:pPr>
            <w:r w:rsidRPr="005C29F8">
              <w:rPr>
                <w:rFonts w:cs="Arial"/>
                <w:color w:val="000000" w:themeColor="text1"/>
                <w:szCs w:val="16"/>
              </w:rPr>
              <w:t>99.02%</w:t>
            </w:r>
          </w:p>
        </w:tc>
      </w:tr>
      <w:tr w:rsidR="005C29F8" w:rsidRPr="005C29F8" w14:paraId="6412DEC5" w14:textId="77777777" w:rsidTr="00044B5C">
        <w:trPr>
          <w:trHeight w:val="152"/>
        </w:trPr>
        <w:tc>
          <w:tcPr>
            <w:tcW w:w="331" w:type="pct"/>
            <w:shd w:val="clear" w:color="auto" w:fill="auto"/>
            <w:vAlign w:val="center"/>
          </w:tcPr>
          <w:p w14:paraId="477B0C0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1C705D23" w14:textId="1DB1C263"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6272011C" w14:textId="5686827C" w:rsidR="00631A85" w:rsidRPr="005C29F8" w:rsidRDefault="00631A85">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11AEEE82" w14:textId="0148AE6F"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7F00BD6D" w14:textId="5C58949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A6FF462" w14:textId="4D485A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3FF4220" w14:textId="6BB21A8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2987607" w14:textId="5F2E91D6"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6DF4D16B" w14:textId="2AAF928B"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0C9DCD25" w14:textId="77777777" w:rsidTr="00044B5C">
        <w:trPr>
          <w:trHeight w:val="80"/>
        </w:trPr>
        <w:tc>
          <w:tcPr>
            <w:tcW w:w="331" w:type="pct"/>
            <w:shd w:val="clear" w:color="auto" w:fill="auto"/>
            <w:vAlign w:val="center"/>
          </w:tcPr>
          <w:p w14:paraId="4334542F" w14:textId="36877619"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D</w:t>
            </w:r>
          </w:p>
        </w:tc>
        <w:tc>
          <w:tcPr>
            <w:tcW w:w="542" w:type="pct"/>
            <w:shd w:val="clear" w:color="auto" w:fill="auto"/>
            <w:vAlign w:val="center"/>
          </w:tcPr>
          <w:p w14:paraId="498E6CA9" w14:textId="05CA79C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6</w:t>
            </w:r>
          </w:p>
        </w:tc>
        <w:tc>
          <w:tcPr>
            <w:tcW w:w="500" w:type="pct"/>
            <w:shd w:val="clear" w:color="auto" w:fill="auto"/>
            <w:vAlign w:val="center"/>
          </w:tcPr>
          <w:p w14:paraId="2EB09978" w14:textId="0CAED06D" w:rsidR="004D1EAB" w:rsidRPr="005C29F8" w:rsidRDefault="00631A85">
            <w:pPr>
              <w:spacing w:before="0" w:after="0"/>
              <w:jc w:val="center"/>
              <w:rPr>
                <w:rFonts w:cs="Arial"/>
                <w:color w:val="000000" w:themeColor="text1"/>
                <w:szCs w:val="16"/>
              </w:rPr>
            </w:pPr>
            <w:r w:rsidRPr="005C29F8">
              <w:rPr>
                <w:rFonts w:cs="Arial"/>
                <w:color w:val="000000" w:themeColor="text1"/>
                <w:szCs w:val="16"/>
              </w:rPr>
              <w:t>99.10%</w:t>
            </w:r>
          </w:p>
        </w:tc>
        <w:tc>
          <w:tcPr>
            <w:tcW w:w="455" w:type="pct"/>
            <w:shd w:val="clear" w:color="auto" w:fill="auto"/>
            <w:vAlign w:val="center"/>
          </w:tcPr>
          <w:p w14:paraId="680624CB" w14:textId="4AA1727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4EBE72E9" w14:textId="5328FFB0" w:rsidR="004D1EAB" w:rsidRPr="005C29F8" w:rsidRDefault="004D1EAB" w:rsidP="00A018D4">
            <w:pPr>
              <w:jc w:val="center"/>
              <w:rPr>
                <w:rFonts w:cs="Arial"/>
                <w:color w:val="000000" w:themeColor="text1"/>
                <w:szCs w:val="16"/>
              </w:rPr>
            </w:pPr>
            <w:r w:rsidRPr="005C29F8">
              <w:rPr>
                <w:rFonts w:cs="Arial"/>
                <w:color w:val="000000" w:themeColor="text1"/>
                <w:szCs w:val="16"/>
              </w:rPr>
              <w:t>98.39%</w:t>
            </w:r>
          </w:p>
        </w:tc>
        <w:tc>
          <w:tcPr>
            <w:tcW w:w="641" w:type="pct"/>
            <w:tcBorders>
              <w:bottom w:val="single" w:sz="4" w:space="0" w:color="auto"/>
            </w:tcBorders>
            <w:shd w:val="clear" w:color="auto" w:fill="auto"/>
            <w:vAlign w:val="bottom"/>
          </w:tcPr>
          <w:p w14:paraId="7B4B3573" w14:textId="22CE742C" w:rsidR="004D1EAB" w:rsidRPr="005C29F8" w:rsidRDefault="004D1EAB" w:rsidP="00A018D4">
            <w:pPr>
              <w:jc w:val="center"/>
              <w:rPr>
                <w:rFonts w:cs="Arial"/>
                <w:color w:val="000000" w:themeColor="text1"/>
                <w:szCs w:val="16"/>
              </w:rPr>
            </w:pPr>
            <w:r w:rsidRPr="005C29F8">
              <w:rPr>
                <w:rFonts w:cs="Arial"/>
                <w:color w:val="000000" w:themeColor="text1"/>
                <w:szCs w:val="16"/>
              </w:rPr>
              <w:t>97.85%</w:t>
            </w:r>
          </w:p>
        </w:tc>
        <w:tc>
          <w:tcPr>
            <w:tcW w:w="641" w:type="pct"/>
            <w:tcBorders>
              <w:bottom w:val="single" w:sz="4" w:space="0" w:color="auto"/>
            </w:tcBorders>
            <w:shd w:val="clear" w:color="auto" w:fill="auto"/>
            <w:vAlign w:val="bottom"/>
          </w:tcPr>
          <w:p w14:paraId="0F4E70B2" w14:textId="40E745B9" w:rsidR="004D1EAB" w:rsidRPr="005C29F8" w:rsidRDefault="004D1EAB" w:rsidP="00A018D4">
            <w:pPr>
              <w:jc w:val="center"/>
              <w:rPr>
                <w:rFonts w:cs="Arial"/>
                <w:color w:val="000000" w:themeColor="text1"/>
                <w:szCs w:val="16"/>
              </w:rPr>
            </w:pPr>
            <w:r w:rsidRPr="005C29F8">
              <w:rPr>
                <w:rFonts w:cs="Arial"/>
                <w:color w:val="000000" w:themeColor="text1"/>
                <w:szCs w:val="16"/>
              </w:rPr>
              <w:t>98.14%</w:t>
            </w:r>
          </w:p>
        </w:tc>
        <w:tc>
          <w:tcPr>
            <w:tcW w:w="641" w:type="pct"/>
            <w:tcBorders>
              <w:bottom w:val="single" w:sz="4" w:space="0" w:color="auto"/>
            </w:tcBorders>
            <w:shd w:val="clear" w:color="auto" w:fill="auto"/>
            <w:vAlign w:val="bottom"/>
          </w:tcPr>
          <w:p w14:paraId="4F461024" w14:textId="1A17352F" w:rsidR="004D1EAB" w:rsidRPr="005C29F8" w:rsidRDefault="004D1EAB" w:rsidP="00A018D4">
            <w:pPr>
              <w:jc w:val="center"/>
              <w:rPr>
                <w:rFonts w:cs="Arial"/>
                <w:color w:val="000000" w:themeColor="text1"/>
                <w:szCs w:val="16"/>
              </w:rPr>
            </w:pPr>
            <w:r w:rsidRPr="005C29F8">
              <w:rPr>
                <w:rFonts w:cs="Arial"/>
                <w:color w:val="000000" w:themeColor="text1"/>
                <w:szCs w:val="16"/>
              </w:rPr>
              <w:t>98.68%</w:t>
            </w:r>
          </w:p>
        </w:tc>
        <w:tc>
          <w:tcPr>
            <w:tcW w:w="624" w:type="pct"/>
            <w:tcBorders>
              <w:bottom w:val="single" w:sz="4" w:space="0" w:color="auto"/>
            </w:tcBorders>
            <w:shd w:val="clear" w:color="auto" w:fill="auto"/>
            <w:vAlign w:val="bottom"/>
          </w:tcPr>
          <w:p w14:paraId="4DE606C0" w14:textId="1C476FEB" w:rsidR="004D1EAB" w:rsidRPr="005C29F8" w:rsidRDefault="004D1EAB" w:rsidP="00A018D4">
            <w:pPr>
              <w:jc w:val="center"/>
              <w:rPr>
                <w:rFonts w:cs="Arial"/>
                <w:color w:val="000000" w:themeColor="text1"/>
                <w:szCs w:val="16"/>
              </w:rPr>
            </w:pPr>
            <w:r w:rsidRPr="005C29F8">
              <w:rPr>
                <w:rFonts w:cs="Arial"/>
                <w:color w:val="000000" w:themeColor="text1"/>
                <w:szCs w:val="16"/>
              </w:rPr>
              <w:t>98.18%</w:t>
            </w:r>
          </w:p>
        </w:tc>
      </w:tr>
      <w:tr w:rsidR="005C29F8" w:rsidRPr="005C29F8" w14:paraId="4053C457" w14:textId="77777777" w:rsidTr="00044B5C">
        <w:trPr>
          <w:trHeight w:val="152"/>
        </w:trPr>
        <w:tc>
          <w:tcPr>
            <w:tcW w:w="331" w:type="pct"/>
            <w:shd w:val="clear" w:color="auto" w:fill="auto"/>
            <w:vAlign w:val="center"/>
          </w:tcPr>
          <w:p w14:paraId="181AF4D2"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CA025C0" w14:textId="66D51888"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36671A35" w14:textId="32B99C93" w:rsidR="001A6B81" w:rsidRPr="005C29F8" w:rsidRDefault="001A6B81">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7F85F816" w14:textId="15B88D52"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B5655" w14:textId="6412351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97BDBE9" w14:textId="298AA272"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4FB05C1A" w14:textId="4686BE04"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3BCA1ED9" w14:textId="3A3467AF"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40E36A9" w14:textId="077A825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0B19FC2" w14:textId="77777777" w:rsidTr="00044B5C">
        <w:trPr>
          <w:trHeight w:val="80"/>
        </w:trPr>
        <w:tc>
          <w:tcPr>
            <w:tcW w:w="331" w:type="pct"/>
            <w:shd w:val="clear" w:color="auto" w:fill="auto"/>
            <w:vAlign w:val="center"/>
          </w:tcPr>
          <w:p w14:paraId="54113404" w14:textId="091EE06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E</w:t>
            </w:r>
          </w:p>
        </w:tc>
        <w:tc>
          <w:tcPr>
            <w:tcW w:w="542" w:type="pct"/>
            <w:shd w:val="clear" w:color="auto" w:fill="auto"/>
            <w:vAlign w:val="center"/>
          </w:tcPr>
          <w:p w14:paraId="33056DF6" w14:textId="0093F7B6"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7</w:t>
            </w:r>
          </w:p>
        </w:tc>
        <w:tc>
          <w:tcPr>
            <w:tcW w:w="500" w:type="pct"/>
            <w:shd w:val="clear" w:color="auto" w:fill="auto"/>
            <w:vAlign w:val="center"/>
          </w:tcPr>
          <w:p w14:paraId="43474EFE" w14:textId="0CF4988B" w:rsidR="004D1EAB" w:rsidRPr="005C29F8" w:rsidRDefault="001A6B81">
            <w:pPr>
              <w:spacing w:before="0" w:after="0"/>
              <w:jc w:val="center"/>
              <w:rPr>
                <w:rFonts w:cs="Arial"/>
                <w:color w:val="000000" w:themeColor="text1"/>
                <w:szCs w:val="16"/>
              </w:rPr>
            </w:pPr>
            <w:r w:rsidRPr="005C29F8">
              <w:rPr>
                <w:rFonts w:cs="Arial"/>
                <w:color w:val="000000" w:themeColor="text1"/>
                <w:szCs w:val="16"/>
              </w:rPr>
              <w:t>99.42%</w:t>
            </w:r>
          </w:p>
        </w:tc>
        <w:tc>
          <w:tcPr>
            <w:tcW w:w="455" w:type="pct"/>
            <w:shd w:val="clear" w:color="auto" w:fill="auto"/>
            <w:vAlign w:val="center"/>
          </w:tcPr>
          <w:p w14:paraId="61205D0A" w14:textId="2C653FA4"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19E411E" w14:textId="54342E62" w:rsidR="004D1EAB" w:rsidRPr="005C29F8" w:rsidRDefault="004D1EAB" w:rsidP="00A018D4">
            <w:pPr>
              <w:jc w:val="center"/>
              <w:rPr>
                <w:rFonts w:cs="Arial"/>
                <w:color w:val="000000" w:themeColor="text1"/>
                <w:szCs w:val="16"/>
              </w:rPr>
            </w:pPr>
            <w:r w:rsidRPr="005C29F8">
              <w:rPr>
                <w:rFonts w:cs="Arial"/>
                <w:color w:val="000000" w:themeColor="text1"/>
                <w:szCs w:val="16"/>
              </w:rPr>
              <w:t>97.88%</w:t>
            </w:r>
          </w:p>
        </w:tc>
        <w:tc>
          <w:tcPr>
            <w:tcW w:w="641" w:type="pct"/>
            <w:tcBorders>
              <w:bottom w:val="single" w:sz="4" w:space="0" w:color="auto"/>
            </w:tcBorders>
            <w:shd w:val="clear" w:color="auto" w:fill="auto"/>
            <w:vAlign w:val="bottom"/>
          </w:tcPr>
          <w:p w14:paraId="1F34F8BD" w14:textId="43173970" w:rsidR="004D1EAB" w:rsidRPr="005C29F8" w:rsidRDefault="004D1EAB" w:rsidP="00A018D4">
            <w:pPr>
              <w:jc w:val="center"/>
              <w:rPr>
                <w:rFonts w:cs="Arial"/>
                <w:color w:val="000000" w:themeColor="text1"/>
                <w:szCs w:val="16"/>
              </w:rPr>
            </w:pPr>
            <w:r w:rsidRPr="005C29F8">
              <w:rPr>
                <w:rFonts w:cs="Arial"/>
                <w:color w:val="000000" w:themeColor="text1"/>
                <w:szCs w:val="16"/>
              </w:rPr>
              <w:t>97.46%</w:t>
            </w:r>
          </w:p>
        </w:tc>
        <w:tc>
          <w:tcPr>
            <w:tcW w:w="641" w:type="pct"/>
            <w:tcBorders>
              <w:bottom w:val="single" w:sz="4" w:space="0" w:color="auto"/>
            </w:tcBorders>
            <w:shd w:val="clear" w:color="auto" w:fill="auto"/>
            <w:vAlign w:val="bottom"/>
          </w:tcPr>
          <w:p w14:paraId="4E372029" w14:textId="562C1128" w:rsidR="004D1EAB" w:rsidRPr="005C29F8" w:rsidRDefault="004D1EAB" w:rsidP="00A018D4">
            <w:pPr>
              <w:jc w:val="center"/>
              <w:rPr>
                <w:rFonts w:cs="Arial"/>
                <w:color w:val="000000" w:themeColor="text1"/>
                <w:szCs w:val="16"/>
              </w:rPr>
            </w:pPr>
            <w:r w:rsidRPr="005C29F8">
              <w:rPr>
                <w:rFonts w:cs="Arial"/>
                <w:color w:val="000000" w:themeColor="text1"/>
                <w:szCs w:val="16"/>
              </w:rPr>
              <w:t>97.56%</w:t>
            </w:r>
          </w:p>
        </w:tc>
        <w:tc>
          <w:tcPr>
            <w:tcW w:w="641" w:type="pct"/>
            <w:tcBorders>
              <w:bottom w:val="single" w:sz="4" w:space="0" w:color="auto"/>
            </w:tcBorders>
            <w:shd w:val="clear" w:color="auto" w:fill="auto"/>
            <w:vAlign w:val="bottom"/>
          </w:tcPr>
          <w:p w14:paraId="33D992E5" w14:textId="6E12928F" w:rsidR="004D1EAB" w:rsidRPr="005C29F8" w:rsidRDefault="004D1EAB" w:rsidP="00A018D4">
            <w:pPr>
              <w:jc w:val="center"/>
              <w:rPr>
                <w:rFonts w:cs="Arial"/>
                <w:color w:val="000000" w:themeColor="text1"/>
                <w:szCs w:val="16"/>
              </w:rPr>
            </w:pPr>
            <w:r w:rsidRPr="005C29F8">
              <w:rPr>
                <w:rFonts w:cs="Arial"/>
                <w:color w:val="000000" w:themeColor="text1"/>
                <w:szCs w:val="16"/>
              </w:rPr>
              <w:t>98.05%</w:t>
            </w:r>
          </w:p>
        </w:tc>
        <w:tc>
          <w:tcPr>
            <w:tcW w:w="624" w:type="pct"/>
            <w:tcBorders>
              <w:bottom w:val="single" w:sz="4" w:space="0" w:color="auto"/>
            </w:tcBorders>
            <w:shd w:val="clear" w:color="auto" w:fill="auto"/>
            <w:vAlign w:val="bottom"/>
          </w:tcPr>
          <w:p w14:paraId="3CE53867" w14:textId="29F73ED6" w:rsidR="004D1EAB" w:rsidRPr="005C29F8" w:rsidRDefault="004D1EAB" w:rsidP="00A018D4">
            <w:pPr>
              <w:jc w:val="center"/>
              <w:rPr>
                <w:rFonts w:cs="Arial"/>
                <w:color w:val="000000" w:themeColor="text1"/>
                <w:szCs w:val="16"/>
              </w:rPr>
            </w:pPr>
            <w:r w:rsidRPr="005C29F8">
              <w:rPr>
                <w:rFonts w:cs="Arial"/>
                <w:color w:val="000000" w:themeColor="text1"/>
                <w:szCs w:val="16"/>
              </w:rPr>
              <w:t>98.43%</w:t>
            </w:r>
          </w:p>
        </w:tc>
      </w:tr>
      <w:tr w:rsidR="005C29F8" w:rsidRPr="005C29F8" w14:paraId="6CE72DE1" w14:textId="77777777" w:rsidTr="00044B5C">
        <w:trPr>
          <w:trHeight w:val="152"/>
        </w:trPr>
        <w:tc>
          <w:tcPr>
            <w:tcW w:w="331" w:type="pct"/>
            <w:shd w:val="clear" w:color="auto" w:fill="auto"/>
            <w:vAlign w:val="center"/>
          </w:tcPr>
          <w:p w14:paraId="3E26A129"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3812A238" w14:textId="3DE610FD"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36CCD3F7" w14:textId="0332CE38" w:rsidR="00724EC4" w:rsidRPr="005C29F8" w:rsidRDefault="00724EC4">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42179DE2" w14:textId="21AE4D01"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w:t>
            </w:r>
          </w:p>
        </w:tc>
        <w:tc>
          <w:tcPr>
            <w:tcW w:w="625" w:type="pct"/>
            <w:shd w:val="clear" w:color="auto" w:fill="auto"/>
            <w:vAlign w:val="bottom"/>
          </w:tcPr>
          <w:p w14:paraId="1F10ADE9" w14:textId="4F1DFF8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DEC9012" w14:textId="4CDFC471"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5FE6DE" w14:textId="3F8005F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528B4CF" w14:textId="2D7158D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55AD1ABA" w14:textId="706A7CA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E034BDA" w14:textId="77777777" w:rsidTr="00044B5C">
        <w:trPr>
          <w:trHeight w:val="80"/>
        </w:trPr>
        <w:tc>
          <w:tcPr>
            <w:tcW w:w="331" w:type="pct"/>
            <w:shd w:val="clear" w:color="auto" w:fill="auto"/>
            <w:vAlign w:val="center"/>
          </w:tcPr>
          <w:p w14:paraId="7BCC04F3" w14:textId="4365474A"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F</w:t>
            </w:r>
          </w:p>
        </w:tc>
        <w:tc>
          <w:tcPr>
            <w:tcW w:w="542" w:type="pct"/>
            <w:shd w:val="clear" w:color="auto" w:fill="auto"/>
            <w:vAlign w:val="center"/>
          </w:tcPr>
          <w:p w14:paraId="5CE6D0D7" w14:textId="1F6CBB93" w:rsidR="004D1EAB" w:rsidRPr="005C29F8" w:rsidRDefault="004D1EAB">
            <w:pPr>
              <w:spacing w:before="0" w:after="0"/>
              <w:jc w:val="center"/>
              <w:rPr>
                <w:rFonts w:cs="Arial"/>
                <w:color w:val="000000" w:themeColor="text1"/>
                <w:szCs w:val="16"/>
              </w:rPr>
            </w:pPr>
            <w:r w:rsidRPr="005C29F8">
              <w:rPr>
                <w:rFonts w:cs="Arial"/>
                <w:color w:val="000000" w:themeColor="text1"/>
                <w:szCs w:val="16"/>
              </w:rPr>
              <w:t>Grade 8</w:t>
            </w:r>
          </w:p>
        </w:tc>
        <w:tc>
          <w:tcPr>
            <w:tcW w:w="500" w:type="pct"/>
            <w:shd w:val="clear" w:color="auto" w:fill="auto"/>
            <w:vAlign w:val="center"/>
          </w:tcPr>
          <w:p w14:paraId="0BD8070C" w14:textId="098EDB8C" w:rsidR="004D1EAB" w:rsidRPr="005C29F8" w:rsidRDefault="00724EC4">
            <w:pPr>
              <w:spacing w:before="0" w:after="0"/>
              <w:jc w:val="center"/>
              <w:rPr>
                <w:rFonts w:cs="Arial"/>
                <w:color w:val="000000" w:themeColor="text1"/>
                <w:szCs w:val="16"/>
              </w:rPr>
            </w:pPr>
            <w:r w:rsidRPr="005C29F8">
              <w:rPr>
                <w:rFonts w:cs="Arial"/>
                <w:color w:val="000000" w:themeColor="text1"/>
                <w:szCs w:val="16"/>
              </w:rPr>
              <w:t>99.29%</w:t>
            </w:r>
          </w:p>
        </w:tc>
        <w:tc>
          <w:tcPr>
            <w:tcW w:w="455" w:type="pct"/>
            <w:shd w:val="clear" w:color="auto" w:fill="auto"/>
            <w:vAlign w:val="center"/>
          </w:tcPr>
          <w:p w14:paraId="29CCCDC9" w14:textId="6AEC71D6"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30FF534A" w14:textId="737B02CB" w:rsidR="004D1EAB" w:rsidRPr="005C29F8" w:rsidRDefault="004D1EAB" w:rsidP="00A018D4">
            <w:pPr>
              <w:jc w:val="center"/>
              <w:rPr>
                <w:rFonts w:cs="Arial"/>
                <w:color w:val="000000" w:themeColor="text1"/>
                <w:szCs w:val="16"/>
              </w:rPr>
            </w:pPr>
            <w:r w:rsidRPr="005C29F8">
              <w:rPr>
                <w:rFonts w:cs="Arial"/>
                <w:color w:val="000000" w:themeColor="text1"/>
                <w:szCs w:val="16"/>
              </w:rPr>
              <w:t>96.60%</w:t>
            </w:r>
          </w:p>
        </w:tc>
        <w:tc>
          <w:tcPr>
            <w:tcW w:w="641" w:type="pct"/>
            <w:tcBorders>
              <w:bottom w:val="single" w:sz="4" w:space="0" w:color="auto"/>
            </w:tcBorders>
            <w:shd w:val="clear" w:color="auto" w:fill="auto"/>
            <w:vAlign w:val="bottom"/>
          </w:tcPr>
          <w:p w14:paraId="4E2B0B5C" w14:textId="60727351" w:rsidR="004D1EAB" w:rsidRPr="005C29F8" w:rsidRDefault="004D1EAB" w:rsidP="00A018D4">
            <w:pPr>
              <w:jc w:val="center"/>
              <w:rPr>
                <w:rFonts w:cs="Arial"/>
                <w:color w:val="000000" w:themeColor="text1"/>
                <w:szCs w:val="16"/>
              </w:rPr>
            </w:pPr>
            <w:r w:rsidRPr="005C29F8">
              <w:rPr>
                <w:rFonts w:cs="Arial"/>
                <w:color w:val="000000" w:themeColor="text1"/>
                <w:szCs w:val="16"/>
              </w:rPr>
              <w:t>96.61%</w:t>
            </w:r>
          </w:p>
        </w:tc>
        <w:tc>
          <w:tcPr>
            <w:tcW w:w="641" w:type="pct"/>
            <w:tcBorders>
              <w:bottom w:val="single" w:sz="4" w:space="0" w:color="auto"/>
            </w:tcBorders>
            <w:shd w:val="clear" w:color="auto" w:fill="auto"/>
            <w:vAlign w:val="bottom"/>
          </w:tcPr>
          <w:p w14:paraId="645F9B37" w14:textId="540FE827" w:rsidR="004D1EAB" w:rsidRPr="005C29F8" w:rsidRDefault="004D1EAB" w:rsidP="00A018D4">
            <w:pPr>
              <w:jc w:val="center"/>
              <w:rPr>
                <w:rFonts w:cs="Arial"/>
                <w:color w:val="000000" w:themeColor="text1"/>
                <w:szCs w:val="16"/>
              </w:rPr>
            </w:pPr>
            <w:r w:rsidRPr="005C29F8">
              <w:rPr>
                <w:rFonts w:cs="Arial"/>
                <w:color w:val="000000" w:themeColor="text1"/>
                <w:szCs w:val="16"/>
              </w:rPr>
              <w:t>96.82%</w:t>
            </w:r>
          </w:p>
        </w:tc>
        <w:tc>
          <w:tcPr>
            <w:tcW w:w="641" w:type="pct"/>
            <w:tcBorders>
              <w:bottom w:val="single" w:sz="4" w:space="0" w:color="auto"/>
            </w:tcBorders>
            <w:shd w:val="clear" w:color="auto" w:fill="auto"/>
            <w:vAlign w:val="bottom"/>
          </w:tcPr>
          <w:p w14:paraId="42D2822B" w14:textId="19F322C5" w:rsidR="004D1EAB" w:rsidRPr="005C29F8" w:rsidRDefault="004D1EAB" w:rsidP="00A018D4">
            <w:pPr>
              <w:jc w:val="center"/>
              <w:rPr>
                <w:rFonts w:cs="Arial"/>
                <w:color w:val="000000" w:themeColor="text1"/>
                <w:szCs w:val="16"/>
              </w:rPr>
            </w:pPr>
            <w:r w:rsidRPr="005C29F8">
              <w:rPr>
                <w:rFonts w:cs="Arial"/>
                <w:color w:val="000000" w:themeColor="text1"/>
                <w:szCs w:val="16"/>
              </w:rPr>
              <w:t>96.75%</w:t>
            </w:r>
          </w:p>
        </w:tc>
        <w:tc>
          <w:tcPr>
            <w:tcW w:w="624" w:type="pct"/>
            <w:tcBorders>
              <w:bottom w:val="single" w:sz="4" w:space="0" w:color="auto"/>
            </w:tcBorders>
            <w:shd w:val="clear" w:color="auto" w:fill="auto"/>
            <w:vAlign w:val="bottom"/>
          </w:tcPr>
          <w:p w14:paraId="20D888C2" w14:textId="20DBD572" w:rsidR="004D1EAB" w:rsidRPr="005C29F8" w:rsidRDefault="004D1EAB" w:rsidP="00A018D4">
            <w:pPr>
              <w:jc w:val="center"/>
              <w:rPr>
                <w:rFonts w:cs="Arial"/>
                <w:color w:val="000000" w:themeColor="text1"/>
                <w:szCs w:val="16"/>
              </w:rPr>
            </w:pPr>
            <w:r w:rsidRPr="005C29F8">
              <w:rPr>
                <w:rFonts w:cs="Arial"/>
                <w:color w:val="000000" w:themeColor="text1"/>
                <w:szCs w:val="16"/>
              </w:rPr>
              <w:t>97.63%</w:t>
            </w:r>
          </w:p>
        </w:tc>
      </w:tr>
      <w:tr w:rsidR="005C29F8" w:rsidRPr="005C29F8" w14:paraId="0B6EB437" w14:textId="77777777" w:rsidTr="00044B5C">
        <w:trPr>
          <w:trHeight w:val="152"/>
        </w:trPr>
        <w:tc>
          <w:tcPr>
            <w:tcW w:w="331" w:type="pct"/>
            <w:shd w:val="clear" w:color="auto" w:fill="auto"/>
            <w:vAlign w:val="center"/>
          </w:tcPr>
          <w:p w14:paraId="205ACFEF" w14:textId="77777777" w:rsidR="002A4DA7" w:rsidRPr="00691ABA" w:rsidRDefault="002A4DA7">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4BBFD243" w14:textId="18F23EAA" w:rsidR="002A4DA7" w:rsidRPr="005C29F8" w:rsidDel="000B2DCB" w:rsidRDefault="002A4DA7" w:rsidP="00A018D4">
            <w:pPr>
              <w:jc w:val="center"/>
              <w:rPr>
                <w:rFonts w:cs="Arial"/>
                <w:color w:val="000000" w:themeColor="text1"/>
                <w:szCs w:val="16"/>
              </w:rPr>
            </w:pPr>
            <w:r w:rsidRPr="005C29F8">
              <w:rPr>
                <w:rFonts w:cs="Arial"/>
                <w:color w:val="000000" w:themeColor="text1"/>
                <w:szCs w:val="16"/>
              </w:rPr>
              <w:t>HS</w:t>
            </w:r>
          </w:p>
        </w:tc>
        <w:tc>
          <w:tcPr>
            <w:tcW w:w="500" w:type="pct"/>
            <w:shd w:val="clear" w:color="auto" w:fill="auto"/>
            <w:vAlign w:val="center"/>
          </w:tcPr>
          <w:p w14:paraId="182D8FC3" w14:textId="6FA9BB1F" w:rsidR="00D1639C" w:rsidRPr="005C29F8" w:rsidRDefault="008E64EB" w:rsidP="006A01BD">
            <w:pPr>
              <w:jc w:val="center"/>
              <w:rPr>
                <w:color w:val="000000" w:themeColor="text1"/>
              </w:rPr>
            </w:pPr>
            <w:r w:rsidRPr="005C29F8">
              <w:rPr>
                <w:color w:val="000000" w:themeColor="text1"/>
              </w:rPr>
              <w:t>2005</w:t>
            </w:r>
          </w:p>
        </w:tc>
        <w:tc>
          <w:tcPr>
            <w:tcW w:w="455" w:type="pct"/>
            <w:shd w:val="clear" w:color="auto" w:fill="auto"/>
            <w:vAlign w:val="center"/>
          </w:tcPr>
          <w:p w14:paraId="3C0BCFD4" w14:textId="0A553718" w:rsidR="002A4DA7" w:rsidRPr="005C29F8" w:rsidRDefault="002A4DA7"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2C30C245" w14:textId="022F5403"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599AB21" w14:textId="6CB6A4B8"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346F790" w14:textId="35DA1870"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649442B3" w14:textId="0AE85955"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26CFC2BE" w14:textId="0EB7C0CA" w:rsidR="002A4DA7" w:rsidRPr="005C29F8" w:rsidRDefault="002A4DA7"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05BFED" w14:textId="77777777" w:rsidTr="00044B5C">
        <w:trPr>
          <w:trHeight w:val="80"/>
        </w:trPr>
        <w:tc>
          <w:tcPr>
            <w:tcW w:w="331" w:type="pct"/>
            <w:shd w:val="clear" w:color="auto" w:fill="auto"/>
            <w:vAlign w:val="center"/>
          </w:tcPr>
          <w:p w14:paraId="12297229" w14:textId="5AA73D0E" w:rsidR="004D1EAB" w:rsidRPr="00691ABA" w:rsidRDefault="004D1EAB">
            <w:pPr>
              <w:spacing w:before="0" w:after="0"/>
              <w:jc w:val="center"/>
              <w:rPr>
                <w:rFonts w:cs="Arial"/>
                <w:b/>
                <w:bCs/>
                <w:color w:val="000000" w:themeColor="text1"/>
                <w:szCs w:val="16"/>
              </w:rPr>
            </w:pPr>
            <w:r w:rsidRPr="00691ABA">
              <w:rPr>
                <w:rFonts w:cs="Arial"/>
                <w:b/>
                <w:bCs/>
                <w:color w:val="000000" w:themeColor="text1"/>
                <w:szCs w:val="16"/>
              </w:rPr>
              <w:t>G</w:t>
            </w:r>
          </w:p>
        </w:tc>
        <w:tc>
          <w:tcPr>
            <w:tcW w:w="542" w:type="pct"/>
            <w:shd w:val="clear" w:color="auto" w:fill="auto"/>
            <w:vAlign w:val="center"/>
          </w:tcPr>
          <w:p w14:paraId="5B0D47FD" w14:textId="5CDE32B4" w:rsidR="004D1EAB" w:rsidRPr="005C29F8" w:rsidRDefault="004D1EAB">
            <w:pPr>
              <w:spacing w:before="0" w:after="0"/>
              <w:jc w:val="center"/>
              <w:rPr>
                <w:rFonts w:cs="Arial"/>
                <w:color w:val="000000" w:themeColor="text1"/>
                <w:szCs w:val="16"/>
              </w:rPr>
            </w:pPr>
            <w:r w:rsidRPr="005C29F8">
              <w:rPr>
                <w:rFonts w:cs="Arial"/>
                <w:color w:val="000000" w:themeColor="text1"/>
                <w:szCs w:val="16"/>
              </w:rPr>
              <w:t>HS</w:t>
            </w:r>
          </w:p>
        </w:tc>
        <w:tc>
          <w:tcPr>
            <w:tcW w:w="500" w:type="pct"/>
            <w:shd w:val="clear" w:color="auto" w:fill="auto"/>
          </w:tcPr>
          <w:p w14:paraId="0512514E" w14:textId="4E6822F7" w:rsidR="004D1EAB" w:rsidRPr="005C29F8" w:rsidRDefault="00D1639C">
            <w:pPr>
              <w:spacing w:before="0" w:after="0"/>
              <w:jc w:val="center"/>
              <w:rPr>
                <w:rFonts w:cs="Arial"/>
                <w:color w:val="000000" w:themeColor="text1"/>
                <w:szCs w:val="16"/>
              </w:rPr>
            </w:pPr>
            <w:r w:rsidRPr="005C29F8">
              <w:rPr>
                <w:rFonts w:cs="Arial"/>
                <w:color w:val="000000" w:themeColor="text1"/>
                <w:szCs w:val="16"/>
              </w:rPr>
              <w:t>97.53%</w:t>
            </w:r>
          </w:p>
        </w:tc>
        <w:tc>
          <w:tcPr>
            <w:tcW w:w="455" w:type="pct"/>
            <w:shd w:val="clear" w:color="auto" w:fill="auto"/>
            <w:vAlign w:val="center"/>
          </w:tcPr>
          <w:p w14:paraId="0E77795E" w14:textId="26F0F5CC" w:rsidR="004D1EAB" w:rsidRPr="005C29F8" w:rsidRDefault="004D1EAB"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877D136" w14:textId="1CB4D667" w:rsidR="004D1EAB" w:rsidRPr="005C29F8" w:rsidRDefault="004D1EAB" w:rsidP="00A018D4">
            <w:pPr>
              <w:jc w:val="center"/>
              <w:rPr>
                <w:rFonts w:cs="Arial"/>
                <w:color w:val="000000" w:themeColor="text1"/>
                <w:szCs w:val="16"/>
              </w:rPr>
            </w:pPr>
            <w:r w:rsidRPr="005C29F8">
              <w:rPr>
                <w:rFonts w:cs="Arial"/>
                <w:color w:val="000000" w:themeColor="text1"/>
                <w:szCs w:val="16"/>
              </w:rPr>
              <w:t>92.45%</w:t>
            </w:r>
          </w:p>
        </w:tc>
        <w:tc>
          <w:tcPr>
            <w:tcW w:w="641" w:type="pct"/>
            <w:tcBorders>
              <w:bottom w:val="single" w:sz="4" w:space="0" w:color="auto"/>
            </w:tcBorders>
            <w:shd w:val="clear" w:color="auto" w:fill="auto"/>
            <w:vAlign w:val="bottom"/>
          </w:tcPr>
          <w:p w14:paraId="47A1B1B9" w14:textId="1B17123B" w:rsidR="004D1EAB" w:rsidRPr="005C29F8" w:rsidRDefault="004D1EAB" w:rsidP="00A018D4">
            <w:pPr>
              <w:jc w:val="center"/>
              <w:rPr>
                <w:rFonts w:cs="Arial"/>
                <w:color w:val="000000" w:themeColor="text1"/>
                <w:szCs w:val="16"/>
              </w:rPr>
            </w:pPr>
            <w:r w:rsidRPr="005C29F8">
              <w:rPr>
                <w:rFonts w:cs="Arial"/>
                <w:color w:val="000000" w:themeColor="text1"/>
                <w:szCs w:val="16"/>
              </w:rPr>
              <w:t>93.47%</w:t>
            </w:r>
          </w:p>
        </w:tc>
        <w:tc>
          <w:tcPr>
            <w:tcW w:w="641" w:type="pct"/>
            <w:tcBorders>
              <w:bottom w:val="single" w:sz="4" w:space="0" w:color="auto"/>
            </w:tcBorders>
            <w:shd w:val="clear" w:color="auto" w:fill="auto"/>
            <w:vAlign w:val="bottom"/>
          </w:tcPr>
          <w:p w14:paraId="212BED63" w14:textId="2F597A81" w:rsidR="004D1EAB" w:rsidRPr="005C29F8" w:rsidRDefault="004D1EAB" w:rsidP="00A018D4">
            <w:pPr>
              <w:jc w:val="center"/>
              <w:rPr>
                <w:rFonts w:cs="Arial"/>
                <w:color w:val="000000" w:themeColor="text1"/>
                <w:szCs w:val="16"/>
              </w:rPr>
            </w:pPr>
            <w:r w:rsidRPr="005C29F8">
              <w:rPr>
                <w:rFonts w:cs="Arial"/>
                <w:color w:val="000000" w:themeColor="text1"/>
                <w:szCs w:val="16"/>
              </w:rPr>
              <w:t>93.04%</w:t>
            </w:r>
          </w:p>
        </w:tc>
        <w:tc>
          <w:tcPr>
            <w:tcW w:w="641" w:type="pct"/>
            <w:tcBorders>
              <w:bottom w:val="single" w:sz="4" w:space="0" w:color="auto"/>
            </w:tcBorders>
            <w:shd w:val="clear" w:color="auto" w:fill="auto"/>
            <w:vAlign w:val="bottom"/>
          </w:tcPr>
          <w:p w14:paraId="2D3EA703" w14:textId="5EC9D593" w:rsidR="004D1EAB" w:rsidRPr="005C29F8" w:rsidRDefault="004D1EAB" w:rsidP="00A018D4">
            <w:pPr>
              <w:jc w:val="center"/>
              <w:rPr>
                <w:rFonts w:cs="Arial"/>
                <w:color w:val="000000" w:themeColor="text1"/>
                <w:szCs w:val="16"/>
              </w:rPr>
            </w:pPr>
            <w:r w:rsidRPr="005C29F8">
              <w:rPr>
                <w:rFonts w:cs="Arial"/>
                <w:color w:val="000000" w:themeColor="text1"/>
                <w:szCs w:val="16"/>
              </w:rPr>
              <w:t>94.53%</w:t>
            </w:r>
          </w:p>
        </w:tc>
        <w:tc>
          <w:tcPr>
            <w:tcW w:w="624" w:type="pct"/>
            <w:tcBorders>
              <w:bottom w:val="single" w:sz="4" w:space="0" w:color="auto"/>
            </w:tcBorders>
            <w:shd w:val="clear" w:color="auto" w:fill="auto"/>
            <w:vAlign w:val="bottom"/>
          </w:tcPr>
          <w:p w14:paraId="5799F2D5" w14:textId="2A6007C9" w:rsidR="004D1EAB" w:rsidRPr="005C29F8" w:rsidRDefault="004D1EAB" w:rsidP="00A018D4">
            <w:pPr>
              <w:jc w:val="center"/>
              <w:rPr>
                <w:rFonts w:cs="Arial"/>
                <w:color w:val="000000" w:themeColor="text1"/>
                <w:szCs w:val="16"/>
              </w:rPr>
            </w:pPr>
            <w:r w:rsidRPr="005C29F8">
              <w:rPr>
                <w:rFonts w:cs="Arial"/>
                <w:color w:val="000000" w:themeColor="text1"/>
                <w:szCs w:val="16"/>
              </w:rPr>
              <w:t>95.54%</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6BD665D1" w14:textId="2EBBD170" w:rsidTr="0033429D">
        <w:tc>
          <w:tcPr>
            <w:tcW w:w="600" w:type="pct"/>
            <w:shd w:val="clear" w:color="auto" w:fill="auto"/>
            <w:vAlign w:val="center"/>
          </w:tcPr>
          <w:p w14:paraId="2A84087F" w14:textId="4E8F495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646C0D6" w14:textId="23685D2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67079A1D" w14:textId="472018C9"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03609D46" w14:textId="75CA57B6"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A08D372" w14:textId="21C9A157" w:rsidTr="0033429D">
        <w:tc>
          <w:tcPr>
            <w:tcW w:w="600" w:type="pct"/>
            <w:shd w:val="clear" w:color="auto" w:fill="auto"/>
            <w:vAlign w:val="center"/>
          </w:tcPr>
          <w:p w14:paraId="3C8DF435" w14:textId="69FCCDF1"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CDE7790" w14:textId="3B90C904"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69727A60" w14:textId="7582F126"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6D9D8EC6" w14:textId="3C7C8315"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153FBAC" w14:textId="4CF0CC42" w:rsidTr="0033429D">
        <w:tc>
          <w:tcPr>
            <w:tcW w:w="600" w:type="pct"/>
            <w:shd w:val="clear" w:color="auto" w:fill="auto"/>
            <w:vAlign w:val="center"/>
          </w:tcPr>
          <w:p w14:paraId="1534F462" w14:textId="227579C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2B900847" w14:textId="76EEEF03"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5794C9DD" w14:textId="2D02C4E2"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F9A59DE" w14:textId="47544A43"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2E85B30" w14:textId="37CCA5B8" w:rsidTr="0033429D">
        <w:tc>
          <w:tcPr>
            <w:tcW w:w="600" w:type="pct"/>
            <w:shd w:val="clear" w:color="auto" w:fill="auto"/>
            <w:vAlign w:val="center"/>
          </w:tcPr>
          <w:p w14:paraId="3C348699" w14:textId="0FCCCDD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461C63AA" w14:textId="4C6E08F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5FFF6F7A" w14:textId="0C81CE4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4A28408E" w14:textId="345ACDD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40F87DC8" w14:textId="755D8248" w:rsidTr="0033429D">
        <w:tc>
          <w:tcPr>
            <w:tcW w:w="600" w:type="pct"/>
            <w:shd w:val="clear" w:color="auto" w:fill="auto"/>
            <w:vAlign w:val="center"/>
          </w:tcPr>
          <w:p w14:paraId="498F5397" w14:textId="3F0153B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1A8692C9" w14:textId="1925F67B"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5D7905D5" w14:textId="3806E960"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37B9F513" w14:textId="606D9DC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B2FFC5E" w14:textId="29733FE9" w:rsidTr="0033429D">
        <w:tc>
          <w:tcPr>
            <w:tcW w:w="600" w:type="pct"/>
            <w:shd w:val="clear" w:color="auto" w:fill="auto"/>
            <w:vAlign w:val="center"/>
          </w:tcPr>
          <w:p w14:paraId="6F116C6D" w14:textId="30F5B6E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0A797601" w14:textId="75A8D4E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16CE39B5" w14:textId="234E976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70B0C71F" w14:textId="68FB847E"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3</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6043383" w14:textId="1BB3D0D6" w:rsidTr="0033429D">
        <w:tc>
          <w:tcPr>
            <w:tcW w:w="600" w:type="pct"/>
            <w:shd w:val="clear" w:color="auto" w:fill="auto"/>
            <w:vAlign w:val="center"/>
          </w:tcPr>
          <w:p w14:paraId="2BCD3006" w14:textId="785241B2"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79B80F0C" w14:textId="52C3185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B &gt;=</w:t>
            </w:r>
          </w:p>
        </w:tc>
        <w:tc>
          <w:tcPr>
            <w:tcW w:w="1627" w:type="pct"/>
            <w:shd w:val="clear" w:color="auto" w:fill="auto"/>
            <w:vAlign w:val="center"/>
          </w:tcPr>
          <w:p w14:paraId="27B1E35D" w14:textId="0FBD6D6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4</w:t>
            </w:r>
          </w:p>
        </w:tc>
        <w:tc>
          <w:tcPr>
            <w:tcW w:w="2291" w:type="pct"/>
            <w:shd w:val="clear" w:color="auto" w:fill="auto"/>
            <w:vAlign w:val="center"/>
          </w:tcPr>
          <w:p w14:paraId="25263A65" w14:textId="2189A9FC"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169D5323" w14:textId="52B67B99" w:rsidTr="0033429D">
        <w:tc>
          <w:tcPr>
            <w:tcW w:w="600" w:type="pct"/>
            <w:shd w:val="clear" w:color="auto" w:fill="auto"/>
            <w:vAlign w:val="center"/>
          </w:tcPr>
          <w:p w14:paraId="21DAE194" w14:textId="06AF539C"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50CB8D7" w14:textId="080D022D"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C &gt;=</w:t>
            </w:r>
          </w:p>
        </w:tc>
        <w:tc>
          <w:tcPr>
            <w:tcW w:w="1627" w:type="pct"/>
            <w:shd w:val="clear" w:color="auto" w:fill="auto"/>
            <w:vAlign w:val="center"/>
          </w:tcPr>
          <w:p w14:paraId="45DBFB21" w14:textId="7BF3DA2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5</w:t>
            </w:r>
          </w:p>
        </w:tc>
        <w:tc>
          <w:tcPr>
            <w:tcW w:w="2291" w:type="pct"/>
            <w:shd w:val="clear" w:color="auto" w:fill="auto"/>
            <w:vAlign w:val="center"/>
          </w:tcPr>
          <w:p w14:paraId="341BF449" w14:textId="76191C29"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7F190C8" w14:textId="36F810AE" w:rsidTr="0033429D">
        <w:tc>
          <w:tcPr>
            <w:tcW w:w="600" w:type="pct"/>
            <w:shd w:val="clear" w:color="auto" w:fill="auto"/>
            <w:vAlign w:val="center"/>
          </w:tcPr>
          <w:p w14:paraId="69C3737B" w14:textId="0F274A96"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0A3230CB" w14:textId="6EE3497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D &gt;=</w:t>
            </w:r>
          </w:p>
        </w:tc>
        <w:tc>
          <w:tcPr>
            <w:tcW w:w="1627" w:type="pct"/>
            <w:shd w:val="clear" w:color="auto" w:fill="auto"/>
            <w:vAlign w:val="center"/>
          </w:tcPr>
          <w:p w14:paraId="1D8CD484" w14:textId="6FB74A9A"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6</w:t>
            </w:r>
          </w:p>
        </w:tc>
        <w:tc>
          <w:tcPr>
            <w:tcW w:w="2291" w:type="pct"/>
            <w:shd w:val="clear" w:color="auto" w:fill="auto"/>
            <w:vAlign w:val="center"/>
          </w:tcPr>
          <w:p w14:paraId="42869FEE" w14:textId="2086543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30C55BA5" w14:textId="7CF26203" w:rsidTr="0033429D">
        <w:tc>
          <w:tcPr>
            <w:tcW w:w="600" w:type="pct"/>
            <w:shd w:val="clear" w:color="auto" w:fill="auto"/>
            <w:vAlign w:val="center"/>
          </w:tcPr>
          <w:p w14:paraId="51A85D71" w14:textId="716517D5"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43158C32" w14:textId="73122C19"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E &gt;=</w:t>
            </w:r>
          </w:p>
        </w:tc>
        <w:tc>
          <w:tcPr>
            <w:tcW w:w="1627" w:type="pct"/>
            <w:shd w:val="clear" w:color="auto" w:fill="auto"/>
            <w:vAlign w:val="center"/>
          </w:tcPr>
          <w:p w14:paraId="2195A160" w14:textId="78997EA8"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7</w:t>
            </w:r>
          </w:p>
        </w:tc>
        <w:tc>
          <w:tcPr>
            <w:tcW w:w="2291" w:type="pct"/>
            <w:shd w:val="clear" w:color="auto" w:fill="auto"/>
            <w:vAlign w:val="center"/>
          </w:tcPr>
          <w:p w14:paraId="2CB03355" w14:textId="1B32B6F1"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2A40626E" w14:textId="1609A6C6" w:rsidTr="0033429D">
        <w:tc>
          <w:tcPr>
            <w:tcW w:w="600" w:type="pct"/>
            <w:shd w:val="clear" w:color="auto" w:fill="auto"/>
            <w:vAlign w:val="center"/>
          </w:tcPr>
          <w:p w14:paraId="49BC99D4" w14:textId="4E504130"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6366405E" w14:textId="51746067" w:rsidR="00085D89" w:rsidRPr="005C29F8" w:rsidRDefault="00085D89" w:rsidP="002A4DA7">
            <w:pPr>
              <w:spacing w:before="0" w:after="0"/>
              <w:jc w:val="center"/>
              <w:rPr>
                <w:rFonts w:cs="Arial"/>
                <w:color w:val="000000" w:themeColor="text1"/>
                <w:szCs w:val="16"/>
              </w:rPr>
            </w:pPr>
            <w:r w:rsidRPr="005C29F8">
              <w:rPr>
                <w:rFonts w:cs="Arial"/>
                <w:color w:val="000000" w:themeColor="text1"/>
                <w:szCs w:val="16"/>
              </w:rPr>
              <w:t>F &gt;=</w:t>
            </w:r>
          </w:p>
        </w:tc>
        <w:tc>
          <w:tcPr>
            <w:tcW w:w="1627" w:type="pct"/>
            <w:shd w:val="clear" w:color="auto" w:fill="auto"/>
            <w:vAlign w:val="center"/>
          </w:tcPr>
          <w:p w14:paraId="7059A0AC" w14:textId="31D22BE7"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Grade 8</w:t>
            </w:r>
          </w:p>
        </w:tc>
        <w:tc>
          <w:tcPr>
            <w:tcW w:w="2291" w:type="pct"/>
            <w:shd w:val="clear" w:color="auto" w:fill="auto"/>
            <w:vAlign w:val="center"/>
          </w:tcPr>
          <w:p w14:paraId="64C034A2" w14:textId="78A32A27"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323805" w14:textId="0EFACF92" w:rsidTr="0033429D">
        <w:tc>
          <w:tcPr>
            <w:tcW w:w="600" w:type="pct"/>
            <w:shd w:val="clear" w:color="auto" w:fill="auto"/>
            <w:vAlign w:val="center"/>
          </w:tcPr>
          <w:p w14:paraId="436962CB" w14:textId="77E19D2F" w:rsidR="00085D89" w:rsidRPr="005C29F8" w:rsidRDefault="00085D89">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3CFFEC53" w14:textId="40F0A288" w:rsidR="00085D89" w:rsidRPr="005C29F8" w:rsidRDefault="00085D89">
            <w:pPr>
              <w:spacing w:before="0" w:after="0"/>
              <w:jc w:val="center"/>
              <w:rPr>
                <w:rFonts w:cs="Arial"/>
                <w:color w:val="000000" w:themeColor="text1"/>
                <w:szCs w:val="16"/>
              </w:rPr>
            </w:pPr>
            <w:r w:rsidRPr="005C29F8">
              <w:rPr>
                <w:rFonts w:cs="Arial"/>
                <w:color w:val="000000" w:themeColor="text1"/>
                <w:szCs w:val="16"/>
              </w:rPr>
              <w:t>G &gt;=</w:t>
            </w:r>
          </w:p>
        </w:tc>
        <w:tc>
          <w:tcPr>
            <w:tcW w:w="1627" w:type="pct"/>
            <w:shd w:val="clear" w:color="auto" w:fill="auto"/>
            <w:vAlign w:val="center"/>
          </w:tcPr>
          <w:p w14:paraId="79FA8CDF" w14:textId="6295DE8C"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HS</w:t>
            </w:r>
          </w:p>
        </w:tc>
        <w:tc>
          <w:tcPr>
            <w:tcW w:w="2291" w:type="pct"/>
            <w:shd w:val="clear" w:color="auto" w:fill="auto"/>
            <w:vAlign w:val="center"/>
          </w:tcPr>
          <w:p w14:paraId="4119F92E" w14:textId="6A981C10"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2" w:name="_Toc392159273"/>
    </w:p>
    <w:p w14:paraId="2F64E7B3" w14:textId="729C4F93" w:rsidR="00344AE0" w:rsidRPr="005C29F8" w:rsidRDefault="00344AE0">
      <w:pPr>
        <w:rPr>
          <w:b/>
          <w:color w:val="000000" w:themeColor="text1"/>
        </w:rPr>
      </w:pPr>
      <w:r w:rsidRPr="005C29F8">
        <w:rPr>
          <w:b/>
          <w:color w:val="000000" w:themeColor="text1"/>
        </w:rPr>
        <w:lastRenderedPageBreak/>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2"/>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98.90%</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7A5387EE" w14:textId="77777777" w:rsidTr="0033429D">
        <w:tc>
          <w:tcPr>
            <w:tcW w:w="290" w:type="pct"/>
            <w:shd w:val="clear" w:color="auto" w:fill="auto"/>
            <w:vAlign w:val="center"/>
          </w:tcPr>
          <w:p w14:paraId="729AFDF4" w14:textId="72203283"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21" w:type="pct"/>
            <w:shd w:val="clear" w:color="auto" w:fill="auto"/>
            <w:vAlign w:val="center"/>
          </w:tcPr>
          <w:p w14:paraId="33B7C97E" w14:textId="00A363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F0D6576" w14:textId="5681B7E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FFA4863" w14:textId="7BBF24D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FB80D14" w14:textId="17D00589" w:rsidR="004E1F6F" w:rsidRPr="005C29F8" w:rsidRDefault="004E1F6F" w:rsidP="004E1F6F">
            <w:pPr>
              <w:jc w:val="center"/>
              <w:rPr>
                <w:rFonts w:cs="Arial"/>
                <w:color w:val="000000" w:themeColor="text1"/>
                <w:szCs w:val="16"/>
              </w:rPr>
            </w:pPr>
            <w:r w:rsidRPr="005C29F8">
              <w:rPr>
                <w:rFonts w:cs="Arial"/>
                <w:color w:val="000000" w:themeColor="text1"/>
                <w:szCs w:val="16"/>
              </w:rPr>
              <w:t>98.55%</w:t>
            </w:r>
          </w:p>
        </w:tc>
        <w:tc>
          <w:tcPr>
            <w:tcW w:w="766" w:type="pct"/>
            <w:shd w:val="clear" w:color="auto" w:fill="auto"/>
            <w:vAlign w:val="center"/>
          </w:tcPr>
          <w:p w14:paraId="12DA8FB6" w14:textId="2A9832BB"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5C7EB9E" w14:textId="563BFA2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1A6F692" w14:textId="65CC634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3D4E27A4" w14:textId="7BDAA77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6B346DD" w14:textId="77777777" w:rsidTr="0033429D">
        <w:tc>
          <w:tcPr>
            <w:tcW w:w="290" w:type="pct"/>
            <w:shd w:val="clear" w:color="auto" w:fill="auto"/>
            <w:vAlign w:val="center"/>
          </w:tcPr>
          <w:p w14:paraId="2B13C665" w14:textId="583EB28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21" w:type="pct"/>
            <w:shd w:val="clear" w:color="auto" w:fill="auto"/>
            <w:vAlign w:val="center"/>
          </w:tcPr>
          <w:p w14:paraId="6D97D346" w14:textId="45F7C60D"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30AED5C7" w14:textId="49786478"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3E4BF8E7" w14:textId="6EF481D9"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039885F2" w14:textId="68486387" w:rsidR="004E1F6F" w:rsidRPr="005C29F8" w:rsidRDefault="004E1F6F" w:rsidP="004E1F6F">
            <w:pPr>
              <w:jc w:val="center"/>
              <w:rPr>
                <w:rFonts w:cs="Arial"/>
                <w:color w:val="000000" w:themeColor="text1"/>
                <w:szCs w:val="16"/>
              </w:rPr>
            </w:pPr>
            <w:r w:rsidRPr="005C29F8">
              <w:rPr>
                <w:rFonts w:cs="Arial"/>
                <w:color w:val="000000" w:themeColor="text1"/>
                <w:szCs w:val="16"/>
              </w:rPr>
              <w:t>99.02%</w:t>
            </w:r>
          </w:p>
        </w:tc>
        <w:tc>
          <w:tcPr>
            <w:tcW w:w="766" w:type="pct"/>
            <w:shd w:val="clear" w:color="auto" w:fill="auto"/>
            <w:vAlign w:val="center"/>
          </w:tcPr>
          <w:p w14:paraId="0D574818" w14:textId="0B8E29B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68757684" w14:textId="14D897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7D508FD3" w14:textId="5052E8A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16AA84BF" w14:textId="66A4BF3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CD51123" w14:textId="77777777" w:rsidTr="0033429D">
        <w:tc>
          <w:tcPr>
            <w:tcW w:w="290" w:type="pct"/>
            <w:shd w:val="clear" w:color="auto" w:fill="auto"/>
            <w:vAlign w:val="center"/>
          </w:tcPr>
          <w:p w14:paraId="790216D1" w14:textId="7854482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21" w:type="pct"/>
            <w:shd w:val="clear" w:color="auto" w:fill="auto"/>
            <w:vAlign w:val="center"/>
          </w:tcPr>
          <w:p w14:paraId="7C34CF41" w14:textId="3166063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60324590" w14:textId="2AB323B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03A3860D" w14:textId="352661E3"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335A40F1" w14:textId="112E2B36" w:rsidR="004E1F6F" w:rsidRPr="005C29F8" w:rsidRDefault="004E1F6F" w:rsidP="004E1F6F">
            <w:pPr>
              <w:jc w:val="center"/>
              <w:rPr>
                <w:rFonts w:cs="Arial"/>
                <w:color w:val="000000" w:themeColor="text1"/>
                <w:szCs w:val="16"/>
              </w:rPr>
            </w:pPr>
            <w:r w:rsidRPr="005C29F8">
              <w:rPr>
                <w:rFonts w:cs="Arial"/>
                <w:color w:val="000000" w:themeColor="text1"/>
                <w:szCs w:val="16"/>
              </w:rPr>
              <w:t>98.15%</w:t>
            </w:r>
          </w:p>
        </w:tc>
        <w:tc>
          <w:tcPr>
            <w:tcW w:w="766" w:type="pct"/>
            <w:shd w:val="clear" w:color="auto" w:fill="auto"/>
            <w:vAlign w:val="center"/>
          </w:tcPr>
          <w:p w14:paraId="287A3B70" w14:textId="1F85212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4470203" w14:textId="2F61D114"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325347C" w14:textId="3EE24CF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55B5B94" w14:textId="194AEAB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C844914" w14:textId="77777777" w:rsidTr="0033429D">
        <w:tc>
          <w:tcPr>
            <w:tcW w:w="290" w:type="pct"/>
            <w:shd w:val="clear" w:color="auto" w:fill="auto"/>
            <w:vAlign w:val="center"/>
          </w:tcPr>
          <w:p w14:paraId="176F7E66" w14:textId="5460C8D9"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21" w:type="pct"/>
            <w:shd w:val="clear" w:color="auto" w:fill="auto"/>
            <w:vAlign w:val="center"/>
          </w:tcPr>
          <w:p w14:paraId="458CD642" w14:textId="526E2D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2B50D736" w14:textId="356EE2D3"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575D0962" w14:textId="1C86054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273DDB7B" w14:textId="32512EC7" w:rsidR="004E1F6F" w:rsidRPr="005C29F8" w:rsidRDefault="004E1F6F" w:rsidP="004E1F6F">
            <w:pPr>
              <w:jc w:val="center"/>
              <w:rPr>
                <w:rFonts w:cs="Arial"/>
                <w:color w:val="000000" w:themeColor="text1"/>
                <w:szCs w:val="16"/>
              </w:rPr>
            </w:pPr>
            <w:r w:rsidRPr="005C29F8">
              <w:rPr>
                <w:rFonts w:cs="Arial"/>
                <w:color w:val="000000" w:themeColor="text1"/>
                <w:szCs w:val="16"/>
              </w:rPr>
              <w:t>98.42%</w:t>
            </w:r>
          </w:p>
        </w:tc>
        <w:tc>
          <w:tcPr>
            <w:tcW w:w="766" w:type="pct"/>
            <w:shd w:val="clear" w:color="auto" w:fill="auto"/>
            <w:vAlign w:val="center"/>
          </w:tcPr>
          <w:p w14:paraId="0B19C039" w14:textId="5C78CD0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75F00992" w14:textId="36949909"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14AC0F17" w14:textId="3ABE900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27CBB24F" w14:textId="78F7322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148C735" w14:textId="77777777" w:rsidTr="0033429D">
        <w:tc>
          <w:tcPr>
            <w:tcW w:w="290" w:type="pct"/>
            <w:shd w:val="clear" w:color="auto" w:fill="auto"/>
            <w:vAlign w:val="center"/>
          </w:tcPr>
          <w:p w14:paraId="609276B9" w14:textId="20060E2B"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21" w:type="pct"/>
            <w:shd w:val="clear" w:color="auto" w:fill="auto"/>
            <w:vAlign w:val="center"/>
          </w:tcPr>
          <w:p w14:paraId="13E35D85" w14:textId="57390FB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6DE17850" w14:textId="7A009855"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DD17E7C" w14:textId="5C853707"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8EE4AC3" w14:textId="0E49CC81" w:rsidR="004E1F6F" w:rsidRPr="005C29F8" w:rsidRDefault="004E1F6F" w:rsidP="004E1F6F">
            <w:pPr>
              <w:jc w:val="center"/>
              <w:rPr>
                <w:rFonts w:cs="Arial"/>
                <w:color w:val="000000" w:themeColor="text1"/>
                <w:szCs w:val="16"/>
              </w:rPr>
            </w:pPr>
            <w:r w:rsidRPr="005C29F8">
              <w:rPr>
                <w:rFonts w:cs="Arial"/>
                <w:color w:val="000000" w:themeColor="text1"/>
                <w:szCs w:val="16"/>
              </w:rPr>
              <w:t>97.60%</w:t>
            </w:r>
          </w:p>
        </w:tc>
        <w:tc>
          <w:tcPr>
            <w:tcW w:w="766" w:type="pct"/>
            <w:shd w:val="clear" w:color="auto" w:fill="auto"/>
            <w:vAlign w:val="center"/>
          </w:tcPr>
          <w:p w14:paraId="18B71474" w14:textId="3E7EF93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4298520C" w14:textId="386E41E8"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68908121" w14:textId="45CB8AF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AB6C8FA" w14:textId="28E641F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55F7F8B" w14:textId="77777777" w:rsidTr="0033429D">
        <w:tc>
          <w:tcPr>
            <w:tcW w:w="290" w:type="pct"/>
            <w:shd w:val="clear" w:color="auto" w:fill="auto"/>
            <w:vAlign w:val="center"/>
          </w:tcPr>
          <w:p w14:paraId="0167682F" w14:textId="235A393A"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21" w:type="pct"/>
            <w:shd w:val="clear" w:color="auto" w:fill="auto"/>
            <w:vAlign w:val="center"/>
          </w:tcPr>
          <w:p w14:paraId="2CD8FFBC" w14:textId="2B4D7B1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77149575" w14:textId="03E0F35D"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6BB6A728" w14:textId="7D9CF742"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5937A66F" w14:textId="220086AC" w:rsidR="004E1F6F" w:rsidRPr="005C29F8" w:rsidRDefault="004E1F6F" w:rsidP="004E1F6F">
            <w:pPr>
              <w:jc w:val="center"/>
              <w:rPr>
                <w:rFonts w:cs="Arial"/>
                <w:color w:val="000000" w:themeColor="text1"/>
                <w:szCs w:val="16"/>
              </w:rPr>
            </w:pPr>
            <w:r w:rsidRPr="005C29F8">
              <w:rPr>
                <w:rFonts w:cs="Arial"/>
                <w:color w:val="000000" w:themeColor="text1"/>
                <w:szCs w:val="16"/>
              </w:rPr>
              <w:t>95.48%</w:t>
            </w:r>
          </w:p>
        </w:tc>
        <w:tc>
          <w:tcPr>
            <w:tcW w:w="766" w:type="pct"/>
            <w:shd w:val="clear" w:color="auto" w:fill="auto"/>
            <w:vAlign w:val="center"/>
          </w:tcPr>
          <w:p w14:paraId="46F8E8BC" w14:textId="760F0A9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56054A2A" w14:textId="35A61D02"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23FB0D3E" w14:textId="1414E14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7137D125" w14:textId="5841EC0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lastRenderedPageBreak/>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98.88%</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3C5CE6C" w14:textId="77777777" w:rsidTr="0033429D">
        <w:tc>
          <w:tcPr>
            <w:tcW w:w="222" w:type="pct"/>
            <w:shd w:val="clear" w:color="auto" w:fill="auto"/>
            <w:vAlign w:val="center"/>
          </w:tcPr>
          <w:p w14:paraId="17123B1B" w14:textId="50BB2C71"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5" w:type="pct"/>
            <w:shd w:val="clear" w:color="auto" w:fill="auto"/>
            <w:vAlign w:val="center"/>
          </w:tcPr>
          <w:p w14:paraId="45DA42B4" w14:textId="1A29119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vAlign w:val="center"/>
          </w:tcPr>
          <w:p w14:paraId="31722F1C" w14:textId="07DC9DF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048616C6" w14:textId="565885A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2455FD" w14:textId="25614537" w:rsidR="004E1F6F" w:rsidRPr="005C29F8" w:rsidRDefault="004E1F6F" w:rsidP="004E1F6F">
            <w:pPr>
              <w:jc w:val="center"/>
              <w:rPr>
                <w:rFonts w:cs="Arial"/>
                <w:color w:val="000000" w:themeColor="text1"/>
                <w:szCs w:val="16"/>
              </w:rPr>
            </w:pPr>
            <w:r w:rsidRPr="005C29F8">
              <w:rPr>
                <w:rFonts w:cs="Arial"/>
                <w:color w:val="000000" w:themeColor="text1"/>
                <w:szCs w:val="16"/>
              </w:rPr>
              <w:t>98.55%</w:t>
            </w:r>
          </w:p>
        </w:tc>
        <w:tc>
          <w:tcPr>
            <w:tcW w:w="766" w:type="pct"/>
            <w:shd w:val="clear" w:color="auto" w:fill="auto"/>
            <w:vAlign w:val="center"/>
          </w:tcPr>
          <w:p w14:paraId="38039D42" w14:textId="4546874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DB4B85A" w14:textId="6DFB205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9114A8F" w14:textId="4F4B3C1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7661F26" w14:textId="727C954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73A5711" w14:textId="77777777" w:rsidTr="0033429D">
        <w:tc>
          <w:tcPr>
            <w:tcW w:w="222" w:type="pct"/>
            <w:shd w:val="clear" w:color="auto" w:fill="auto"/>
            <w:vAlign w:val="center"/>
          </w:tcPr>
          <w:p w14:paraId="3C25BE1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5" w:type="pct"/>
            <w:shd w:val="clear" w:color="auto" w:fill="auto"/>
            <w:vAlign w:val="center"/>
          </w:tcPr>
          <w:p w14:paraId="1B1F6BC3" w14:textId="48C76E5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vAlign w:val="center"/>
          </w:tcPr>
          <w:p w14:paraId="0EFA1043" w14:textId="35A4CB85"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A4E8BA5" w14:textId="1D0D18F7"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250005A" w14:textId="360EA34B" w:rsidR="004E1F6F" w:rsidRPr="005C29F8" w:rsidRDefault="004E1F6F" w:rsidP="004E1F6F">
            <w:pPr>
              <w:jc w:val="center"/>
              <w:rPr>
                <w:rFonts w:cs="Arial"/>
                <w:color w:val="000000" w:themeColor="text1"/>
                <w:szCs w:val="16"/>
              </w:rPr>
            </w:pPr>
            <w:r w:rsidRPr="005C29F8">
              <w:rPr>
                <w:rFonts w:cs="Arial"/>
                <w:color w:val="000000" w:themeColor="text1"/>
                <w:szCs w:val="16"/>
              </w:rPr>
              <w:t>99.02%</w:t>
            </w:r>
          </w:p>
        </w:tc>
        <w:tc>
          <w:tcPr>
            <w:tcW w:w="766" w:type="pct"/>
            <w:shd w:val="clear" w:color="auto" w:fill="auto"/>
            <w:vAlign w:val="center"/>
          </w:tcPr>
          <w:p w14:paraId="722A3424" w14:textId="24478E1D"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581F32CD" w14:textId="4D615B60"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3FECC7B3" w14:textId="2C921A8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79B60713" w14:textId="20FD718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1BE7924" w14:textId="77777777" w:rsidTr="0033429D">
        <w:tc>
          <w:tcPr>
            <w:tcW w:w="222" w:type="pct"/>
            <w:shd w:val="clear" w:color="auto" w:fill="auto"/>
            <w:vAlign w:val="center"/>
          </w:tcPr>
          <w:p w14:paraId="742B080E"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5" w:type="pct"/>
            <w:shd w:val="clear" w:color="auto" w:fill="auto"/>
            <w:vAlign w:val="center"/>
          </w:tcPr>
          <w:p w14:paraId="069B01DE" w14:textId="2E8D6AEF"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vAlign w:val="center"/>
          </w:tcPr>
          <w:p w14:paraId="31E0FBF8" w14:textId="0E208F67"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1F2F2EBD" w14:textId="1A836A6A"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7020D3BC" w14:textId="5F831C88" w:rsidR="004E1F6F" w:rsidRPr="005C29F8" w:rsidRDefault="004E1F6F" w:rsidP="004E1F6F">
            <w:pPr>
              <w:jc w:val="center"/>
              <w:rPr>
                <w:rFonts w:cs="Arial"/>
                <w:color w:val="000000" w:themeColor="text1"/>
                <w:szCs w:val="16"/>
              </w:rPr>
            </w:pPr>
            <w:r w:rsidRPr="005C29F8">
              <w:rPr>
                <w:rFonts w:cs="Arial"/>
                <w:color w:val="000000" w:themeColor="text1"/>
                <w:szCs w:val="16"/>
              </w:rPr>
              <w:t>98.18%</w:t>
            </w:r>
          </w:p>
        </w:tc>
        <w:tc>
          <w:tcPr>
            <w:tcW w:w="766" w:type="pct"/>
            <w:shd w:val="clear" w:color="auto" w:fill="auto"/>
            <w:vAlign w:val="center"/>
          </w:tcPr>
          <w:p w14:paraId="3667D3A6" w14:textId="40AD443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82F66FD" w14:textId="1FFDE73D"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D8ED006" w14:textId="28CF5C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4ACF6765" w14:textId="6A45F93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7D90299" w14:textId="77777777" w:rsidTr="0033429D">
        <w:tc>
          <w:tcPr>
            <w:tcW w:w="222" w:type="pct"/>
            <w:shd w:val="clear" w:color="auto" w:fill="auto"/>
            <w:vAlign w:val="center"/>
          </w:tcPr>
          <w:p w14:paraId="533A1FB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5" w:type="pct"/>
            <w:shd w:val="clear" w:color="auto" w:fill="auto"/>
            <w:vAlign w:val="center"/>
          </w:tcPr>
          <w:p w14:paraId="2B1CA8C6" w14:textId="6A353FD4"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vAlign w:val="center"/>
          </w:tcPr>
          <w:p w14:paraId="77DE72F5" w14:textId="122A0CFB"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BED20E8" w14:textId="3E961E34"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43144085" w14:textId="1225F1F5" w:rsidR="004E1F6F" w:rsidRPr="005C29F8" w:rsidRDefault="004E1F6F" w:rsidP="004E1F6F">
            <w:pPr>
              <w:jc w:val="center"/>
              <w:rPr>
                <w:rFonts w:cs="Arial"/>
                <w:color w:val="000000" w:themeColor="text1"/>
                <w:szCs w:val="16"/>
              </w:rPr>
            </w:pPr>
            <w:r w:rsidRPr="005C29F8">
              <w:rPr>
                <w:rFonts w:cs="Arial"/>
                <w:color w:val="000000" w:themeColor="text1"/>
                <w:szCs w:val="16"/>
              </w:rPr>
              <w:t>98.43%</w:t>
            </w:r>
          </w:p>
        </w:tc>
        <w:tc>
          <w:tcPr>
            <w:tcW w:w="766" w:type="pct"/>
            <w:shd w:val="clear" w:color="auto" w:fill="auto"/>
            <w:vAlign w:val="center"/>
          </w:tcPr>
          <w:p w14:paraId="7AFBF8CB" w14:textId="45CEF0B6"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F8472B7" w14:textId="73463C9B"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731B0C6" w14:textId="6B81AD4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8574AB0" w14:textId="25BA72A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0EFAD1C" w14:textId="77777777" w:rsidTr="0033429D">
        <w:tc>
          <w:tcPr>
            <w:tcW w:w="222" w:type="pct"/>
            <w:shd w:val="clear" w:color="auto" w:fill="auto"/>
            <w:vAlign w:val="center"/>
          </w:tcPr>
          <w:p w14:paraId="0B459E6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5" w:type="pct"/>
            <w:shd w:val="clear" w:color="auto" w:fill="auto"/>
            <w:vAlign w:val="center"/>
          </w:tcPr>
          <w:p w14:paraId="211984CE" w14:textId="585905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vAlign w:val="center"/>
          </w:tcPr>
          <w:p w14:paraId="08DB4BDC" w14:textId="7240B34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FF9FA5B" w14:textId="2011857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1406612F" w14:textId="6734D0EF" w:rsidR="004E1F6F" w:rsidRPr="005C29F8" w:rsidRDefault="004E1F6F" w:rsidP="004E1F6F">
            <w:pPr>
              <w:jc w:val="center"/>
              <w:rPr>
                <w:rFonts w:cs="Arial"/>
                <w:color w:val="000000" w:themeColor="text1"/>
                <w:szCs w:val="16"/>
              </w:rPr>
            </w:pPr>
            <w:r w:rsidRPr="005C29F8">
              <w:rPr>
                <w:rFonts w:cs="Arial"/>
                <w:color w:val="000000" w:themeColor="text1"/>
                <w:szCs w:val="16"/>
              </w:rPr>
              <w:t>97.63%</w:t>
            </w:r>
          </w:p>
        </w:tc>
        <w:tc>
          <w:tcPr>
            <w:tcW w:w="766" w:type="pct"/>
            <w:shd w:val="clear" w:color="auto" w:fill="auto"/>
            <w:vAlign w:val="center"/>
          </w:tcPr>
          <w:p w14:paraId="53CAFFAC" w14:textId="2FA8BC3C"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2DBF3AC8" w14:textId="0EC78A35"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1C3EE792" w14:textId="77A7249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34468882" w14:textId="220042FF"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0C7C96" w14:textId="77777777" w:rsidTr="0033429D">
        <w:tc>
          <w:tcPr>
            <w:tcW w:w="222" w:type="pct"/>
            <w:shd w:val="clear" w:color="auto" w:fill="auto"/>
            <w:vAlign w:val="center"/>
          </w:tcPr>
          <w:p w14:paraId="55D0C26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5" w:type="pct"/>
            <w:shd w:val="clear" w:color="auto" w:fill="auto"/>
            <w:vAlign w:val="center"/>
          </w:tcPr>
          <w:p w14:paraId="417A1835" w14:textId="2D3EBAB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vAlign w:val="center"/>
          </w:tcPr>
          <w:p w14:paraId="44BE7183" w14:textId="372995B0"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591579BE" w14:textId="5B3AC2A8"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27EC4EFC" w14:textId="6F6CEB82" w:rsidR="004E1F6F" w:rsidRPr="005C29F8" w:rsidRDefault="004E1F6F" w:rsidP="004E1F6F">
            <w:pPr>
              <w:jc w:val="center"/>
              <w:rPr>
                <w:rFonts w:cs="Arial"/>
                <w:color w:val="000000" w:themeColor="text1"/>
                <w:szCs w:val="16"/>
              </w:rPr>
            </w:pPr>
            <w:r w:rsidRPr="005C29F8">
              <w:rPr>
                <w:rFonts w:cs="Arial"/>
                <w:color w:val="000000" w:themeColor="text1"/>
                <w:szCs w:val="16"/>
              </w:rPr>
              <w:t>95.54%</w:t>
            </w:r>
          </w:p>
        </w:tc>
        <w:tc>
          <w:tcPr>
            <w:tcW w:w="766" w:type="pct"/>
            <w:shd w:val="clear" w:color="auto" w:fill="auto"/>
            <w:vAlign w:val="center"/>
          </w:tcPr>
          <w:p w14:paraId="2F9ECEAC" w14:textId="71242CE2"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7A6B6E01" w14:textId="19B1EBAA"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06680E2F" w14:textId="49C1FE7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60F4D140" w14:textId="13A321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3" w:name="_Toc382082367"/>
      <w:bookmarkStart w:id="14"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COVID-19 Impact Statement: In the spring of 2020, the Iowa Department of Education sent a request to the U.S. Department of Education (which was subsequently approved) to waive the requirements to administer all federal required assessments in the 2019-20 school year due to the global outbreak of the coronavirus, also known as COVID-19. As such, the Iowa Statewide Assessment of Student Progress (ISASP) was not administered in 2019-20 and there is no data to report for either Indicator 3B or Indicator 3C.</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3"/>
      <w:bookmarkEnd w:id="14"/>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5" w:name="_Toc384383330"/>
      <w:bookmarkStart w:id="16" w:name="_Toc392159282"/>
      <w:bookmarkStart w:id="17"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24.72%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37.41%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36.89%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35.10%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34.23%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24.71%</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26.56%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35.93%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35.21%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34.62%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33.82%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26.56%</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22.34%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35.43%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34.74%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34.11%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35.05%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22.34%</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22.03%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30.76%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29.71%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30.19%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30.32%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22.03%</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21.20%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30.82%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28.40%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29.00%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28.24%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21.22%</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19.27%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27.27%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26.27%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26.96%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26.05%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19.27%</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2018</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17.99%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32.00%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28.08%</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28.97%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26.68%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17.99%</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37.34%</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48.06%</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48.63%</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43.92%</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43.03%</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37.34%</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33.12%</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44.13%</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44.04%</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43.00%</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38.88%</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33.12%</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27.66%</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35.56%</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35.32%</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34.59%</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34.91%</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27.66%</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100.00%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26.71%</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31.78%</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30.64%</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30.61%</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29.54%</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26.71%</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24.35%</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41.40%</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42.08%</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39.55%</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40.06%</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24.35%</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22.94%</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27.37%</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26.49%</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25.81%</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25.37%</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22.94%</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2018</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100.00%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13.33%</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40.00%</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38.05%</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37.96%</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34.95%</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13.33%</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100.00%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w:t>
      </w:r>
      <w:r w:rsidRPr="005C29F8">
        <w:rPr>
          <w:rFonts w:cs="Arial"/>
          <w:color w:val="000000" w:themeColor="text1"/>
          <w:szCs w:val="16"/>
        </w:rPr>
        <w:lastRenderedPageBreak/>
        <w:t>Iowa Vocational Rehabilitation counselors and administrators, representatives from Institutes of Higher Education and other state and community organizations.</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 xml:space="preserve">f. IEPs in alternate assessment against alternate standards scored at or above </w:t>
            </w:r>
            <w:r w:rsidRPr="005C29F8">
              <w:rPr>
                <w:color w:val="000000" w:themeColor="text1"/>
              </w:rPr>
              <w:lastRenderedPageBreak/>
              <w:t>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24.71%</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26.56%</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22.34%</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22.03%</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21.22%</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19.27%</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17.99%</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37.34%</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33.12%</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27.66%</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26.71%</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24.35%</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22.94%</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13.33%</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100.00%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In the spring of 2020, the Iowa Department of Education sent a request to the U.S. Department of Education (which was subsequently approved) to waive the requirements to administer all federal required assessments in the 2019-20 school year due to the global outbreak of the coronavirus, also known as COVID-19. As such, the Iowa Statewide Assessment of Student Progress (ISASP) was not administered in 2019-20 and there is no data to report for either Indicator 3B or Indicator 3C.</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lastRenderedPageBreak/>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5"/>
      <w:bookmarkEnd w:id="16"/>
    </w:p>
    <w:p w14:paraId="6B24B370" w14:textId="77777777" w:rsidR="006E5AE4" w:rsidRPr="005C29F8" w:rsidRDefault="006E5AE4" w:rsidP="00A018D4">
      <w:pPr>
        <w:rPr>
          <w:color w:val="000000" w:themeColor="text1"/>
          <w:szCs w:val="20"/>
        </w:rPr>
      </w:pPr>
      <w:bookmarkStart w:id="18" w:name="_Toc384383331"/>
      <w:bookmarkStart w:id="19"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0" w:name="_Toc384383332"/>
      <w:bookmarkStart w:id="21" w:name="_Toc392159284"/>
      <w:bookmarkEnd w:id="18"/>
      <w:bookmarkEnd w:id="19"/>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1.36%</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1.50%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1.40%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1.40%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1.30%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1.76%</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1.81%</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1.52%</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1.61%</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0.92%</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1.30%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w:t>
      </w:r>
      <w:r w:rsidRPr="005C29F8">
        <w:rPr>
          <w:rFonts w:cs="Arial"/>
          <w:color w:val="000000" w:themeColor="text1"/>
          <w:szCs w:val="16"/>
        </w:rPr>
        <w:lastRenderedPageBreak/>
        <w:t xml:space="preserve">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0"/>
      <w:bookmarkEnd w:id="21"/>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324</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0.92%</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1.30%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1.54%</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The state attributes slippage to annual fluctuations in the data.</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The State’s definition of significant discrepancy is a rate ratio that exceeds the threshold of 3.50 for any single year of data. The State uses both in-school and out-of-school suspensions as well as expulsions in making this calculation. The district’s rate of suspensions or expulsions totaling 10 or more days is compared to the State’s rate of suspensions or expulsions totaling 10 or more days. The district’s rate is calculated by dividing by the number of students with an IEP removed for 10 or more days by the total number of students with an IEP in the district. The calculation for the State’s rate is the same. The rate ratio used to determine significant discrepancy is the district’s rate divided by the State’s rate. </w:t>
      </w:r>
      <w:r w:rsidRPr="005C29F8">
        <w:rPr>
          <w:rFonts w:cs="Arial"/>
          <w:color w:val="000000" w:themeColor="text1"/>
          <w:szCs w:val="16"/>
        </w:rPr>
        <w:br/>
        <w:t xml:space="preserve">In-school and out-of-school suspension are both defined as an “administrative or school board removal of a student from school classes or activities for disciplinary reasons,” with a student still being under the supervision of school officials during an in-school suspension. Expulsion is defined as “a school board removal of a student from school classes and activities for disciplinary reasons,” (Collecting and Reporting Juvenile Incident and Discipline Data in Iowa Schools, 2006). A district must have a minimum of 10 students with an IEP to be considered in the analysis. </w:t>
      </w:r>
      <w:r w:rsidRPr="005C29F8">
        <w:rPr>
          <w:rFonts w:cs="Arial"/>
          <w:color w:val="000000" w:themeColor="text1"/>
          <w:szCs w:val="16"/>
        </w:rPr>
        <w:br/>
        <w:t>The percent of districts with significant discrepancy is calculated by (1) identifying districts with a rate ratio of greater than or equal to 3.50, (2) dividing the number of districts with this significant discrepancy by the total number of districts in the state that met the minimum n of ten, and (3) multiplying by 100.</w:t>
      </w:r>
    </w:p>
    <w:p w14:paraId="47F07052" w14:textId="77777777" w:rsidR="00BB504D" w:rsidRPr="005C29F8" w:rsidRDefault="00BB504D" w:rsidP="004369B2">
      <w:pPr>
        <w:rPr>
          <w:b/>
          <w:color w:val="000000" w:themeColor="text1"/>
        </w:rPr>
      </w:pPr>
      <w:bookmarkStart w:id="22" w:name="_Toc384383334"/>
      <w:bookmarkStart w:id="23"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COVID-19 Impact Statement: Due to this indicator data being from the year before the reporting year (2018-2019), there is no impact from COVID on these data. The state anticipates that data from the 2019-2020 school year reported on the FFY 2021 SPP/APR in 2022 will have an impact.</w:t>
      </w:r>
    </w:p>
    <w:bookmarkEnd w:id="22"/>
    <w:bookmarkEnd w:id="23"/>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Districts identified as significantly discrepant participate in a district review consisting of the following areas relating to discipline/suspensions and expulsions: (1) A review and examination of district discipline data, (2) A review of policies, procedures and practices, (3) A review of documents (i.e., individual IEPs, student handbook to ensure alignment with board polices, etc.), (4) A review of the district Positive Behavioral Interventions and Supports, and (5) The development of a Corrective Action Plan, if necessary.</w:t>
      </w:r>
      <w:r w:rsidRPr="005C29F8">
        <w:rPr>
          <w:rFonts w:cs="Arial"/>
          <w:color w:val="000000" w:themeColor="text1"/>
          <w:szCs w:val="16"/>
        </w:rPr>
        <w:br/>
        <w:t>The State DID identify noncompliance with Part B requirements as a result of the review required by 34 CFR §300.170(b).</w:t>
      </w:r>
      <w:r w:rsidRPr="005C29F8">
        <w:rPr>
          <w:rFonts w:cs="Arial"/>
          <w:color w:val="000000" w:themeColor="text1"/>
          <w:szCs w:val="16"/>
        </w:rPr>
        <w:br/>
        <w:t>The State DID ensure that such policies, procedures, and practices were revised to comply with applicable requirements consistent with OSEP Memorandum 09-02, dated October 17, 2008.</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F8EF51C" w14:textId="56A16050" w:rsidR="00EA1474" w:rsidRDefault="00EA1474" w:rsidP="000D3273">
      <w:pPr>
        <w:rPr>
          <w:rFonts w:cs="Arial"/>
          <w:color w:val="000000" w:themeColor="text1"/>
          <w:szCs w:val="16"/>
        </w:rPr>
      </w:pPr>
      <w:r w:rsidRPr="005C29F8">
        <w:rPr>
          <w:rFonts w:cs="Arial"/>
          <w:b/>
          <w:color w:val="000000" w:themeColor="text1"/>
          <w:szCs w:val="16"/>
        </w:rPr>
        <w:t>If YES, select one of the following:</w:t>
      </w:r>
    </w:p>
    <w:p w14:paraId="41D44805" w14:textId="3EC1E585" w:rsidR="000D3273" w:rsidRPr="000D3273" w:rsidRDefault="003B64C0" w:rsidP="000D3273">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0179F7BE" w14:textId="17835A19" w:rsidR="002D57DA" w:rsidRPr="005C29F8" w:rsidRDefault="002D57DA" w:rsidP="001011BB">
      <w:pPr>
        <w:tabs>
          <w:tab w:val="left" w:pos="4068"/>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3F21F3CA" w14:textId="0BFC7BB8" w:rsidR="002D57DA" w:rsidRDefault="002B7490" w:rsidP="001011BB">
      <w:pPr>
        <w:rPr>
          <w:rFonts w:cs="Arial"/>
          <w:color w:val="000000" w:themeColor="text1"/>
          <w:szCs w:val="16"/>
        </w:rPr>
      </w:pPr>
      <w:r w:rsidRPr="005C29F8">
        <w:rPr>
          <w:rFonts w:cs="Arial"/>
          <w:color w:val="000000" w:themeColor="text1"/>
          <w:szCs w:val="16"/>
        </w:rPr>
        <w:t>Completed reviews (self-assessment) and the Corrective Action Plan are reviewed by the State and a desk audit is conducted to verify findings. The desk audit consists of the review of individual IEPs, review of documents (i.e., prior written notice, change in placement and manifestation determinations, functional behavioral assessments, behavior intervention plans, etc.). A final determination of findings is made by the State and a review of the Corrective Action Plan is conducted to ensure policies, procedures, and practices were revised to comply with applicable requirements.</w:t>
      </w:r>
    </w:p>
    <w:p w14:paraId="1295BAEB" w14:textId="77777777" w:rsidR="007E6F97" w:rsidRPr="005C29F8" w:rsidRDefault="007E6F97" w:rsidP="004369B2">
      <w:pPr>
        <w:rPr>
          <w:color w:val="000000" w:themeColor="text1"/>
        </w:rPr>
      </w:pPr>
      <w:bookmarkStart w:id="24" w:name="_Toc381956335"/>
      <w:bookmarkStart w:id="25" w:name="_Toc384383336"/>
      <w:bookmarkStart w:id="26"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24A37C77" w14:textId="7E97453C" w:rsidR="000C7B90" w:rsidRPr="005C29F8" w:rsidRDefault="00062E68" w:rsidP="004369B2">
      <w:pPr>
        <w:rPr>
          <w:color w:val="000000" w:themeColor="text1"/>
        </w:rPr>
      </w:pPr>
      <w:r w:rsidRPr="005C29F8">
        <w:rPr>
          <w:b/>
          <w:color w:val="000000" w:themeColor="text1"/>
        </w:rPr>
        <w:t>FFY 2018 Findings of Noncompliance Verified as Corrected</w:t>
      </w:r>
    </w:p>
    <w:p w14:paraId="2EEAB142"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22C88BB" w14:textId="2B7DB81A" w:rsidR="002D57DA" w:rsidRPr="005C29F8" w:rsidRDefault="002B7490" w:rsidP="000C7B90">
      <w:pPr>
        <w:rPr>
          <w:rFonts w:cs="Arial"/>
          <w:color w:val="000000" w:themeColor="text1"/>
          <w:szCs w:val="16"/>
        </w:rPr>
      </w:pPr>
      <w:r w:rsidRPr="005C29F8">
        <w:rPr>
          <w:rFonts w:cs="Arial"/>
          <w:color w:val="000000" w:themeColor="text1"/>
          <w:szCs w:val="16"/>
        </w:rPr>
        <w:t xml:space="preserve">The LEA completed reviews (self-assessment) and created a corrective action plan to address noncompliance, which are reviewed by the State. In addition, a desk audit, using the State data system, is conducted to verify findings. The desk audit consists of the review of individual IEPs, review of documents (i.e., prior written notice, change in placement and manifestation determinations, functional behavioral assessments, behavior intervention plans, etc.). A final determination of findings is made by the State and a review of the corrective action plan is conducted to ensure policies, procedures, and practices were revised to comply with applicable requirements. </w:t>
      </w:r>
      <w:r w:rsidRPr="005C29F8">
        <w:rPr>
          <w:rFonts w:cs="Arial"/>
          <w:color w:val="000000" w:themeColor="text1"/>
          <w:szCs w:val="16"/>
        </w:rPr>
        <w:br/>
        <w:t>The LEA is required to submit results of the implementation of their corrective action plan to verify the noncompliance has been corrected in future occurrences. The State verified that each LEA is correctly implementing the regulatory requirements by reviewing updated information in the State data system of a similar nature to the area of noncompliance identified in the original finding.</w:t>
      </w:r>
    </w:p>
    <w:p w14:paraId="19EA66A5"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8F91843" w14:textId="555534F3" w:rsidR="002D57DA" w:rsidRDefault="002B7490" w:rsidP="000C7B90">
      <w:pPr>
        <w:rPr>
          <w:rFonts w:cs="Arial"/>
          <w:color w:val="000000" w:themeColor="text1"/>
          <w:szCs w:val="16"/>
        </w:rPr>
      </w:pPr>
      <w:r w:rsidRPr="005C29F8">
        <w:rPr>
          <w:rFonts w:cs="Arial"/>
          <w:color w:val="000000" w:themeColor="text1"/>
          <w:szCs w:val="16"/>
        </w:rPr>
        <w:t xml:space="preserve">The State verified, through the State data system and review of the revised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that each individual case of noncompliance identified was corrected. The State (a) reviewed the revised policies, procedures and practices relating to the development and implementation of IEPs, the use of positive behavioral interventions and supports, and procedural safeguards of the LEA, (b) reviewed the revised practices for giving parents prior written notice for students involved in change of placements consistent with the discipline provisions of IDEA 2005 of the LEA, and (c) reviewed the revised district policies, procedures and practices regarding the discipline provisions of IDEA 2005 of the LEA.</w:t>
      </w:r>
    </w:p>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54" w:type="pct"/>
            <w:shd w:val="clear" w:color="auto" w:fill="auto"/>
          </w:tcPr>
          <w:p w14:paraId="38361EB5" w14:textId="479B3693" w:rsidR="000C7B90" w:rsidRPr="005C29F8" w:rsidRDefault="002B7490">
            <w:pPr>
              <w:jc w:val="center"/>
              <w:rPr>
                <w:rFonts w:cs="Arial"/>
                <w:noProof/>
                <w:color w:val="000000" w:themeColor="text1"/>
                <w:szCs w:val="16"/>
              </w:rPr>
            </w:pPr>
            <w:r w:rsidRPr="005C29F8">
              <w:rPr>
                <w:rFonts w:cs="Arial"/>
                <w:color w:val="000000" w:themeColor="text1"/>
                <w:szCs w:val="16"/>
              </w:rPr>
              <w:t>2</w:t>
            </w:r>
          </w:p>
        </w:tc>
        <w:tc>
          <w:tcPr>
            <w:tcW w:w="1350" w:type="pct"/>
            <w:shd w:val="clear" w:color="auto" w:fill="auto"/>
          </w:tcPr>
          <w:p w14:paraId="0F44D03C" w14:textId="3887F715" w:rsidR="000C7B90" w:rsidRPr="005C29F8" w:rsidRDefault="002B7490">
            <w:pPr>
              <w:jc w:val="center"/>
              <w:rPr>
                <w:rFonts w:cs="Arial"/>
                <w:noProof/>
                <w:color w:val="000000" w:themeColor="text1"/>
                <w:szCs w:val="16"/>
              </w:rPr>
            </w:pPr>
            <w:r w:rsidRPr="005C29F8">
              <w:rPr>
                <w:rFonts w:cs="Arial"/>
                <w:color w:val="000000" w:themeColor="text1"/>
                <w:szCs w:val="16"/>
              </w:rPr>
              <w:t>2</w:t>
            </w:r>
          </w:p>
        </w:tc>
        <w:tc>
          <w:tcPr>
            <w:tcW w:w="1269" w:type="pct"/>
            <w:shd w:val="clear" w:color="auto" w:fill="auto"/>
          </w:tcPr>
          <w:p w14:paraId="5DF55667" w14:textId="0913E6B4" w:rsidR="000C7B90"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74BF3CD2" w14:textId="0F74368A" w:rsidR="00D5193F" w:rsidRPr="005C29F8" w:rsidRDefault="00D5193F" w:rsidP="004369B2">
      <w:pPr>
        <w:rPr>
          <w:rFonts w:cs="Arial"/>
          <w:b/>
          <w:bCs/>
          <w:color w:val="000000" w:themeColor="text1"/>
          <w:szCs w:val="16"/>
        </w:rPr>
      </w:pPr>
      <w:r w:rsidRPr="005C29F8">
        <w:rPr>
          <w:rFonts w:cs="Arial"/>
          <w:b/>
          <w:bCs/>
          <w:color w:val="000000" w:themeColor="text1"/>
          <w:szCs w:val="16"/>
        </w:rPr>
        <w:t>FFY 2017</w:t>
      </w:r>
    </w:p>
    <w:p w14:paraId="1C2A9975" w14:textId="28FF6C1E" w:rsidR="000C7B90" w:rsidRPr="005C29F8" w:rsidRDefault="000C7B90" w:rsidP="004369B2">
      <w:pPr>
        <w:rPr>
          <w:color w:val="000000" w:themeColor="text1"/>
        </w:rPr>
      </w:pPr>
      <w:r w:rsidRPr="005C29F8">
        <w:rPr>
          <w:b/>
          <w:color w:val="000000" w:themeColor="text1"/>
        </w:rPr>
        <w:t>Findings of Noncompliance Verified as Corrected</w:t>
      </w:r>
    </w:p>
    <w:p w14:paraId="294DE42A" w14:textId="77777777"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1F179ACD" w14:textId="5A69585C" w:rsidR="002D57DA" w:rsidRPr="005C29F8" w:rsidRDefault="002B7490" w:rsidP="000C7B90">
      <w:pPr>
        <w:rPr>
          <w:rFonts w:cs="Arial"/>
          <w:color w:val="000000" w:themeColor="text1"/>
          <w:szCs w:val="16"/>
        </w:rPr>
      </w:pPr>
      <w:r w:rsidRPr="005C29F8">
        <w:rPr>
          <w:rFonts w:cs="Arial"/>
          <w:color w:val="000000" w:themeColor="text1"/>
          <w:szCs w:val="16"/>
        </w:rPr>
        <w:t>The previously uncorrected noncompliance from FFY 2017 occurred at the same district. The district received intensive, on-site visits from the Iowa Department of Education, as well as specialized support from expert mentors to address systemic issues in the district, including special education. Through these visits, progress status reports, and reviewing updated information in the state data system of a similar nature to the area of noncompliance identified in the original finding, the State verified that the LEA is correctly implementing the regulatory requirements.</w:t>
      </w:r>
    </w:p>
    <w:p w14:paraId="3F279C69" w14:textId="41576744" w:rsidR="000C7B90" w:rsidRPr="005C29F8" w:rsidRDefault="000C7B90" w:rsidP="000C7B90">
      <w:pPr>
        <w:rPr>
          <w:rFonts w:cs="Arial"/>
          <w:b/>
          <w:color w:val="000000" w:themeColor="text1"/>
          <w:szCs w:val="16"/>
        </w:rPr>
      </w:pPr>
      <w:r w:rsidRPr="005C29F8">
        <w:rPr>
          <w:rFonts w:cs="Arial"/>
          <w:b/>
          <w:color w:val="000000" w:themeColor="text1"/>
          <w:szCs w:val="16"/>
        </w:rPr>
        <w:t xml:space="preserve">Describe how the State verified that each </w:t>
      </w:r>
      <w:r w:rsidR="00DD3830"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F4BD0E9" w14:textId="38A4E6A4" w:rsidR="002D57DA" w:rsidRDefault="002B7490" w:rsidP="000C7B90">
      <w:pPr>
        <w:rPr>
          <w:rFonts w:cs="Arial"/>
          <w:color w:val="000000" w:themeColor="text1"/>
          <w:szCs w:val="16"/>
        </w:rPr>
      </w:pPr>
      <w:r w:rsidRPr="005C29F8">
        <w:rPr>
          <w:rFonts w:cs="Arial"/>
          <w:color w:val="000000" w:themeColor="text1"/>
          <w:szCs w:val="16"/>
        </w:rPr>
        <w:t xml:space="preserve">The State verified, through the State data system and review of the revised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that each individual case of noncompliance identified was corrected. The State (a) reviewed the revised policies, procedures and practices relating to the development and implementation of IEPs, the use of positive behavioral interventions and supports, and procedural safeguards of the LEA, (b) reviewed the revised practices for giving parents prior written notice for students involved in change of placements consistent with the discipline provisions of IDEA 2005 of the LEA, and (c) reviewed the revised district policies, procedures and practices regarding the discipline provisions of IDEA 2005 of the LEA.</w:t>
      </w:r>
    </w:p>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B7490" w:rsidP="00212954">
      <w:pPr>
        <w:rPr>
          <w:rFonts w:cs="Arial"/>
          <w:color w:val="000000" w:themeColor="text1"/>
          <w:szCs w:val="16"/>
        </w:rPr>
      </w:pPr>
      <w:r w:rsidRPr="005C29F8">
        <w:rPr>
          <w:rFonts w:cs="Arial"/>
          <w:color w:val="000000" w:themeColor="text1"/>
          <w:szCs w:val="16"/>
        </w:rPr>
        <w:t xml:space="preserve">The State must report, in the FFY 2020 SPP/APR, on the correction of noncompliance that the State identified in FFY 2019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it conducted pursuant to 34 C.F.R. § 300.170(b). When reporting on the correction of this noncompliance, the State must report that it has verified that each district with noncompliance identified by the State: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4"/>
      <w:bookmarkEnd w:id="25"/>
      <w:bookmarkEnd w:id="26"/>
    </w:p>
    <w:p w14:paraId="1BA30D93" w14:textId="77777777" w:rsidR="008637F8" w:rsidRPr="005C29F8" w:rsidRDefault="008637F8" w:rsidP="00A018D4">
      <w:pPr>
        <w:rPr>
          <w:color w:val="000000" w:themeColor="text1"/>
          <w:szCs w:val="20"/>
        </w:rPr>
      </w:pPr>
      <w:bookmarkStart w:id="27" w:name="_Toc384383338"/>
      <w:bookmarkStart w:id="28"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0.55%</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2.05%</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1.51%</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0.61%</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0.32%</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0.62%</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7"/>
      <w:bookmarkEnd w:id="28"/>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9</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321</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0.62%</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0.31%</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29"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 xml:space="preserve">The State’s definition of significant discrepancy is a rate ratio that exceeds the threshold of 3.50 for any one or more race/ethnicity category for any single year of data. The State uses both in-school and out-of-school suspensions as well as expulsions in making this calculation. The district’s rate of suspensions or expulsions totaling 10 or more days is compared to the State’s rate of suspensions or expulsions totaling 10 or more days for each race/ethnicity category. The district’s rate is calculated by dividing by the number of students with an IEP of each race/ethnicity removed for 10 or more days by the total number of students with an IEP of each race/ethnicity in the district. The calculation for the State’s rate is the same. The rate ratio used to determine significant discrepancy is the district’s rate divided by the State’s rate for each race/ethnicity category. In-school and out-of-school suspension are both defined as an “administrative or school board removal of a student from school classes or activities for disciplinary reasons,” with a student still being under the supervision of school officials during an in-school suspension. Expulsion is defined as “a school board removal of a student from school classes and activities for disciplinary reasons,” (Collecting and Reporting Juvenile Incident and Discipline Data in Iowa Schools, 2006). </w:t>
      </w:r>
      <w:r w:rsidRPr="005C29F8">
        <w:rPr>
          <w:rFonts w:cs="Arial"/>
          <w:color w:val="000000" w:themeColor="text1"/>
          <w:szCs w:val="16"/>
        </w:rPr>
        <w:br/>
        <w:t xml:space="preserve">A district must have a minimum of 10 students with an IEP in any one or more race/ethnicity categories to be considered in the analysis. </w:t>
      </w:r>
      <w:r w:rsidRPr="005C29F8">
        <w:rPr>
          <w:rFonts w:cs="Arial"/>
          <w:color w:val="000000" w:themeColor="text1"/>
          <w:szCs w:val="16"/>
        </w:rPr>
        <w:br/>
        <w:t>The percent of districts with significant discrepancy is calculated by (1) identifying districts with a rate ratio of greater than or equal to 3.50, (2) dividing the number of districts with this significant discrepancy by the total number of districts in the state that met the minimum n of ten, and (3) multiplying by 100.</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COVID-19 Impact Statement: Due to this indicator data being from the year before the reporting year (2018-2019), there is no impact from COVID on these data. The state anticipates that data from the 2019-2020 school year reported on the FFY 2021 SPP/APR in 2022 will have an impact.</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Districts identified as significantly discrepant participate in a district review consisting of the following areas relating to discipline/suspensions and expulsions: (1) A review and examination of district discipline data, (2) A review of policies, procedures and practices, (3) A review of documents (i.e., individual IEPs, student handbook to ensure alignment with board polices, etc.), (4) A review of the district Positive Behavioral Interventions and Supports, and (5) The development of a Corrective Action Plan, if necessary.</w:t>
      </w:r>
      <w:r w:rsidRPr="005C29F8">
        <w:rPr>
          <w:rFonts w:cs="Arial"/>
          <w:color w:val="000000" w:themeColor="text1"/>
          <w:szCs w:val="16"/>
        </w:rPr>
        <w:br/>
      </w:r>
      <w:r w:rsidRPr="005C29F8">
        <w:rPr>
          <w:rFonts w:cs="Arial"/>
          <w:color w:val="000000" w:themeColor="text1"/>
          <w:szCs w:val="16"/>
        </w:rPr>
        <w:br/>
        <w:t>The State DID identify noncompliance with Part B requirements as a result of the review required by 34 CFR §300.170(b).</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2C52C0B0" w14:textId="59E6D11C" w:rsidR="00616510" w:rsidRPr="005C29F8" w:rsidRDefault="007D4253" w:rsidP="009C613A">
      <w:pPr>
        <w:rPr>
          <w:rFonts w:cs="Arial"/>
          <w:b/>
          <w:color w:val="000000" w:themeColor="text1"/>
          <w:szCs w:val="16"/>
        </w:rPr>
      </w:pPr>
      <w:r w:rsidRPr="005C29F8">
        <w:rPr>
          <w:rFonts w:cs="Arial"/>
          <w:b/>
          <w:color w:val="000000" w:themeColor="text1"/>
          <w:szCs w:val="16"/>
        </w:rPr>
        <w:t>If YES, select one of the following:</w:t>
      </w:r>
    </w:p>
    <w:p w14:paraId="3AAA912C" w14:textId="12231485" w:rsidR="00616510" w:rsidRDefault="00616510" w:rsidP="009C613A">
      <w:pPr>
        <w:rPr>
          <w:rFonts w:cs="Arial"/>
          <w:color w:val="000000" w:themeColor="text1"/>
          <w:szCs w:val="16"/>
        </w:rPr>
      </w:pPr>
      <w:r w:rsidRPr="005C29F8">
        <w:rPr>
          <w:rFonts w:cs="Arial"/>
          <w:color w:val="000000" w:themeColor="text1"/>
          <w:szCs w:val="16"/>
        </w:rPr>
        <w:t>The State DID ensure that such policies, procedures, and practices were revised to comply with applicable requirements consistent with OSEP Memorandum 09-02, dated October 17, 2008.</w:t>
      </w:r>
    </w:p>
    <w:p w14:paraId="1790EB12" w14:textId="0A7C289B" w:rsidR="002D57DA" w:rsidRPr="005C29F8" w:rsidRDefault="002D57DA" w:rsidP="001011BB">
      <w:pPr>
        <w:tabs>
          <w:tab w:val="left" w:pos="4055"/>
        </w:tabs>
        <w:rPr>
          <w:rFonts w:cs="Arial"/>
          <w:b/>
          <w:color w:val="000000" w:themeColor="text1"/>
          <w:szCs w:val="16"/>
        </w:rPr>
      </w:pPr>
      <w:r w:rsidRPr="005C29F8">
        <w:rPr>
          <w:rFonts w:cs="Arial"/>
          <w:b/>
          <w:color w:val="000000" w:themeColor="text1"/>
          <w:szCs w:val="16"/>
        </w:rPr>
        <w:t>Describe how the State ensured that such policies, procedures, and practices were revised to comply with applicable requirements consistent with OSEP Memorandum 09-02, dated October 17, 2008</w:t>
      </w:r>
      <w:r w:rsidRPr="005C29F8">
        <w:rPr>
          <w:rFonts w:cs="Arial"/>
          <w:b/>
          <w:i/>
          <w:color w:val="000000" w:themeColor="text1"/>
          <w:szCs w:val="16"/>
        </w:rPr>
        <w:t>.</w:t>
      </w:r>
    </w:p>
    <w:p w14:paraId="2D96DC2B" w14:textId="33372855" w:rsidR="002D57DA" w:rsidRPr="005C29F8" w:rsidRDefault="002B7490" w:rsidP="001011BB">
      <w:pPr>
        <w:rPr>
          <w:rFonts w:cs="Arial"/>
          <w:i/>
          <w:color w:val="000000" w:themeColor="text1"/>
          <w:szCs w:val="16"/>
        </w:rPr>
      </w:pPr>
      <w:r w:rsidRPr="005C29F8">
        <w:rPr>
          <w:rFonts w:cs="Arial"/>
          <w:color w:val="000000" w:themeColor="text1"/>
          <w:szCs w:val="16"/>
        </w:rPr>
        <w:t>Completed reviews (self-assessment) and the Corrective Action Plan are reviewed by the State and a desk audit is conducted to verify findings. The desk audit consists of the review of individual IEPs, review of documents (i.e., prior written notice, change in placement and manifestation determinations, functional behavioral assessments, behavior intervention plans, etc.). A final determination of findings is made by the State and a review of the Corrective Action Plan is conducted to ensure policies, procedures, and practices were revised to comply with applicable requirements.</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0535932" w14:textId="69EDE934" w:rsidR="009A755E" w:rsidRPr="005C29F8" w:rsidRDefault="000C0900" w:rsidP="004369B2">
      <w:pPr>
        <w:rPr>
          <w:color w:val="000000" w:themeColor="text1"/>
        </w:rPr>
      </w:pPr>
      <w:r w:rsidRPr="005C29F8">
        <w:rPr>
          <w:b/>
          <w:color w:val="000000" w:themeColor="text1"/>
        </w:rPr>
        <w:t>FFY 2018 Findings of Noncompliance Verified as Corrected</w:t>
      </w:r>
    </w:p>
    <w:p w14:paraId="4891D6D0" w14:textId="6FEEF39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0EAB644" w14:textId="6FB464DA" w:rsidR="003C308E" w:rsidRPr="005C29F8" w:rsidRDefault="002B7490" w:rsidP="009A755E">
      <w:pPr>
        <w:rPr>
          <w:rFonts w:cs="Arial"/>
          <w:color w:val="000000" w:themeColor="text1"/>
          <w:szCs w:val="16"/>
        </w:rPr>
      </w:pPr>
      <w:r w:rsidRPr="005C29F8">
        <w:rPr>
          <w:rFonts w:cs="Arial"/>
          <w:color w:val="000000" w:themeColor="text1"/>
          <w:szCs w:val="16"/>
        </w:rPr>
        <w:t xml:space="preserve">The LEA completed reviews (self-assessment) and created a corrective action plan to address noncompliance, which are reviewed by the State. In addition, a desk audit, using the State data system, is conducted to verify findings. The desk audit consists of the review of individual IEPs, review of documents (i.e., prior written notice, change in placement and manifestation determinations, functional behavioral assessments, behavior intervention plans, etc.). A final determination of findings is made by the State and a review of the corrective action plan is conducted to ensure policies, procedures, and practices were revised to comply with applicable requirements. The LEA is required to submit results of the implementation of their corrective action plan to verify the noncompliance has been corrected in future occurrences. </w:t>
      </w:r>
      <w:r w:rsidRPr="005C29F8">
        <w:rPr>
          <w:rFonts w:cs="Arial"/>
          <w:color w:val="000000" w:themeColor="text1"/>
          <w:szCs w:val="16"/>
        </w:rPr>
        <w:br/>
        <w:t>The State verified that each LEA is correctly implementing the regulatory requirements by reviewing updated information in the State data system of a similar nature to the area of noncompliance identified in the original finding.</w:t>
      </w:r>
    </w:p>
    <w:p w14:paraId="529E9FA7" w14:textId="3D04F5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B8F3BB2" w14:textId="0FF7AF13" w:rsidR="003C308E" w:rsidRPr="005C29F8" w:rsidRDefault="002B7490" w:rsidP="009A755E">
      <w:pPr>
        <w:rPr>
          <w:rFonts w:cs="Arial"/>
          <w:color w:val="000000" w:themeColor="text1"/>
          <w:szCs w:val="16"/>
        </w:rPr>
      </w:pPr>
      <w:r w:rsidRPr="005C29F8">
        <w:rPr>
          <w:rFonts w:cs="Arial"/>
          <w:color w:val="000000" w:themeColor="text1"/>
          <w:szCs w:val="16"/>
        </w:rPr>
        <w:t xml:space="preserve">The State verified, through the State data system and review of the revised policies, </w:t>
      </w:r>
      <w:proofErr w:type="gramStart"/>
      <w:r w:rsidRPr="005C29F8">
        <w:rPr>
          <w:rFonts w:cs="Arial"/>
          <w:color w:val="000000" w:themeColor="text1"/>
          <w:szCs w:val="16"/>
        </w:rPr>
        <w:t>procedures</w:t>
      </w:r>
      <w:proofErr w:type="gramEnd"/>
      <w:r w:rsidRPr="005C29F8">
        <w:rPr>
          <w:rFonts w:cs="Arial"/>
          <w:color w:val="000000" w:themeColor="text1"/>
          <w:szCs w:val="16"/>
        </w:rPr>
        <w:t xml:space="preserve"> and practices that each individual case of noncompliance identified was corrected. </w:t>
      </w:r>
      <w:r w:rsidRPr="005C29F8">
        <w:rPr>
          <w:rFonts w:cs="Arial"/>
          <w:color w:val="000000" w:themeColor="text1"/>
          <w:szCs w:val="16"/>
        </w:rPr>
        <w:br/>
        <w:t>The State (a) reviewed the revised policies, procedures and practices relating to the development and implementation of IEPs, the use of positive behavioral interventions and supports, and procedural safeguards of the LEA, (b) reviewed the revised practices for giving parents prior written notice for students involved in change of placements consistent with the discipline provisions of IDEA 2005 of the LEA, and (c) reviewed the revised district policies, procedures and practices regarding the discipline provisions of IDEA 2005 of the LEA.</w:t>
      </w:r>
    </w:p>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9B02BC" w:rsidP="004E2151">
      <w:pPr>
        <w:rPr>
          <w:rFonts w:cs="Arial"/>
          <w:color w:val="000000" w:themeColor="text1"/>
          <w:szCs w:val="16"/>
        </w:rPr>
      </w:pPr>
    </w:p>
    <w:p w14:paraId="739A1EFB" w14:textId="4068617D" w:rsidR="004E2151" w:rsidRPr="005C29F8" w:rsidRDefault="004E2151" w:rsidP="004369B2">
      <w:pPr>
        <w:rPr>
          <w:b/>
          <w:color w:val="000000" w:themeColor="text1"/>
        </w:rPr>
      </w:pPr>
      <w:r w:rsidRPr="005C29F8">
        <w:rPr>
          <w:b/>
          <w:color w:val="000000" w:themeColor="text1"/>
        </w:rPr>
        <w:t>Response to actions required in FFY 2018 SPP/APR</w:t>
      </w:r>
    </w:p>
    <w:p w14:paraId="7AA3834F" w14:textId="729EC2A3" w:rsidR="004E2151" w:rsidRPr="005C29F8" w:rsidRDefault="004E2151" w:rsidP="004E2151">
      <w:pPr>
        <w:rPr>
          <w:rFonts w:cs="Arial"/>
          <w:color w:val="000000" w:themeColor="text1"/>
          <w:szCs w:val="16"/>
        </w:rPr>
      </w:pP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(greater than 0% actual target data for this indicator) for FFY 2019, the State must report on the status of correction of noncompliance identified in FFY 2019 for this indicator.  The State must demonstrate, in the FFY 2020 SPP/APR, that the districts identified with noncompliance in FFY 2019 have corrected the noncompliance,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(greater than 0% actual target data for this indicator), provide an explanation of why the State did not identify any findings of noncompliance in FFY 2019.</w:t>
      </w: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0"/>
      <w:r w:rsidRPr="005C29F8">
        <w:rPr>
          <w:color w:val="000000" w:themeColor="text1"/>
          <w:sz w:val="22"/>
        </w:rPr>
        <w:t>Education Environments (children 6-21)</w:t>
      </w:r>
      <w:bookmarkEnd w:id="17"/>
      <w:bookmarkEnd w:id="29"/>
    </w:p>
    <w:p w14:paraId="52AD89A1" w14:textId="77777777" w:rsidR="00775845" w:rsidRPr="005C29F8" w:rsidRDefault="00775845" w:rsidP="00A018D4">
      <w:pPr>
        <w:rPr>
          <w:color w:val="000000" w:themeColor="text1"/>
          <w:szCs w:val="20"/>
        </w:rPr>
      </w:pPr>
      <w:bookmarkStart w:id="30"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0"/>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65.00%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64.92%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65.63%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66.15%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69.44%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70.61%</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8.50%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7.50%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7.00%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10.80%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8.60%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8.90%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8.45%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8.14%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7.78%</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2.80%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2.70%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2.60%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2.50%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1.57%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1.51%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1.52%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1.37%</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65.00%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7.00%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2.50%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 xml:space="preserve">SY 2019-20 Child Count/Educational Environment </w:t>
            </w:r>
            <w:r w:rsidRPr="005C29F8">
              <w:rPr>
                <w:rFonts w:cs="Arial"/>
                <w:color w:val="000000" w:themeColor="text1"/>
                <w:szCs w:val="16"/>
              </w:rPr>
              <w:lastRenderedPageBreak/>
              <w:t>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lastRenderedPageBreak/>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61,842</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44,348</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4,466</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555</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181</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23</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44,348</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61,842</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70.61%</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71.71%</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4,466</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61,842</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7.78%</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7.22%</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759</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61,842</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1.37%</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2.50%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1.23%</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Note: Iowa is exercising the final year of flexibility for this indicator, and will report </w:t>
      </w:r>
      <w:proofErr w:type="gramStart"/>
      <w:r w:rsidRPr="005C29F8">
        <w:rPr>
          <w:rFonts w:cs="Arial"/>
          <w:color w:val="000000" w:themeColor="text1"/>
          <w:szCs w:val="16"/>
        </w:rPr>
        <w:t xml:space="preserve">5-year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with the school age (6-21) data beginning with SY 2020-2021 data for the SPP/APR due in February 2022. </w:t>
      </w:r>
      <w:r w:rsidRPr="005C29F8">
        <w:rPr>
          <w:rFonts w:cs="Arial"/>
          <w:color w:val="000000" w:themeColor="text1"/>
          <w:szCs w:val="16"/>
        </w:rPr>
        <w:br/>
      </w:r>
      <w:r w:rsidRPr="005C29F8">
        <w:rPr>
          <w:rFonts w:cs="Arial"/>
          <w:color w:val="000000" w:themeColor="text1"/>
          <w:szCs w:val="16"/>
        </w:rPr>
        <w:br/>
        <w:t>COVID-19 Impact Statement: Due to this indicator data being sourced from fall 2019-2020 enrollment, there was no impact from COVID-19 on the state’s ability to collect the data, or on reliability, validity, or completeness. The state anticipates the SY 2020-2021 data to be more impacted by COVID-19.</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lastRenderedPageBreak/>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1"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1"/>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41.00%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42.00%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45.00%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38.54%</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34.36%</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33.73%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33.58%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32.61%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32.36%</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8.00%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4.00%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9.35%</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7.17%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6.54%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6.42%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5.68%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5.32%</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45.00%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4.00%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2" w:name="_Toc382082378"/>
      <w:bookmarkStart w:id="33"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7,831</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2,602</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271</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5</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2,602</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7,831</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32.36%</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45.00%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33.23%</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285</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7,831</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5.32%</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3.64%</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Note: Iowa is exercising the final year of flexibility for this indicator, and will report </w:t>
      </w:r>
      <w:proofErr w:type="gramStart"/>
      <w:r w:rsidRPr="005C29F8">
        <w:rPr>
          <w:rFonts w:cs="Arial"/>
          <w:color w:val="000000" w:themeColor="text1"/>
          <w:szCs w:val="16"/>
        </w:rPr>
        <w:t xml:space="preserve">5-year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with the school age (6-21) data beginning with SY 2020-2021 data for the SPP/APR due in February 2022. </w:t>
      </w:r>
      <w:r w:rsidRPr="005C29F8">
        <w:rPr>
          <w:rFonts w:cs="Arial"/>
          <w:color w:val="000000" w:themeColor="text1"/>
          <w:szCs w:val="16"/>
        </w:rPr>
        <w:br/>
      </w:r>
      <w:r w:rsidRPr="005C29F8">
        <w:rPr>
          <w:rFonts w:cs="Arial"/>
          <w:color w:val="000000" w:themeColor="text1"/>
          <w:szCs w:val="16"/>
        </w:rPr>
        <w:br/>
        <w:t>COVID-19 Impact Statement: Due to this indicator data being sourced from fall 2019-2020 enrollment, there was no impact from COVID-19 on the state’s ability to collect the data, or on reliability, validity, or completeness. The state anticipates the SY 2020-2021 data to be more impacted by COVID-19.</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2"/>
      <w:bookmarkEnd w:id="33"/>
    </w:p>
    <w:p w14:paraId="1404DCF9" w14:textId="77777777" w:rsidR="00531E54" w:rsidRPr="005C29F8" w:rsidRDefault="00531E54" w:rsidP="00A018D4">
      <w:pPr>
        <w:rPr>
          <w:color w:val="000000" w:themeColor="text1"/>
          <w:szCs w:val="20"/>
        </w:rPr>
      </w:pPr>
      <w:bookmarkStart w:id="34"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4"/>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67.00%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66.25%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60.92%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62.96%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63.03%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65.06%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55.92%</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60.00%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53.54%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54.69%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55.84%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56.72%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57.60%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54.33%</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73.97%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68.42%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72.11%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71.77%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70.83%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65.00%</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34.50%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36.00%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34.92%</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29.44%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32.01%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32.23%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37.21%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33.17%</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62.00%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65.00%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56.67%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56.65%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58.79%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59.19%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59.27%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58.22%</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67.00%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54.98%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62.27%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60.13%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62.80%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63.24%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61.29%</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67.00%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60.00%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75.00%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36.00%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65.00%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67.00%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2,424</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32</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1.32%</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639</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26.36%</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518</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21.37%</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448</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18.48%</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787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32.47%</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w:t>
            </w:r>
            <w:r w:rsidRPr="005C29F8">
              <w:rPr>
                <w:rFonts w:cs="Arial"/>
                <w:color w:val="000000" w:themeColor="text1"/>
                <w:szCs w:val="16"/>
              </w:rPr>
              <w:lastRenderedPageBreak/>
              <w:t xml:space="preserve">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966</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1,637</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55.92%</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67.00%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59.01%</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1,235</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2,424</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54.33%</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60.00%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50.95%</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30</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1.24%</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818</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33.75%</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952</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39.27%</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527</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21.74%</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97</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4.00%</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1,479</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2,327</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63.56%</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624</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2,424</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33.17%</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36.00%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25.74%</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35</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1.44%</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588</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24.26%</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353</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14.56%</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456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18.81%</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992</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40.92%</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lastRenderedPageBreak/>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809</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1,432</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58.22%</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56.49%</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1,448</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2,424</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61.29%</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67.00%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59.74%</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 xml:space="preserve">The state attributes slippage to the </w:t>
            </w:r>
            <w:proofErr w:type="gramStart"/>
            <w:r w:rsidRPr="005C29F8">
              <w:rPr>
                <w:rFonts w:cs="Arial"/>
                <w:color w:val="000000" w:themeColor="text1"/>
                <w:szCs w:val="16"/>
              </w:rPr>
              <w:t>two and a half month</w:t>
            </w:r>
            <w:proofErr w:type="gramEnd"/>
            <w:r w:rsidRPr="005C29F8">
              <w:rPr>
                <w:rFonts w:cs="Arial"/>
                <w:color w:val="000000" w:themeColor="text1"/>
                <w:szCs w:val="16"/>
              </w:rPr>
              <w:t xml:space="preserve"> period of time in which schools were closed due to COVID-19, and voluntary services were inconsistent statewide during that time. </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 xml:space="preserve">The state attributes slippage to the </w:t>
            </w:r>
            <w:proofErr w:type="gramStart"/>
            <w:r w:rsidRPr="005C29F8">
              <w:rPr>
                <w:rFonts w:cs="Arial"/>
                <w:color w:val="000000" w:themeColor="text1"/>
                <w:szCs w:val="16"/>
              </w:rPr>
              <w:t>two and a half month</w:t>
            </w:r>
            <w:proofErr w:type="gramEnd"/>
            <w:r w:rsidRPr="005C29F8">
              <w:rPr>
                <w:rFonts w:cs="Arial"/>
                <w:color w:val="000000" w:themeColor="text1"/>
                <w:szCs w:val="16"/>
              </w:rPr>
              <w:t xml:space="preserve"> period of time in which schools were closed due to COVID-19, and voluntary services were inconsistent statewide during that time. </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 xml:space="preserve">The state attributes slippage to the </w:t>
            </w:r>
            <w:proofErr w:type="gramStart"/>
            <w:r w:rsidRPr="005C29F8">
              <w:rPr>
                <w:rFonts w:cs="Arial"/>
                <w:color w:val="000000" w:themeColor="text1"/>
                <w:szCs w:val="16"/>
              </w:rPr>
              <w:t>two and a half month</w:t>
            </w:r>
            <w:proofErr w:type="gramEnd"/>
            <w:r w:rsidRPr="005C29F8">
              <w:rPr>
                <w:rFonts w:cs="Arial"/>
                <w:color w:val="000000" w:themeColor="text1"/>
                <w:szCs w:val="16"/>
              </w:rPr>
              <w:t xml:space="preserve"> period of time in which schools were closed due to COVID-19, and voluntary services were inconsistent statewide during that time. </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 xml:space="preserve">The state attributes slippage to the </w:t>
            </w:r>
            <w:proofErr w:type="gramStart"/>
            <w:r w:rsidRPr="005C29F8">
              <w:rPr>
                <w:rFonts w:cs="Arial"/>
                <w:color w:val="000000" w:themeColor="text1"/>
                <w:szCs w:val="16"/>
              </w:rPr>
              <w:t>two and a half month</w:t>
            </w:r>
            <w:proofErr w:type="gramEnd"/>
            <w:r w:rsidRPr="005C29F8">
              <w:rPr>
                <w:rFonts w:cs="Arial"/>
                <w:color w:val="000000" w:themeColor="text1"/>
                <w:szCs w:val="16"/>
              </w:rPr>
              <w:t xml:space="preserve"> period of time in which schools were closed due to COVID-19, and voluntary services were inconsistent statewide during that time. </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 xml:space="preserve">The state attributes slippage to the </w:t>
            </w:r>
            <w:proofErr w:type="gramStart"/>
            <w:r w:rsidRPr="005C29F8">
              <w:rPr>
                <w:rFonts w:cs="Arial"/>
                <w:color w:val="000000" w:themeColor="text1"/>
                <w:szCs w:val="16"/>
              </w:rPr>
              <w:t>two and a half month</w:t>
            </w:r>
            <w:proofErr w:type="gramEnd"/>
            <w:r w:rsidRPr="005C29F8">
              <w:rPr>
                <w:rFonts w:cs="Arial"/>
                <w:color w:val="000000" w:themeColor="text1"/>
                <w:szCs w:val="16"/>
              </w:rPr>
              <w:t xml:space="preserve"> period of time in which schools were closed due to COVID-19, and voluntary services were inconsistent statewide during that time. </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5" w:name="_Toc382082381"/>
      <w:bookmarkStart w:id="36"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Early Childhood Outcomes (ECO) is a systematic process to determine children’s functioning compared to same-aged peers and to determine progress in skills and behaviors in the three ECO areas (A, B, C). The ECO data are gathered upon determination of eligibility for special education services. The ECO entry data for the Comparison to Peers are collected as part of the development of the Initial IEP and the ECO exit data for Comparison to Peers and Progress data are collected when the child exits or no longer receives early childhood special education services. These data are reported on the ECO Summary form that was adapted from the Child Outcomes Summary (COS) form developed by the National Early Child Outcomes Center. </w:t>
      </w:r>
      <w:r w:rsidRPr="005C29F8">
        <w:rPr>
          <w:rFonts w:cs="Arial"/>
          <w:color w:val="000000" w:themeColor="text1"/>
          <w:szCs w:val="16"/>
        </w:rPr>
        <w:br/>
        <w:t>A child's Comparison to Peers rating of his or her skills and behaviors are determined based on a triangulation of multiple sources of data gathered using methods such as Record review, Interview, Observation, and Test/Assessment (RIOT). The IEP Team determines the methods for collecting data based upon the unique needs of the child. The test/assessment instruments may include adaptive and developmental scales and curriculum-based, criterion-</w:t>
      </w:r>
      <w:proofErr w:type="gramStart"/>
      <w:r w:rsidRPr="005C29F8">
        <w:rPr>
          <w:rFonts w:cs="Arial"/>
          <w:color w:val="000000" w:themeColor="text1"/>
          <w:szCs w:val="16"/>
        </w:rPr>
        <w:t>referenced</w:t>
      </w:r>
      <w:proofErr w:type="gramEnd"/>
      <w:r w:rsidRPr="005C29F8">
        <w:rPr>
          <w:rFonts w:cs="Arial"/>
          <w:color w:val="000000" w:themeColor="text1"/>
          <w:szCs w:val="16"/>
        </w:rPr>
        <w:t xml:space="preserve"> and norm-referenced assessments. The ECO Summary form is used to summarize the child’s skills and behaviors in comparison to the functioning expected for the chronological age of the child as well as the child’s progress prior to exiting early childhood special education services in each of the three ECO areas. The ECO Summary form summarizes the analysis of a child's progress based on a triangulation of data such as progress on IEP goals and levels of independence in performance, regardless of the areas addressed on a child’s IEP. The ECO Summary form includes a seven-level outcome rating scale that summarizes each child’s level of functioning in each of the three ECO areas in relation to same-aged peers. A rating of six or seven indicates the ECO area was achieved at an age-appropriate level across a variety of settings and situations, and a rating of one through five indicates the child’s functioning was below age-appropriate skills expected of a child his or her age. Additionally, the IEP Team determines if a child has progressed or acquired new skills or behaviors in each of the three ECO areas and documents the child’s progress by responding to a “yes/no” question on the ECO Summary form.</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COVID-19 Impact Statement: COVID-19 impacted the completeness and reliability of these data collected, as schools and AEAs were closed for the last two months of the school year in the spring of 2020. Voluntary services availability was varied during the </w:t>
      </w:r>
      <w:proofErr w:type="gramStart"/>
      <w:r w:rsidRPr="005C29F8">
        <w:rPr>
          <w:rFonts w:cs="Arial"/>
          <w:color w:val="000000" w:themeColor="text1"/>
          <w:szCs w:val="16"/>
        </w:rPr>
        <w:t>time period</w:t>
      </w:r>
      <w:proofErr w:type="gramEnd"/>
      <w:r w:rsidRPr="005C29F8">
        <w:rPr>
          <w:rFonts w:cs="Arial"/>
          <w:color w:val="000000" w:themeColor="text1"/>
          <w:szCs w:val="16"/>
        </w:rPr>
        <w:t>, and the closures of schools and AEAs impacted final assessments.</w:t>
      </w:r>
    </w:p>
    <w:p w14:paraId="729220FB" w14:textId="2C05A12E" w:rsidR="000A2C83" w:rsidRPr="0033429D" w:rsidRDefault="00C96236" w:rsidP="008645AD">
      <w:pPr>
        <w:pStyle w:val="Heading2"/>
      </w:pPr>
      <w:r w:rsidRPr="0033429D">
        <w:lastRenderedPageBreak/>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5"/>
      <w:bookmarkEnd w:id="36"/>
    </w:p>
    <w:p w14:paraId="66FBCA03" w14:textId="77777777" w:rsidR="00B654C1" w:rsidRPr="005C29F8" w:rsidRDefault="00B654C1" w:rsidP="00A018D4">
      <w:pPr>
        <w:rPr>
          <w:color w:val="000000" w:themeColor="text1"/>
          <w:szCs w:val="20"/>
        </w:rPr>
      </w:pPr>
      <w:bookmarkStart w:id="37"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7"/>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75502588" w14:textId="77777777" w:rsidR="007E2779" w:rsidRPr="005C29F8" w:rsidRDefault="007E2779" w:rsidP="007E2779">
      <w:pPr>
        <w:pStyle w:val="Bold"/>
        <w:rPr>
          <w:color w:val="000000" w:themeColor="text1"/>
        </w:rPr>
      </w:pPr>
    </w:p>
    <w:p w14:paraId="727B6F00" w14:textId="79E68F2F" w:rsidR="008B600B" w:rsidRPr="005C29F8" w:rsidRDefault="005A338D"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8HISTDATAOPT2"/>
      </w:tblPr>
      <w:tblGrid>
        <w:gridCol w:w="1075"/>
        <w:gridCol w:w="1081"/>
        <w:gridCol w:w="809"/>
        <w:gridCol w:w="1565"/>
        <w:gridCol w:w="1565"/>
        <w:gridCol w:w="1565"/>
        <w:gridCol w:w="1565"/>
        <w:gridCol w:w="1565"/>
      </w:tblGrid>
      <w:tr w:rsidR="005C29F8" w:rsidRPr="005C29F8" w14:paraId="2D33FEF4" w14:textId="77777777" w:rsidTr="00887C29">
        <w:trPr>
          <w:trHeight w:val="350"/>
        </w:trPr>
        <w:tc>
          <w:tcPr>
            <w:tcW w:w="498" w:type="pct"/>
            <w:tcBorders>
              <w:top w:val="single" w:sz="4" w:space="0" w:color="auto"/>
              <w:left w:val="single" w:sz="4" w:space="0" w:color="auto"/>
              <w:bottom w:val="single" w:sz="4" w:space="0" w:color="auto"/>
              <w:right w:val="single" w:sz="4" w:space="0" w:color="auto"/>
            </w:tcBorders>
            <w:shd w:val="clear" w:color="auto" w:fill="auto"/>
            <w:vAlign w:val="bottom"/>
          </w:tcPr>
          <w:p w14:paraId="5EB3EEFE" w14:textId="03A7695C" w:rsidR="005A338D" w:rsidRPr="005C29F8" w:rsidRDefault="00D05754" w:rsidP="005A338D">
            <w:pPr>
              <w:spacing w:line="276" w:lineRule="auto"/>
              <w:jc w:val="center"/>
              <w:rPr>
                <w:rFonts w:cs="Arial"/>
                <w:b/>
                <w:color w:val="000000" w:themeColor="text1"/>
                <w:szCs w:val="16"/>
              </w:rPr>
            </w:pPr>
            <w:r>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7E4819B" w14:textId="655F9388"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44CF066" w14:textId="77777777" w:rsidR="005A338D" w:rsidRPr="005C29F8" w:rsidRDefault="005A338D" w:rsidP="005A338D">
            <w:pPr>
              <w:spacing w:line="276" w:lineRule="auto"/>
              <w:jc w:val="center"/>
              <w:rPr>
                <w:rFonts w:cs="Arial"/>
                <w:b/>
                <w:color w:val="000000" w:themeColor="text1"/>
                <w:szCs w:val="16"/>
              </w:rPr>
            </w:pPr>
            <w:r w:rsidRPr="005C29F8">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F51C6" w14:textId="7E09FE30"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0CECE" w14:textId="3FF827AD"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16A7F52" w14:textId="0BA19F87"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30F07" w14:textId="009C6F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48020" w14:textId="2BFD879A" w:rsidR="005A338D" w:rsidRPr="005C29F8" w:rsidRDefault="002B7490" w:rsidP="005A338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6BDFBB6B" w14:textId="77777777" w:rsidTr="00887C29">
        <w:trPr>
          <w:trHeight w:val="70"/>
        </w:trPr>
        <w:tc>
          <w:tcPr>
            <w:tcW w:w="498" w:type="pct"/>
            <w:tcBorders>
              <w:top w:val="single" w:sz="4" w:space="0" w:color="auto"/>
              <w:left w:val="single" w:sz="4" w:space="0" w:color="auto"/>
              <w:right w:val="single" w:sz="4" w:space="0" w:color="auto"/>
            </w:tcBorders>
            <w:shd w:val="clear" w:color="auto" w:fill="auto"/>
            <w:vAlign w:val="center"/>
          </w:tcPr>
          <w:p w14:paraId="3EC89A60" w14:textId="4FA54E8E"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top w:val="single" w:sz="4" w:space="0" w:color="auto"/>
              <w:left w:val="single" w:sz="4" w:space="0" w:color="auto"/>
              <w:right w:val="single" w:sz="4" w:space="0" w:color="auto"/>
            </w:tcBorders>
            <w:shd w:val="clear" w:color="auto" w:fill="auto"/>
          </w:tcPr>
          <w:p w14:paraId="30D73682" w14:textId="397B1726" w:rsidR="005A338D"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2E6B4" w14:textId="1EABBC06"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6695A30" w14:textId="4F3F96D0" w:rsidR="005A338D"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2B5B243" w14:textId="6107E7F9" w:rsidR="005A338D"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84917A" w14:textId="5FE4F2AA" w:rsidR="005A338D"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CDC6B1" w14:textId="6CC00003" w:rsidR="005A338D" w:rsidRPr="005C29F8" w:rsidRDefault="002B7490" w:rsidP="00A018D4">
            <w:pPr>
              <w:jc w:val="center"/>
              <w:rPr>
                <w:rFonts w:cs="Arial"/>
                <w:color w:val="000000" w:themeColor="text1"/>
                <w:szCs w:val="16"/>
              </w:rPr>
            </w:pPr>
            <w:r w:rsidRPr="005C29F8">
              <w:rPr>
                <w:rFonts w:cs="Arial"/>
                <w:color w:val="000000" w:themeColor="text1"/>
                <w:szCs w:val="16"/>
              </w:rPr>
              <w:t>85.00%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04C582E" w14:textId="20B89267" w:rsidR="005A338D" w:rsidRPr="005C29F8" w:rsidRDefault="002B7490" w:rsidP="00A018D4">
            <w:pPr>
              <w:jc w:val="center"/>
              <w:rPr>
                <w:rFonts w:cs="Arial"/>
                <w:color w:val="000000" w:themeColor="text1"/>
                <w:szCs w:val="16"/>
              </w:rPr>
            </w:pPr>
            <w:r w:rsidRPr="005C29F8">
              <w:rPr>
                <w:rFonts w:cs="Arial"/>
                <w:color w:val="000000" w:themeColor="text1"/>
                <w:szCs w:val="16"/>
              </w:rPr>
              <w:t>85.00%</w:t>
            </w:r>
          </w:p>
        </w:tc>
      </w:tr>
      <w:tr w:rsidR="005C29F8" w:rsidRPr="005C29F8" w14:paraId="5BE01A6E" w14:textId="77777777" w:rsidTr="00887C29">
        <w:trPr>
          <w:trHeight w:val="85"/>
        </w:trPr>
        <w:tc>
          <w:tcPr>
            <w:tcW w:w="498" w:type="pct"/>
            <w:tcBorders>
              <w:left w:val="single" w:sz="4" w:space="0" w:color="auto"/>
              <w:right w:val="single" w:sz="4" w:space="0" w:color="auto"/>
            </w:tcBorders>
            <w:shd w:val="clear" w:color="auto" w:fill="auto"/>
          </w:tcPr>
          <w:p w14:paraId="0125E87E" w14:textId="5AB29B88"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Preschool</w:t>
            </w:r>
          </w:p>
        </w:tc>
        <w:tc>
          <w:tcPr>
            <w:tcW w:w="501" w:type="pct"/>
            <w:tcBorders>
              <w:left w:val="single" w:sz="4" w:space="0" w:color="auto"/>
              <w:right w:val="single" w:sz="4" w:space="0" w:color="auto"/>
            </w:tcBorders>
            <w:shd w:val="clear" w:color="auto" w:fill="auto"/>
          </w:tcPr>
          <w:p w14:paraId="2654DD8D" w14:textId="0A21E59E" w:rsidR="005A338D" w:rsidRPr="005C29F8" w:rsidRDefault="002B7490" w:rsidP="00A018D4">
            <w:pPr>
              <w:jc w:val="center"/>
              <w:rPr>
                <w:rFonts w:cs="Arial"/>
                <w:color w:val="000000" w:themeColor="text1"/>
                <w:szCs w:val="16"/>
              </w:rPr>
            </w:pPr>
            <w:r w:rsidRPr="005C29F8">
              <w:rPr>
                <w:rFonts w:cs="Arial"/>
                <w:color w:val="000000" w:themeColor="text1"/>
                <w:szCs w:val="16"/>
              </w:rPr>
              <w:t>87.71%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43168"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21A83731" w14:textId="348F41D2" w:rsidR="005A338D" w:rsidRPr="005C29F8" w:rsidRDefault="002B7490" w:rsidP="00A018D4">
            <w:pPr>
              <w:jc w:val="center"/>
              <w:rPr>
                <w:rFonts w:cs="Arial"/>
                <w:color w:val="000000" w:themeColor="text1"/>
                <w:szCs w:val="16"/>
              </w:rPr>
            </w:pPr>
            <w:r w:rsidRPr="005C29F8">
              <w:rPr>
                <w:rFonts w:cs="Arial"/>
                <w:color w:val="000000" w:themeColor="text1"/>
                <w:szCs w:val="16"/>
              </w:rPr>
              <w:t>85.75%</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D5A0ACF" w14:textId="15CB8B48" w:rsidR="005A338D" w:rsidRPr="005C29F8" w:rsidRDefault="002B7490" w:rsidP="00A018D4">
            <w:pPr>
              <w:jc w:val="center"/>
              <w:rPr>
                <w:rFonts w:cs="Arial"/>
                <w:color w:val="000000" w:themeColor="text1"/>
                <w:szCs w:val="16"/>
              </w:rPr>
            </w:pPr>
            <w:r w:rsidRPr="005C29F8">
              <w:rPr>
                <w:rFonts w:cs="Arial"/>
                <w:color w:val="000000" w:themeColor="text1"/>
                <w:szCs w:val="16"/>
              </w:rPr>
              <w:t>80.64%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25D8BA5" w14:textId="09C400D5" w:rsidR="005A338D" w:rsidRPr="005C29F8" w:rsidRDefault="002B7490" w:rsidP="00A018D4">
            <w:pPr>
              <w:jc w:val="center"/>
              <w:rPr>
                <w:rFonts w:cs="Arial"/>
                <w:color w:val="000000" w:themeColor="text1"/>
                <w:szCs w:val="16"/>
              </w:rPr>
            </w:pPr>
            <w:r w:rsidRPr="005C29F8">
              <w:rPr>
                <w:rFonts w:cs="Arial"/>
                <w:color w:val="000000" w:themeColor="text1"/>
                <w:szCs w:val="16"/>
              </w:rPr>
              <w:t>87.71%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C2EC0B" w14:textId="7AAF32B9" w:rsidR="005A338D" w:rsidRPr="005C29F8" w:rsidRDefault="002B7490" w:rsidP="00A018D4">
            <w:pPr>
              <w:jc w:val="center"/>
              <w:rPr>
                <w:rFonts w:cs="Arial"/>
                <w:color w:val="000000" w:themeColor="text1"/>
                <w:szCs w:val="16"/>
              </w:rPr>
            </w:pPr>
            <w:r w:rsidRPr="005C29F8">
              <w:rPr>
                <w:rFonts w:cs="Arial"/>
                <w:color w:val="000000" w:themeColor="text1"/>
                <w:szCs w:val="16"/>
              </w:rPr>
              <w:t>89.07%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5E63731" w14:textId="7F8AF13B" w:rsidR="005A338D" w:rsidRPr="005C29F8" w:rsidRDefault="002B7490" w:rsidP="00A018D4">
            <w:pPr>
              <w:jc w:val="center"/>
              <w:rPr>
                <w:rFonts w:cs="Arial"/>
                <w:color w:val="000000" w:themeColor="text1"/>
                <w:szCs w:val="16"/>
              </w:rPr>
            </w:pPr>
            <w:r w:rsidRPr="005C29F8">
              <w:rPr>
                <w:rFonts w:cs="Arial"/>
                <w:color w:val="000000" w:themeColor="text1"/>
                <w:szCs w:val="16"/>
              </w:rPr>
              <w:t>90.95%</w:t>
            </w:r>
          </w:p>
        </w:tc>
      </w:tr>
      <w:tr w:rsidR="005C29F8" w:rsidRPr="005C29F8" w14:paraId="057E693C" w14:textId="77777777" w:rsidTr="00887C29">
        <w:trPr>
          <w:trHeight w:val="357"/>
        </w:trPr>
        <w:tc>
          <w:tcPr>
            <w:tcW w:w="498" w:type="pct"/>
            <w:tcBorders>
              <w:top w:val="single" w:sz="4" w:space="0" w:color="auto"/>
              <w:left w:val="single" w:sz="4" w:space="0" w:color="auto"/>
              <w:right w:val="single" w:sz="4" w:space="0" w:color="auto"/>
            </w:tcBorders>
            <w:shd w:val="clear" w:color="auto" w:fill="auto"/>
            <w:vAlign w:val="center"/>
          </w:tcPr>
          <w:p w14:paraId="3F62E0AD" w14:textId="04C6C51F" w:rsidR="005A338D" w:rsidRPr="005C29F8" w:rsidRDefault="005A338D"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top w:val="single" w:sz="4" w:space="0" w:color="auto"/>
              <w:left w:val="single" w:sz="4" w:space="0" w:color="auto"/>
              <w:right w:val="single" w:sz="4" w:space="0" w:color="auto"/>
            </w:tcBorders>
            <w:shd w:val="clear" w:color="auto" w:fill="auto"/>
          </w:tcPr>
          <w:p w14:paraId="4F522A35" w14:textId="3619BD83" w:rsidR="005A338D" w:rsidRPr="005C29F8" w:rsidRDefault="002B7490" w:rsidP="00A018D4">
            <w:pPr>
              <w:jc w:val="center"/>
              <w:rPr>
                <w:rFonts w:cs="Arial"/>
                <w:color w:val="000000" w:themeColor="text1"/>
                <w:szCs w:val="16"/>
              </w:rPr>
            </w:pPr>
            <w:r w:rsidRPr="005C29F8">
              <w:rPr>
                <w:rFonts w:cs="Arial"/>
                <w:color w:val="000000" w:themeColor="text1"/>
                <w:szCs w:val="16"/>
              </w:rPr>
              <w:t>2016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A1989" w14:textId="68AC0ADC"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Target &gt;=</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0224DEC" w14:textId="025958BD" w:rsidR="005A338D"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F143691" w14:textId="7FE45612" w:rsidR="005A338D"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57E3EBA" w14:textId="5F33BE5E" w:rsidR="005A338D"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394E8B" w14:textId="4AE64919" w:rsidR="005A338D"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C8716B2" w14:textId="0C095DB4" w:rsidR="005A338D" w:rsidRPr="005C29F8" w:rsidRDefault="002B7490" w:rsidP="00A018D4">
            <w:pPr>
              <w:jc w:val="center"/>
              <w:rPr>
                <w:rFonts w:cs="Arial"/>
                <w:color w:val="000000" w:themeColor="text1"/>
                <w:szCs w:val="16"/>
              </w:rPr>
            </w:pPr>
            <w:r w:rsidRPr="005C29F8">
              <w:rPr>
                <w:rFonts w:cs="Arial"/>
                <w:color w:val="000000" w:themeColor="text1"/>
                <w:szCs w:val="16"/>
              </w:rPr>
              <w:t>75.00%</w:t>
            </w:r>
          </w:p>
        </w:tc>
      </w:tr>
      <w:tr w:rsidR="005C29F8" w:rsidRPr="005C29F8" w14:paraId="50EE8305" w14:textId="77777777" w:rsidTr="00887C29">
        <w:trPr>
          <w:trHeight w:val="85"/>
        </w:trPr>
        <w:tc>
          <w:tcPr>
            <w:tcW w:w="498" w:type="pct"/>
            <w:tcBorders>
              <w:left w:val="single" w:sz="4" w:space="0" w:color="auto"/>
              <w:right w:val="single" w:sz="4" w:space="0" w:color="auto"/>
            </w:tcBorders>
            <w:shd w:val="clear" w:color="auto" w:fill="auto"/>
          </w:tcPr>
          <w:p w14:paraId="5D97C99C" w14:textId="4A9B199D" w:rsidR="005A338D" w:rsidRPr="005C29F8" w:rsidRDefault="00230EE6" w:rsidP="004369B2">
            <w:pPr>
              <w:spacing w:line="276" w:lineRule="auto"/>
              <w:jc w:val="center"/>
              <w:rPr>
                <w:rFonts w:cs="Arial"/>
                <w:color w:val="000000" w:themeColor="text1"/>
                <w:szCs w:val="16"/>
              </w:rPr>
            </w:pPr>
            <w:r w:rsidRPr="005C29F8">
              <w:rPr>
                <w:rFonts w:cs="Arial"/>
                <w:color w:val="000000" w:themeColor="text1"/>
                <w:szCs w:val="16"/>
              </w:rPr>
              <w:t>School age</w:t>
            </w:r>
          </w:p>
        </w:tc>
        <w:tc>
          <w:tcPr>
            <w:tcW w:w="501" w:type="pct"/>
            <w:tcBorders>
              <w:left w:val="single" w:sz="4" w:space="0" w:color="auto"/>
              <w:right w:val="single" w:sz="4" w:space="0" w:color="auto"/>
            </w:tcBorders>
            <w:shd w:val="clear" w:color="auto" w:fill="auto"/>
          </w:tcPr>
          <w:p w14:paraId="231E42F6" w14:textId="5F4BE78D" w:rsidR="005A338D" w:rsidRPr="005C29F8" w:rsidRDefault="002B7490" w:rsidP="00A018D4">
            <w:pPr>
              <w:jc w:val="center"/>
              <w:rPr>
                <w:rFonts w:cs="Arial"/>
                <w:color w:val="000000" w:themeColor="text1"/>
                <w:szCs w:val="16"/>
              </w:rPr>
            </w:pPr>
            <w:r w:rsidRPr="005C29F8">
              <w:rPr>
                <w:rFonts w:cs="Arial"/>
                <w:color w:val="000000" w:themeColor="text1"/>
                <w:szCs w:val="16"/>
              </w:rPr>
              <w:t>84.92%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B9050" w14:textId="77777777" w:rsidR="005A338D" w:rsidRPr="005C29F8" w:rsidRDefault="005A338D" w:rsidP="00A018D4">
            <w:pPr>
              <w:spacing w:line="276" w:lineRule="auto"/>
              <w:rPr>
                <w:rFonts w:cs="Arial"/>
                <w:color w:val="000000" w:themeColor="text1"/>
                <w:szCs w:val="16"/>
              </w:rPr>
            </w:pPr>
            <w:r w:rsidRPr="005C29F8">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7FDC28B2" w14:textId="3B16D415" w:rsidR="005A338D" w:rsidRPr="005C29F8" w:rsidRDefault="002B7490" w:rsidP="00A018D4">
            <w:pPr>
              <w:jc w:val="center"/>
              <w:rPr>
                <w:rFonts w:cs="Arial"/>
                <w:color w:val="000000" w:themeColor="text1"/>
                <w:szCs w:val="16"/>
              </w:rPr>
            </w:pPr>
            <w:r w:rsidRPr="005C29F8">
              <w:rPr>
                <w:rFonts w:cs="Arial"/>
                <w:color w:val="000000" w:themeColor="text1"/>
                <w:szCs w:val="16"/>
              </w:rPr>
              <w:t>73.99%</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3C123A7D" w14:textId="3AF3E75F" w:rsidR="005A338D" w:rsidRPr="005C29F8" w:rsidRDefault="002B7490" w:rsidP="00A018D4">
            <w:pPr>
              <w:jc w:val="center"/>
              <w:rPr>
                <w:rFonts w:cs="Arial"/>
                <w:color w:val="000000" w:themeColor="text1"/>
                <w:szCs w:val="16"/>
              </w:rPr>
            </w:pPr>
            <w:r w:rsidRPr="005C29F8">
              <w:rPr>
                <w:rFonts w:cs="Arial"/>
                <w:color w:val="000000" w:themeColor="text1"/>
                <w:szCs w:val="16"/>
              </w:rPr>
              <w:t>76.13%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25A90C6" w14:textId="2AC847D2" w:rsidR="005A338D" w:rsidRPr="005C29F8" w:rsidRDefault="002B7490" w:rsidP="00A018D4">
            <w:pPr>
              <w:jc w:val="center"/>
              <w:rPr>
                <w:rFonts w:cs="Arial"/>
                <w:color w:val="000000" w:themeColor="text1"/>
                <w:szCs w:val="16"/>
              </w:rPr>
            </w:pPr>
            <w:r w:rsidRPr="005C29F8">
              <w:rPr>
                <w:rFonts w:cs="Arial"/>
                <w:color w:val="000000" w:themeColor="text1"/>
                <w:szCs w:val="16"/>
              </w:rPr>
              <w:t>84.92%</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70BAB9" w14:textId="78D4A5BF" w:rsidR="005A338D" w:rsidRPr="005C29F8" w:rsidRDefault="002B7490" w:rsidP="00A018D4">
            <w:pPr>
              <w:jc w:val="center"/>
              <w:rPr>
                <w:rFonts w:cs="Arial"/>
                <w:color w:val="000000" w:themeColor="text1"/>
                <w:szCs w:val="16"/>
              </w:rPr>
            </w:pPr>
            <w:r w:rsidRPr="005C29F8">
              <w:rPr>
                <w:rFonts w:cs="Arial"/>
                <w:color w:val="000000" w:themeColor="text1"/>
                <w:szCs w:val="16"/>
              </w:rPr>
              <w:t>85.49%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AB806EE" w14:textId="1DA5CDFC" w:rsidR="005A338D" w:rsidRPr="005C29F8" w:rsidRDefault="002B7490" w:rsidP="00A018D4">
            <w:pPr>
              <w:jc w:val="center"/>
              <w:rPr>
                <w:rFonts w:cs="Arial"/>
                <w:color w:val="000000" w:themeColor="text1"/>
                <w:szCs w:val="16"/>
              </w:rPr>
            </w:pPr>
            <w:r w:rsidRPr="005C29F8">
              <w:rPr>
                <w:rFonts w:cs="Arial"/>
                <w:color w:val="000000" w:themeColor="text1"/>
                <w:szCs w:val="16"/>
              </w:rPr>
              <w:t>85.65%</w:t>
            </w:r>
          </w:p>
        </w:tc>
      </w:tr>
    </w:tbl>
    <w:p w14:paraId="63401A30" w14:textId="77777777" w:rsidR="000417B4" w:rsidRPr="005C29F8" w:rsidRDefault="000417B4" w:rsidP="004369B2">
      <w:pPr>
        <w:rPr>
          <w:color w:val="000000" w:themeColor="text1"/>
        </w:rPr>
      </w:pPr>
    </w:p>
    <w:p w14:paraId="64041579" w14:textId="06E03AE5" w:rsidR="00A80FEB" w:rsidRPr="005C29F8" w:rsidRDefault="00A80FEB" w:rsidP="004369B2">
      <w:pPr>
        <w:rPr>
          <w:color w:val="000000" w:themeColor="text1"/>
        </w:rPr>
      </w:pPr>
      <w:r w:rsidRPr="005C29F8">
        <w:rPr>
          <w:b/>
          <w:color w:val="000000" w:themeColor="text1"/>
        </w:rPr>
        <w:t>Targets</w:t>
      </w:r>
    </w:p>
    <w:tbl>
      <w:tblPr>
        <w:tblW w:w="1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2"/>
      </w:tblPr>
      <w:tblGrid>
        <w:gridCol w:w="1255"/>
        <w:gridCol w:w="2340"/>
      </w:tblGrid>
      <w:tr w:rsidR="00F54A50" w:rsidRPr="005C29F8" w14:paraId="40E7CBAD" w14:textId="2F9AD68F" w:rsidTr="00F54A50">
        <w:trPr>
          <w:trHeight w:val="350"/>
        </w:trPr>
        <w:tc>
          <w:tcPr>
            <w:tcW w:w="1745" w:type="pct"/>
            <w:tcBorders>
              <w:bottom w:val="single" w:sz="4" w:space="0" w:color="auto"/>
            </w:tcBorders>
            <w:shd w:val="clear" w:color="auto" w:fill="auto"/>
          </w:tcPr>
          <w:p w14:paraId="58C1A5E2" w14:textId="77777777" w:rsidR="00F54A50" w:rsidRPr="005C29F8" w:rsidRDefault="00F54A50" w:rsidP="004369B2">
            <w:pPr>
              <w:jc w:val="center"/>
              <w:rPr>
                <w:b/>
                <w:color w:val="000000" w:themeColor="text1"/>
              </w:rPr>
            </w:pPr>
            <w:r w:rsidRPr="005C29F8">
              <w:rPr>
                <w:b/>
                <w:color w:val="000000" w:themeColor="text1"/>
              </w:rPr>
              <w:t>FFY</w:t>
            </w:r>
          </w:p>
        </w:tc>
        <w:tc>
          <w:tcPr>
            <w:tcW w:w="3255" w:type="pct"/>
            <w:shd w:val="clear" w:color="auto" w:fill="auto"/>
            <w:vAlign w:val="center"/>
          </w:tcPr>
          <w:p w14:paraId="1805BFB9" w14:textId="40FB7546" w:rsidR="00F54A50" w:rsidRPr="005C29F8" w:rsidRDefault="00F54A50" w:rsidP="004369B2">
            <w:pPr>
              <w:jc w:val="center"/>
              <w:rPr>
                <w:b/>
                <w:color w:val="000000" w:themeColor="text1"/>
              </w:rPr>
            </w:pPr>
            <w:r w:rsidRPr="005C29F8">
              <w:rPr>
                <w:b/>
                <w:color w:val="000000" w:themeColor="text1"/>
              </w:rPr>
              <w:t>2019</w:t>
            </w:r>
          </w:p>
        </w:tc>
      </w:tr>
      <w:tr w:rsidR="00F54A50" w:rsidRPr="005C29F8" w14:paraId="63497877" w14:textId="65436460" w:rsidTr="00F54A50">
        <w:trPr>
          <w:trHeight w:val="357"/>
        </w:trPr>
        <w:tc>
          <w:tcPr>
            <w:tcW w:w="1745" w:type="pct"/>
            <w:shd w:val="clear" w:color="auto" w:fill="auto"/>
          </w:tcPr>
          <w:p w14:paraId="177D86BD" w14:textId="75CEEFE5" w:rsidR="00F54A50" w:rsidRPr="005C29F8" w:rsidRDefault="00F54A50" w:rsidP="00D57811">
            <w:pPr>
              <w:rPr>
                <w:rFonts w:cs="Arial"/>
                <w:color w:val="000000" w:themeColor="text1"/>
                <w:szCs w:val="16"/>
              </w:rPr>
            </w:pPr>
            <w:r w:rsidRPr="005C29F8">
              <w:rPr>
                <w:rFonts w:cs="Arial"/>
                <w:color w:val="000000" w:themeColor="text1"/>
                <w:szCs w:val="16"/>
              </w:rPr>
              <w:lastRenderedPageBreak/>
              <w:t>Target A &gt;=</w:t>
            </w:r>
          </w:p>
        </w:tc>
        <w:tc>
          <w:tcPr>
            <w:tcW w:w="3255" w:type="pct"/>
            <w:shd w:val="clear" w:color="auto" w:fill="auto"/>
            <w:vAlign w:val="center"/>
          </w:tcPr>
          <w:p w14:paraId="45A6C0CC" w14:textId="7B92BE4D" w:rsidR="00F54A50" w:rsidRPr="005C29F8" w:rsidRDefault="00F54A50" w:rsidP="00A018D4">
            <w:pPr>
              <w:jc w:val="center"/>
              <w:rPr>
                <w:rFonts w:cs="Arial"/>
                <w:color w:val="000000" w:themeColor="text1"/>
                <w:szCs w:val="16"/>
              </w:rPr>
            </w:pPr>
            <w:r w:rsidRPr="005C29F8">
              <w:rPr>
                <w:rFonts w:cs="Arial"/>
                <w:color w:val="000000" w:themeColor="text1"/>
                <w:szCs w:val="16"/>
              </w:rPr>
              <w:t>91.00%</w:t>
            </w:r>
          </w:p>
        </w:tc>
      </w:tr>
      <w:tr w:rsidR="00F54A50" w:rsidRPr="005C29F8" w14:paraId="2317B2F5" w14:textId="60A68C23" w:rsidTr="00F54A50">
        <w:trPr>
          <w:trHeight w:val="357"/>
        </w:trPr>
        <w:tc>
          <w:tcPr>
            <w:tcW w:w="1745" w:type="pct"/>
            <w:shd w:val="clear" w:color="auto" w:fill="auto"/>
          </w:tcPr>
          <w:p w14:paraId="149F53A9" w14:textId="68CCB85F" w:rsidR="00F54A50" w:rsidRPr="005C29F8" w:rsidRDefault="00F54A50" w:rsidP="00D57811">
            <w:pPr>
              <w:rPr>
                <w:rFonts w:cs="Arial"/>
                <w:color w:val="000000" w:themeColor="text1"/>
                <w:szCs w:val="16"/>
              </w:rPr>
            </w:pPr>
            <w:r w:rsidRPr="005C29F8">
              <w:rPr>
                <w:rFonts w:cs="Arial"/>
                <w:color w:val="000000" w:themeColor="text1"/>
                <w:szCs w:val="16"/>
              </w:rPr>
              <w:t>Target B &gt;=</w:t>
            </w:r>
          </w:p>
        </w:tc>
        <w:tc>
          <w:tcPr>
            <w:tcW w:w="3255" w:type="pct"/>
            <w:shd w:val="clear" w:color="auto" w:fill="auto"/>
            <w:vAlign w:val="center"/>
          </w:tcPr>
          <w:p w14:paraId="3F59397C" w14:textId="77CD5E97" w:rsidR="00F54A50" w:rsidRPr="005C29F8" w:rsidRDefault="00F54A50" w:rsidP="00A018D4">
            <w:pPr>
              <w:jc w:val="center"/>
              <w:rPr>
                <w:rFonts w:cs="Arial"/>
                <w:color w:val="000000" w:themeColor="text1"/>
                <w:szCs w:val="16"/>
              </w:rPr>
            </w:pPr>
            <w:r w:rsidRPr="005C29F8">
              <w:rPr>
                <w:rFonts w:cs="Arial"/>
                <w:color w:val="000000" w:themeColor="text1"/>
                <w:szCs w:val="16"/>
              </w:rPr>
              <w:t>86.00%</w:t>
            </w:r>
          </w:p>
        </w:tc>
      </w:tr>
    </w:tbl>
    <w:p w14:paraId="4BB32392" w14:textId="77777777" w:rsidR="00165B2C" w:rsidRPr="005C29F8" w:rsidRDefault="00165B2C" w:rsidP="004369B2">
      <w:pPr>
        <w:rPr>
          <w:color w:val="000000" w:themeColor="text1"/>
        </w:rPr>
      </w:pPr>
    </w:p>
    <w:p w14:paraId="355812DD" w14:textId="7A51ADE9" w:rsidR="00CE1CE8" w:rsidRPr="005C29F8" w:rsidRDefault="00EC46E4" w:rsidP="004369B2">
      <w:pPr>
        <w:rPr>
          <w:color w:val="000000" w:themeColor="text1"/>
        </w:rPr>
      </w:pPr>
      <w:r w:rsidRPr="005C29F8">
        <w:rPr>
          <w:b/>
          <w:color w:val="000000" w:themeColor="text1"/>
        </w:rPr>
        <w:t>FFY 2019 SPP/APR Data: Preschool Children Reported Separately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8CFFYAPRDATAOPT2"/>
      </w:tblPr>
      <w:tblGrid>
        <w:gridCol w:w="928"/>
        <w:gridCol w:w="1894"/>
        <w:gridCol w:w="1465"/>
        <w:gridCol w:w="1167"/>
        <w:gridCol w:w="1683"/>
        <w:gridCol w:w="1064"/>
        <w:gridCol w:w="1314"/>
        <w:gridCol w:w="1275"/>
      </w:tblGrid>
      <w:tr w:rsidR="005C29F8" w:rsidRPr="005C29F8" w14:paraId="0DE6D581" w14:textId="77777777" w:rsidTr="00AF550B">
        <w:trPr>
          <w:trHeight w:val="368"/>
          <w:tblHeader/>
        </w:trPr>
        <w:tc>
          <w:tcPr>
            <w:tcW w:w="302" w:type="pct"/>
            <w:shd w:val="clear" w:color="auto" w:fill="auto"/>
            <w:vAlign w:val="bottom"/>
          </w:tcPr>
          <w:p w14:paraId="6938328D" w14:textId="649774FC" w:rsidR="008546BE" w:rsidRPr="005C29F8" w:rsidRDefault="00D05754" w:rsidP="00681BA6">
            <w:pPr>
              <w:jc w:val="center"/>
              <w:rPr>
                <w:rFonts w:cs="Arial"/>
                <w:b/>
                <w:color w:val="000000" w:themeColor="text1"/>
                <w:szCs w:val="16"/>
              </w:rPr>
            </w:pPr>
            <w:r>
              <w:rPr>
                <w:rFonts w:cs="Arial"/>
                <w:b/>
                <w:color w:val="000000" w:themeColor="text1"/>
                <w:szCs w:val="16"/>
              </w:rPr>
              <w:t>Group</w:t>
            </w:r>
          </w:p>
        </w:tc>
        <w:tc>
          <w:tcPr>
            <w:tcW w:w="896" w:type="pct"/>
            <w:shd w:val="clear" w:color="auto" w:fill="auto"/>
            <w:vAlign w:val="bottom"/>
          </w:tcPr>
          <w:p w14:paraId="5FE60195" w14:textId="33373D52" w:rsidR="008546BE" w:rsidRPr="005C29F8" w:rsidRDefault="008546BE" w:rsidP="00681BA6">
            <w:pPr>
              <w:jc w:val="center"/>
              <w:rPr>
                <w:rFonts w:cs="Arial"/>
                <w:b/>
                <w:color w:val="000000" w:themeColor="text1"/>
                <w:szCs w:val="16"/>
              </w:rPr>
            </w:pPr>
            <w:r w:rsidRPr="005C29F8">
              <w:rPr>
                <w:rFonts w:cs="Arial"/>
                <w:b/>
                <w:color w:val="000000" w:themeColor="text1"/>
                <w:szCs w:val="16"/>
              </w:rPr>
              <w:t>Number of respondent parents who report schools facilitated parent involvement as a means of improving services and results for children with disabilities</w:t>
            </w:r>
          </w:p>
        </w:tc>
        <w:tc>
          <w:tcPr>
            <w:tcW w:w="697" w:type="pct"/>
            <w:shd w:val="clear" w:color="auto" w:fill="auto"/>
            <w:vAlign w:val="bottom"/>
          </w:tcPr>
          <w:p w14:paraId="15D7934A"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Total number of respondent parents of children with disabilities</w:t>
            </w:r>
          </w:p>
        </w:tc>
        <w:tc>
          <w:tcPr>
            <w:tcW w:w="559" w:type="pct"/>
            <w:shd w:val="clear" w:color="auto" w:fill="auto"/>
            <w:vAlign w:val="bottom"/>
          </w:tcPr>
          <w:p w14:paraId="0A3A2F6A" w14:textId="2A89B23E" w:rsidR="008546BE"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798" w:type="pct"/>
            <w:shd w:val="clear" w:color="auto" w:fill="auto"/>
            <w:vAlign w:val="bottom"/>
          </w:tcPr>
          <w:p w14:paraId="7539AB74" w14:textId="7F87ABE4"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Target</w:t>
            </w:r>
          </w:p>
        </w:tc>
        <w:tc>
          <w:tcPr>
            <w:tcW w:w="511" w:type="pct"/>
            <w:shd w:val="clear" w:color="auto" w:fill="auto"/>
            <w:vAlign w:val="bottom"/>
          </w:tcPr>
          <w:p w14:paraId="407378F4" w14:textId="12DA52F3" w:rsidR="008546BE" w:rsidRPr="005C29F8" w:rsidRDefault="008546BE" w:rsidP="00681BA6">
            <w:pPr>
              <w:jc w:val="center"/>
              <w:rPr>
                <w:rFonts w:cs="Arial"/>
                <w:b/>
                <w:color w:val="000000" w:themeColor="text1"/>
                <w:szCs w:val="16"/>
              </w:rPr>
            </w:pPr>
            <w:r w:rsidRPr="005C29F8">
              <w:rPr>
                <w:rFonts w:cs="Arial"/>
                <w:b/>
                <w:color w:val="000000" w:themeColor="text1"/>
                <w:szCs w:val="16"/>
              </w:rPr>
              <w:t>FFY 2019 Data</w:t>
            </w:r>
          </w:p>
        </w:tc>
        <w:tc>
          <w:tcPr>
            <w:tcW w:w="627" w:type="pct"/>
            <w:shd w:val="clear" w:color="auto" w:fill="auto"/>
            <w:vAlign w:val="bottom"/>
          </w:tcPr>
          <w:p w14:paraId="28F3ED34"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Status</w:t>
            </w:r>
          </w:p>
        </w:tc>
        <w:tc>
          <w:tcPr>
            <w:tcW w:w="609" w:type="pct"/>
            <w:shd w:val="clear" w:color="auto" w:fill="auto"/>
            <w:vAlign w:val="bottom"/>
          </w:tcPr>
          <w:p w14:paraId="30DF9F16" w14:textId="77777777" w:rsidR="008546BE" w:rsidRPr="005C29F8" w:rsidRDefault="008546BE"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7F2B6CD0" w14:textId="77777777" w:rsidTr="00AF550B">
        <w:trPr>
          <w:trHeight w:val="375"/>
        </w:trPr>
        <w:tc>
          <w:tcPr>
            <w:tcW w:w="302" w:type="pct"/>
            <w:shd w:val="clear" w:color="auto" w:fill="auto"/>
          </w:tcPr>
          <w:p w14:paraId="6D02A255" w14:textId="2B8E30CF" w:rsidR="007D6BB1" w:rsidRPr="005C29F8" w:rsidRDefault="007D6BB1" w:rsidP="007D6BB1">
            <w:pPr>
              <w:jc w:val="center"/>
              <w:rPr>
                <w:rFonts w:cs="Arial"/>
                <w:color w:val="000000" w:themeColor="text1"/>
                <w:szCs w:val="16"/>
              </w:rPr>
            </w:pPr>
            <w:r w:rsidRPr="005C29F8">
              <w:rPr>
                <w:rFonts w:cs="Arial"/>
                <w:color w:val="000000" w:themeColor="text1"/>
                <w:szCs w:val="16"/>
              </w:rPr>
              <w:t>Preschool</w:t>
            </w:r>
          </w:p>
        </w:tc>
        <w:tc>
          <w:tcPr>
            <w:tcW w:w="896" w:type="pct"/>
            <w:shd w:val="clear" w:color="auto" w:fill="auto"/>
            <w:vAlign w:val="bottom"/>
          </w:tcPr>
          <w:p w14:paraId="6B99666A" w14:textId="69D7E33D" w:rsidR="007D6BB1" w:rsidRPr="005C29F8" w:rsidRDefault="007D6BB1" w:rsidP="00A018D4">
            <w:pPr>
              <w:jc w:val="center"/>
              <w:rPr>
                <w:rFonts w:cs="Arial"/>
                <w:color w:val="000000" w:themeColor="text1"/>
                <w:szCs w:val="16"/>
              </w:rPr>
            </w:pPr>
          </w:p>
        </w:tc>
        <w:tc>
          <w:tcPr>
            <w:tcW w:w="697" w:type="pct"/>
            <w:shd w:val="clear" w:color="auto" w:fill="auto"/>
            <w:vAlign w:val="bottom"/>
          </w:tcPr>
          <w:p w14:paraId="76FAE551" w14:textId="4CC1C92C" w:rsidR="007D6BB1" w:rsidRPr="005C29F8" w:rsidRDefault="007D6BB1" w:rsidP="00A018D4">
            <w:pPr>
              <w:jc w:val="center"/>
              <w:rPr>
                <w:rFonts w:cs="Arial"/>
                <w:color w:val="000000" w:themeColor="text1"/>
                <w:szCs w:val="16"/>
              </w:rPr>
            </w:pPr>
          </w:p>
        </w:tc>
        <w:tc>
          <w:tcPr>
            <w:tcW w:w="559" w:type="pct"/>
            <w:shd w:val="clear" w:color="auto" w:fill="auto"/>
            <w:vAlign w:val="bottom"/>
          </w:tcPr>
          <w:p w14:paraId="123C5B86" w14:textId="2170EE84" w:rsidR="007D6BB1" w:rsidRPr="005C29F8" w:rsidRDefault="002B7490" w:rsidP="00A018D4">
            <w:pPr>
              <w:jc w:val="center"/>
              <w:rPr>
                <w:rFonts w:cs="Arial"/>
                <w:color w:val="000000" w:themeColor="text1"/>
                <w:szCs w:val="16"/>
              </w:rPr>
            </w:pPr>
            <w:r w:rsidRPr="005C29F8">
              <w:rPr>
                <w:rFonts w:cs="Arial"/>
                <w:color w:val="000000" w:themeColor="text1"/>
                <w:szCs w:val="16"/>
              </w:rPr>
              <w:t>90.95%</w:t>
            </w:r>
          </w:p>
        </w:tc>
        <w:tc>
          <w:tcPr>
            <w:tcW w:w="798" w:type="pct"/>
            <w:shd w:val="clear" w:color="auto" w:fill="auto"/>
            <w:vAlign w:val="bottom"/>
          </w:tcPr>
          <w:p w14:paraId="308FEA57" w14:textId="7004813A" w:rsidR="007D6BB1"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511" w:type="pct"/>
            <w:shd w:val="clear" w:color="auto" w:fill="auto"/>
            <w:vAlign w:val="bottom"/>
          </w:tcPr>
          <w:p w14:paraId="1C1DCA19" w14:textId="730526F3" w:rsidR="007D6BB1" w:rsidRPr="005C29F8" w:rsidRDefault="007D6BB1" w:rsidP="00A018D4">
            <w:pPr>
              <w:jc w:val="center"/>
              <w:rPr>
                <w:rFonts w:cs="Arial"/>
                <w:color w:val="000000" w:themeColor="text1"/>
                <w:szCs w:val="16"/>
              </w:rPr>
            </w:pPr>
          </w:p>
        </w:tc>
        <w:tc>
          <w:tcPr>
            <w:tcW w:w="627" w:type="pct"/>
            <w:shd w:val="clear" w:color="auto" w:fill="auto"/>
            <w:vAlign w:val="bottom"/>
          </w:tcPr>
          <w:p w14:paraId="3DDEE74A" w14:textId="47BC7A4C" w:rsidR="007D6BB1"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09" w:type="pct"/>
            <w:shd w:val="clear" w:color="auto" w:fill="auto"/>
            <w:vAlign w:val="bottom"/>
          </w:tcPr>
          <w:p w14:paraId="2B5BE34B" w14:textId="08BABAF7" w:rsidR="007D6BB1"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3195A184" w14:textId="77777777" w:rsidTr="00AF550B">
        <w:trPr>
          <w:trHeight w:val="375"/>
        </w:trPr>
        <w:tc>
          <w:tcPr>
            <w:tcW w:w="302" w:type="pct"/>
            <w:shd w:val="clear" w:color="auto" w:fill="auto"/>
          </w:tcPr>
          <w:p w14:paraId="4BB698E5" w14:textId="7EA34994" w:rsidR="007D6BB1" w:rsidRPr="005C29F8" w:rsidRDefault="00DB1150" w:rsidP="007D6BB1">
            <w:pPr>
              <w:jc w:val="center"/>
              <w:rPr>
                <w:rFonts w:cs="Arial"/>
                <w:color w:val="000000" w:themeColor="text1"/>
                <w:szCs w:val="16"/>
              </w:rPr>
            </w:pPr>
            <w:r w:rsidRPr="005C29F8">
              <w:rPr>
                <w:rFonts w:cs="Arial"/>
                <w:color w:val="000000" w:themeColor="text1"/>
                <w:szCs w:val="16"/>
              </w:rPr>
              <w:t>School age</w:t>
            </w:r>
          </w:p>
        </w:tc>
        <w:tc>
          <w:tcPr>
            <w:tcW w:w="896" w:type="pct"/>
            <w:shd w:val="clear" w:color="auto" w:fill="auto"/>
            <w:vAlign w:val="bottom"/>
          </w:tcPr>
          <w:p w14:paraId="371458FE" w14:textId="394F3EE9" w:rsidR="007D6BB1" w:rsidRPr="005C29F8" w:rsidRDefault="007D6BB1" w:rsidP="00A018D4">
            <w:pPr>
              <w:jc w:val="center"/>
              <w:rPr>
                <w:rFonts w:cs="Arial"/>
                <w:color w:val="000000" w:themeColor="text1"/>
                <w:szCs w:val="16"/>
              </w:rPr>
            </w:pPr>
          </w:p>
        </w:tc>
        <w:tc>
          <w:tcPr>
            <w:tcW w:w="697" w:type="pct"/>
            <w:shd w:val="clear" w:color="auto" w:fill="auto"/>
            <w:vAlign w:val="bottom"/>
          </w:tcPr>
          <w:p w14:paraId="22A6CCE9" w14:textId="104A03FB" w:rsidR="007D6BB1" w:rsidRPr="005C29F8" w:rsidRDefault="007D6BB1" w:rsidP="00A018D4">
            <w:pPr>
              <w:jc w:val="center"/>
              <w:rPr>
                <w:rFonts w:cs="Arial"/>
                <w:color w:val="000000" w:themeColor="text1"/>
                <w:szCs w:val="16"/>
              </w:rPr>
            </w:pPr>
          </w:p>
        </w:tc>
        <w:tc>
          <w:tcPr>
            <w:tcW w:w="559" w:type="pct"/>
            <w:shd w:val="clear" w:color="auto" w:fill="auto"/>
            <w:vAlign w:val="bottom"/>
          </w:tcPr>
          <w:p w14:paraId="740FC8CE" w14:textId="67D1D68F" w:rsidR="007D6BB1" w:rsidRPr="005C29F8" w:rsidRDefault="002B7490" w:rsidP="00A018D4">
            <w:pPr>
              <w:jc w:val="center"/>
              <w:rPr>
                <w:rFonts w:cs="Arial"/>
                <w:color w:val="000000" w:themeColor="text1"/>
                <w:szCs w:val="16"/>
              </w:rPr>
            </w:pPr>
            <w:r w:rsidRPr="005C29F8">
              <w:rPr>
                <w:rFonts w:cs="Arial"/>
                <w:color w:val="000000" w:themeColor="text1"/>
                <w:szCs w:val="16"/>
              </w:rPr>
              <w:t>85.65%</w:t>
            </w:r>
          </w:p>
        </w:tc>
        <w:tc>
          <w:tcPr>
            <w:tcW w:w="798" w:type="pct"/>
            <w:shd w:val="clear" w:color="auto" w:fill="auto"/>
            <w:vAlign w:val="bottom"/>
          </w:tcPr>
          <w:p w14:paraId="1C976F97" w14:textId="0D0F6366" w:rsidR="007D6BB1"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511" w:type="pct"/>
            <w:shd w:val="clear" w:color="auto" w:fill="auto"/>
            <w:vAlign w:val="bottom"/>
          </w:tcPr>
          <w:p w14:paraId="78A0A4EE" w14:textId="02F22347" w:rsidR="007D6BB1" w:rsidRPr="005C29F8" w:rsidRDefault="007D6BB1" w:rsidP="00A018D4">
            <w:pPr>
              <w:jc w:val="center"/>
              <w:rPr>
                <w:rFonts w:cs="Arial"/>
                <w:color w:val="000000" w:themeColor="text1"/>
                <w:szCs w:val="16"/>
              </w:rPr>
            </w:pPr>
          </w:p>
        </w:tc>
        <w:tc>
          <w:tcPr>
            <w:tcW w:w="627" w:type="pct"/>
            <w:shd w:val="clear" w:color="auto" w:fill="auto"/>
            <w:vAlign w:val="bottom"/>
          </w:tcPr>
          <w:p w14:paraId="45E43DB0" w14:textId="1B4AB4EA" w:rsidR="007D6BB1"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09" w:type="pct"/>
            <w:shd w:val="clear" w:color="auto" w:fill="auto"/>
            <w:vAlign w:val="bottom"/>
          </w:tcPr>
          <w:p w14:paraId="601F7342" w14:textId="758CB2A7" w:rsidR="007D6BB1"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CAD189F" w14:textId="1B2E88D6" w:rsidR="007E2779" w:rsidRPr="005C29F8" w:rsidRDefault="007E2779" w:rsidP="00B6413B">
      <w:pPr>
        <w:rPr>
          <w:rFonts w:cs="Arial"/>
          <w:b/>
          <w:color w:val="000000" w:themeColor="text1"/>
          <w:szCs w:val="16"/>
        </w:rPr>
      </w:pPr>
      <w:r w:rsidRPr="005C29F8">
        <w:rPr>
          <w:rFonts w:cs="Arial"/>
          <w:b/>
          <w:color w:val="000000" w:themeColor="text1"/>
          <w:szCs w:val="16"/>
        </w:rPr>
        <w:t>The number of parents to whom the surveys were distributed.</w:t>
      </w:r>
    </w:p>
    <w:p w14:paraId="20285CB8" w14:textId="5D5F568E" w:rsidR="007E2779" w:rsidRPr="005C29F8" w:rsidRDefault="007E2779" w:rsidP="00B6413B">
      <w:pPr>
        <w:rPr>
          <w:rFonts w:cs="Arial"/>
          <w:color w:val="000000" w:themeColor="text1"/>
          <w:szCs w:val="16"/>
        </w:rPr>
      </w:pPr>
    </w:p>
    <w:p w14:paraId="2D885C21" w14:textId="63442F04" w:rsidR="007E2779" w:rsidRPr="005C29F8" w:rsidRDefault="007E2779" w:rsidP="00B6413B">
      <w:pPr>
        <w:rPr>
          <w:rFonts w:cs="Arial"/>
          <w:b/>
          <w:color w:val="000000" w:themeColor="text1"/>
          <w:szCs w:val="16"/>
        </w:rPr>
      </w:pPr>
      <w:r w:rsidRPr="005C29F8">
        <w:rPr>
          <w:rFonts w:cs="Arial"/>
          <w:b/>
          <w:color w:val="000000" w:themeColor="text1"/>
          <w:szCs w:val="16"/>
        </w:rPr>
        <w:t>Percentage of respondent parents</w:t>
      </w:r>
    </w:p>
    <w:p w14:paraId="7B7E943C" w14:textId="1F805066" w:rsidR="007E2779" w:rsidRPr="005C29F8" w:rsidRDefault="007E2779" w:rsidP="00B6413B">
      <w:pPr>
        <w:rPr>
          <w:rFonts w:cs="Arial"/>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The state answered no because there is no data for this indicator.</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No analysis was conducted because there is no data for this indicator. </w:t>
      </w:r>
    </w:p>
    <w:p w14:paraId="1A0A4F5E" w14:textId="77777777" w:rsidR="00221EC9" w:rsidRPr="005C29F8" w:rsidRDefault="00221EC9" w:rsidP="00221EC9">
      <w:pPr>
        <w:rPr>
          <w:rFonts w:cs="Arial"/>
          <w:b/>
          <w:color w:val="000000" w:themeColor="text1"/>
          <w:szCs w:val="16"/>
        </w:rPr>
      </w:pPr>
      <w:bookmarkStart w:id="38" w:name="_Toc381956336"/>
      <w:bookmarkStart w:id="39" w:name="_Toc384383342"/>
      <w:bookmarkStart w:id="40" w:name="_Toc392159310"/>
      <w:bookmarkStart w:id="41"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 xml:space="preserve">COVID-19 Impact Statement: COVID-19 impacted the state’s ability to collect this data altogether, thus there is no data to provide. Iowa typically conducts a census of parents, both of children with disabilities and without, in the spring to fulfill the requirements of Indicator 8. The state relies heavily upon intermediary agencies (AEAs) and districts to communicate with parents to complete the survey. Because schools and AEAs were closed during the time of the survey window, the survey was not conducted. The state considered whether mitigation in the fall was possible. After consulting with the Special Education Advisory Panel and reviewing other data, the state did not collect this data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avoid placing an undue burden on families, and to allow schools and AEAs to focus their efforts on returning students to school.</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 xml:space="preserve">Because the state was unable to collect this data, there is no response group that can be determined representative. In the next survey period, the state will conduct the survey at the same time as the parent school culture and climate survey statewide to attempt to increase awareness and participation. The state will continue to focus on the representativeness of the demographics of the children in special education for whom the parents are </w:t>
      </w:r>
      <w:proofErr w:type="gramStart"/>
      <w:r w:rsidRPr="005C29F8">
        <w:rPr>
          <w:rFonts w:cs="Arial"/>
          <w:color w:val="000000" w:themeColor="text1"/>
          <w:szCs w:val="16"/>
        </w:rPr>
        <w:t>responding, and</w:t>
      </w:r>
      <w:proofErr w:type="gramEnd"/>
      <w:r w:rsidRPr="005C29F8">
        <w:rPr>
          <w:rFonts w:cs="Arial"/>
          <w:color w:val="000000" w:themeColor="text1"/>
          <w:szCs w:val="16"/>
        </w:rPr>
        <w:t xml:space="preserve"> focus on systemic ways to increase response rate and representativeness.</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2B7490" w:rsidP="001F692C">
      <w:pPr>
        <w:rPr>
          <w:rFonts w:cs="Arial"/>
          <w:color w:val="000000" w:themeColor="text1"/>
          <w:szCs w:val="16"/>
        </w:rPr>
      </w:pPr>
      <w:r w:rsidRPr="005C29F8">
        <w:rPr>
          <w:rFonts w:cs="Arial"/>
          <w:color w:val="000000" w:themeColor="text1"/>
          <w:szCs w:val="16"/>
        </w:rPr>
        <w:t>Due to the COVID-19 pandemic, the State did not provide data for this indicator. Therefore, OSEP could not determine whether the State met its target.</w:t>
      </w: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8"/>
      <w:bookmarkEnd w:id="39"/>
      <w:bookmarkEnd w:id="40"/>
    </w:p>
    <w:p w14:paraId="30C4375D" w14:textId="77777777" w:rsidR="00AF5AFB" w:rsidRPr="005C29F8" w:rsidRDefault="00AF5AFB" w:rsidP="00A018D4">
      <w:pPr>
        <w:rPr>
          <w:color w:val="000000" w:themeColor="text1"/>
          <w:szCs w:val="20"/>
        </w:rPr>
      </w:pPr>
      <w:bookmarkStart w:id="42" w:name="_Toc384383343"/>
      <w:bookmarkStart w:id="43"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4" w:name="_Toc384383344"/>
      <w:bookmarkStart w:id="45" w:name="_Toc392159312"/>
      <w:bookmarkEnd w:id="42"/>
      <w:bookmarkEnd w:id="43"/>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0.31%</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0.31%</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4"/>
      <w:bookmarkEnd w:id="45"/>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3</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319</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6" w:name="_Hlk494459610"/>
      <w:r w:rsidRPr="005C29F8">
        <w:rPr>
          <w:rFonts w:cs="Arial"/>
          <w:color w:val="000000" w:themeColor="text1"/>
          <w:szCs w:val="16"/>
        </w:rPr>
        <w:t xml:space="preserve">The State’s definition of disproportionate representation is a risk ratio that exceeds the threshold of 3.50 for any one or more race/ethnicity category for any single year of data. The district’s risk for a race/ethnicity category is calculated by dividing by the number of students with an IEP of each race/ethnicity by the total number of students with an IEP of each race/ethnicity in the district. The district’s risk for a non-race/ethnicity category is calculated by dividing by the number of students with an IEP of each non-race/ethnicity by the total number of students with an IEP of each non-race/ethnicity in the district. The risk ratio used to determine disproportionate representation is the district’s risk for a race/ethnicity divided by the district’s risk for each non-race/ethnicity category. </w:t>
      </w:r>
      <w:r w:rsidRPr="005C29F8">
        <w:rPr>
          <w:rFonts w:cs="Arial"/>
          <w:color w:val="000000" w:themeColor="text1"/>
          <w:szCs w:val="16"/>
        </w:rPr>
        <w:br/>
        <w:t xml:space="preserve">A district must have a minimum of 10 students with an IEP in any one or more race/ethnicity categories to be considered in the analysis. </w:t>
      </w:r>
      <w:r w:rsidRPr="005C29F8">
        <w:rPr>
          <w:rFonts w:cs="Arial"/>
          <w:color w:val="000000" w:themeColor="text1"/>
          <w:szCs w:val="16"/>
        </w:rPr>
        <w:br/>
        <w:t>The percent of districts with significant discrepancy is calculated by (1) identifying districts with a risk ratio of greater than or equal to 3.50, (2) dividing the number of districts with disproportionate representation by the total number of districts in the state that met the minimum n of ten, and (3) multiplying by 100.</w:t>
      </w:r>
    </w:p>
    <w:bookmarkEnd w:id="46"/>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 xml:space="preserve">Iowa has developed a Disproportionality Review that is conducted at the district level. The process involves a formal review in which the district examines and evaluates the following areas: </w:t>
      </w:r>
      <w:r w:rsidRPr="005C29F8">
        <w:rPr>
          <w:rFonts w:cs="Arial"/>
          <w:color w:val="000000" w:themeColor="text1"/>
          <w:szCs w:val="16"/>
        </w:rPr>
        <w:br/>
        <w:t xml:space="preserve">Section 1: Review of Data, </w:t>
      </w:r>
      <w:r w:rsidRPr="005C29F8">
        <w:rPr>
          <w:rFonts w:cs="Arial"/>
          <w:color w:val="000000" w:themeColor="text1"/>
          <w:szCs w:val="16"/>
        </w:rPr>
        <w:br/>
        <w:t xml:space="preserve">Section 2: Review of Related Issues and Practices, </w:t>
      </w:r>
      <w:r w:rsidRPr="005C29F8">
        <w:rPr>
          <w:rFonts w:cs="Arial"/>
          <w:color w:val="000000" w:themeColor="text1"/>
          <w:szCs w:val="16"/>
        </w:rPr>
        <w:br/>
        <w:t xml:space="preserve">Section 3: Review of Policies, Procedures and Practices, </w:t>
      </w:r>
      <w:r w:rsidRPr="005C29F8">
        <w:rPr>
          <w:rFonts w:cs="Arial"/>
          <w:color w:val="000000" w:themeColor="text1"/>
          <w:szCs w:val="16"/>
        </w:rPr>
        <w:br/>
        <w:t xml:space="preserve">Section 4: Technical Assistance/Professional Development, and </w:t>
      </w:r>
      <w:r w:rsidRPr="005C29F8">
        <w:rPr>
          <w:rFonts w:cs="Arial"/>
          <w:color w:val="000000" w:themeColor="text1"/>
          <w:szCs w:val="16"/>
        </w:rPr>
        <w:br/>
        <w:t>Section 5: Results/Findings.</w:t>
      </w:r>
      <w:r w:rsidRPr="005C29F8">
        <w:rPr>
          <w:rFonts w:cs="Arial"/>
          <w:color w:val="000000" w:themeColor="text1"/>
          <w:szCs w:val="16"/>
        </w:rPr>
        <w:br/>
        <w:t xml:space="preserve">The data review consists of the district examining its collection and use of data, (e.g., how data are disaggregated, analyzed, used to make decisions, guide practices, etc.). The review of related issues and practices consists of the examination of key areas that have been identified as impacting the area of disproportionality (e.g., utilization of universal screening; administrator/personnel understanding of special education procedures and requirements regarding referral, evaluation, identification, placement, discipline, LRE; attempts to rule out exclusionary factors during the evaluation process, etc.) </w:t>
      </w:r>
      <w:r w:rsidRPr="005C29F8">
        <w:rPr>
          <w:rFonts w:cs="Arial"/>
          <w:color w:val="000000" w:themeColor="text1"/>
          <w:szCs w:val="16"/>
        </w:rPr>
        <w:br/>
        <w:t xml:space="preserve">The process also consists of a formal review of policies, procedures and practices regarding the following areas: child find, parent participation, general education interventions, systematic problem-solving process, progress monitoring and data collection, determination of eligibility and evaluations/reevaluations. In addition, the district describes the technical assistance and/or professional development that is being conducted at the district and in districts regarding and/or related to disproportionality (e.g., differentiation of instruction, progress monitoring, cultural competency, understanding racial biases, etc.). </w:t>
      </w:r>
      <w:r w:rsidRPr="005C29F8">
        <w:rPr>
          <w:rFonts w:cs="Arial"/>
          <w:color w:val="000000" w:themeColor="text1"/>
          <w:szCs w:val="16"/>
        </w:rPr>
        <w:br/>
        <w:t xml:space="preserve">The districts submit the completed review document and findings to the State. A team of consultants meet to review and discuss the results and findings. A final determination of </w:t>
      </w:r>
      <w:proofErr w:type="gramStart"/>
      <w:r w:rsidRPr="005C29F8">
        <w:rPr>
          <w:rFonts w:cs="Arial"/>
          <w:color w:val="000000" w:themeColor="text1"/>
          <w:szCs w:val="16"/>
        </w:rPr>
        <w:t>whether or not</w:t>
      </w:r>
      <w:proofErr w:type="gramEnd"/>
      <w:r w:rsidRPr="005C29F8">
        <w:rPr>
          <w:rFonts w:cs="Arial"/>
          <w:color w:val="000000" w:themeColor="text1"/>
          <w:szCs w:val="16"/>
        </w:rPr>
        <w:t xml:space="preserve"> disproportionality is a result of inappropriate identification is made by the SEA. Districts identified with noncompliance work in collaboration with the State in developing a corrective action plan. Areas of noncompliance are to be corrected as soon as possible, but no later than one year from identification. </w:t>
      </w:r>
      <w:r w:rsidRPr="005C29F8">
        <w:rPr>
          <w:rFonts w:cs="Arial"/>
          <w:color w:val="000000" w:themeColor="text1"/>
          <w:szCs w:val="16"/>
        </w:rPr>
        <w:br/>
        <w:t xml:space="preserve">Summary of Process Used to Determine if Disproportionality was Due to Inappropriate Practice. State Policy. The State of Iowa has policies and procedures designed to prevent inappropriate overidentification or disproportionate representation by race and ethnicity of children with disabilities, consistent with 34 CFR § 300.8, 20 U. S. C. 1418 (d), 20 U. S. C 1412 (a) (24), 34 CFR § 300.173. The State of Iowa and has procedures requiring use of a variety of assessment tools and strategies to gather relevant functional, developmental, and academic information, including information provided by the parent, that may assist in determining whether the child is a child with a disability, and the content of the child’s IEP, consistent with 20 U. S. C. 1414 (b) (2); 34 CFR § 300.304 (b). The State of Iowa has policies ensuring that assessments and other evaluation materials used to assess a child under 20 U. S. C. 1414 (b) are selected and administered so as not to be discriminatory on a racial or cultural basis, are provided and administered in the language and form most likely to yield accurate information on what the child knows and can do academically, developmentally, and functionally, and other requirements for assessment in all areas of suspected disability, by trained and knowledgeable personnel (20 U. S. C. 1414 (b) (3)); 34 CFR § 300.304 (c). The State of Iowa has policies that determination that the child has a </w:t>
      </w:r>
      <w:proofErr w:type="gramStart"/>
      <w:r w:rsidRPr="005C29F8">
        <w:rPr>
          <w:rFonts w:cs="Arial"/>
          <w:color w:val="000000" w:themeColor="text1"/>
          <w:szCs w:val="16"/>
        </w:rPr>
        <w:t>disability</w:t>
      </w:r>
      <w:proofErr w:type="gramEnd"/>
      <w:r w:rsidRPr="005C29F8">
        <w:rPr>
          <w:rFonts w:cs="Arial"/>
          <w:color w:val="000000" w:themeColor="text1"/>
          <w:szCs w:val="16"/>
        </w:rPr>
        <w:t xml:space="preserve"> and the educational needs of the child shall be made by a group of qualified professionals and the parent, in accordance with § 300.306 (b), 20 U. S. C. 1414 (b) (4), 34 CFR § 300.306 (a). The State of Iowa has policies that, in making a determination of eligibility, a child shall not be determined to be a child with a disability if the determinant factor for such determination is: lack of appropriate instruction in reading, including the essential components of reading instruction (as defined in Section 1208 (3) of the Elementary and Secondary Education Act of 1965); lack of appropriate instruction in math; or limited English proficiency; or if the child does not otherwise meet the eligibility criteria under 34 CFR § 300.8 (a) [20 U. S. C. 1414 (b) (5); 34 CFR § 300.306 (b)]. The State of Iowa has policies that, in interpreting evaluation data for the purpose of determining if a child is a child with a disability under § 300.8, and the educational needs of the child, each public agency must draw upon information from a variety of </w:t>
      </w:r>
      <w:proofErr w:type="gramStart"/>
      <w:r w:rsidRPr="005C29F8">
        <w:rPr>
          <w:rFonts w:cs="Arial"/>
          <w:color w:val="000000" w:themeColor="text1"/>
          <w:szCs w:val="16"/>
        </w:rPr>
        <w:t>sources, and</w:t>
      </w:r>
      <w:proofErr w:type="gramEnd"/>
      <w:r w:rsidRPr="005C29F8">
        <w:rPr>
          <w:rFonts w:cs="Arial"/>
          <w:color w:val="000000" w:themeColor="text1"/>
          <w:szCs w:val="16"/>
        </w:rPr>
        <w:t xml:space="preserve"> ensure that information from all these sources is documented and carefully considered [20 U. S. C. 1414 (c); 34 CFR § 300.306 (c)]. </w:t>
      </w:r>
      <w:r w:rsidRPr="005C29F8">
        <w:rPr>
          <w:rFonts w:cs="Arial"/>
          <w:color w:val="000000" w:themeColor="text1"/>
          <w:szCs w:val="16"/>
        </w:rPr>
        <w:br/>
        <w:t xml:space="preserve">References Gamm, S. (2009). Disproportionality in Special Education: Where and Why Overidentification of Minority Students Occurs. LRP Publications. </w:t>
      </w:r>
      <w:proofErr w:type="spellStart"/>
      <w:r w:rsidRPr="005C29F8">
        <w:rPr>
          <w:rFonts w:cs="Arial"/>
          <w:color w:val="000000" w:themeColor="text1"/>
          <w:szCs w:val="16"/>
        </w:rPr>
        <w:lastRenderedPageBreak/>
        <w:t>Kozleski</w:t>
      </w:r>
      <w:proofErr w:type="spellEnd"/>
      <w:r w:rsidRPr="005C29F8">
        <w:rPr>
          <w:rFonts w:cs="Arial"/>
          <w:color w:val="000000" w:themeColor="text1"/>
          <w:szCs w:val="16"/>
        </w:rPr>
        <w:t xml:space="preserve">, E. B., &amp; Zion, S. (2007). Preventing Disproportionality by Strengthening District Policies and Procedures – An Assessment and Strategic Planning Process. Downloaded August 1, </w:t>
      </w:r>
      <w:proofErr w:type="gramStart"/>
      <w:r w:rsidRPr="005C29F8">
        <w:rPr>
          <w:rFonts w:cs="Arial"/>
          <w:color w:val="000000" w:themeColor="text1"/>
          <w:szCs w:val="16"/>
        </w:rPr>
        <w:t>2009</w:t>
      </w:r>
      <w:proofErr w:type="gramEnd"/>
      <w:r w:rsidRPr="005C29F8">
        <w:rPr>
          <w:rFonts w:cs="Arial"/>
          <w:color w:val="000000" w:themeColor="text1"/>
          <w:szCs w:val="16"/>
        </w:rPr>
        <w:t xml:space="preserve"> from www.nccrest.org.</w:t>
      </w:r>
    </w:p>
    <w:p w14:paraId="3B71A72A" w14:textId="77777777" w:rsidR="00DF1529" w:rsidRPr="005C29F8" w:rsidRDefault="00DF1529" w:rsidP="00DF1529">
      <w:pPr>
        <w:rPr>
          <w:rFonts w:cs="Arial"/>
          <w:b/>
          <w:color w:val="000000" w:themeColor="text1"/>
          <w:szCs w:val="16"/>
        </w:rPr>
      </w:pPr>
      <w:bookmarkStart w:id="47" w:name="_Toc381956337"/>
      <w:bookmarkStart w:id="48" w:name="_Toc384383347"/>
      <w:bookmarkStart w:id="49"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COVID-19 Impact Statement: Due to this indicator data being sourced from fall 2019-2020 enrollment, there was no impact from COVID-19 on the state’s ability to collect the data, or on reliability, validity, or completeness. The state anticipates the SY 2020-2021 data to be more impacted by COVID-19.</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7"/>
      <w:bookmarkEnd w:id="48"/>
      <w:bookmarkEnd w:id="49"/>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0" w:name="_Toc384383348"/>
      <w:bookmarkStart w:id="51"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50"/>
    <w:bookmarkEnd w:id="51"/>
    <w:p w14:paraId="307820E6" w14:textId="2418F86F" w:rsidR="00B70FBF" w:rsidRPr="0033429D" w:rsidRDefault="009F64D5" w:rsidP="008645AD">
      <w:pPr>
        <w:pStyle w:val="Heading2"/>
      </w:pPr>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YES</w:t>
      </w:r>
    </w:p>
    <w:p w14:paraId="47F245D6" w14:textId="4A6BD584" w:rsidR="00043AC9" w:rsidRPr="005C29F8" w:rsidRDefault="004F50E1" w:rsidP="004369B2">
      <w:pPr>
        <w:rPr>
          <w:b/>
          <w:color w:val="000000" w:themeColor="text1"/>
        </w:rPr>
      </w:pPr>
      <w:r w:rsidRPr="005C29F8">
        <w:rPr>
          <w:b/>
          <w:color w:val="000000" w:themeColor="text1"/>
        </w:rPr>
        <w:t xml:space="preserve">Provide an explanation of why it is not applicable below  </w:t>
      </w:r>
    </w:p>
    <w:p w14:paraId="346DEB46" w14:textId="6ED0AC9E" w:rsidR="00043AC9" w:rsidRDefault="00043AC9" w:rsidP="004369B2">
      <w:pPr>
        <w:rPr>
          <w:color w:val="000000" w:themeColor="text1"/>
        </w:rPr>
      </w:pPr>
      <w:r w:rsidRPr="005C29F8">
        <w:rPr>
          <w:color w:val="000000" w:themeColor="text1"/>
        </w:rPr>
        <w:t>Iowa is noncategorical and does not collect disability category data.</w:t>
      </w:r>
    </w:p>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2B7490" w:rsidP="00212954">
      <w:pPr>
        <w:rPr>
          <w:rFonts w:cs="Arial"/>
          <w:color w:val="000000" w:themeColor="text1"/>
          <w:szCs w:val="16"/>
        </w:rPr>
      </w:pPr>
      <w:r w:rsidRPr="005C29F8">
        <w:rPr>
          <w:rFonts w:cs="Arial"/>
          <w:color w:val="000000" w:themeColor="text1"/>
          <w:szCs w:val="16"/>
        </w:rPr>
        <w:t>This indicator is not applicable for the State.</w:t>
      </w: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p>
    <w:p w14:paraId="4F5D642D" w14:textId="77777777" w:rsidR="00E119B0" w:rsidRPr="005C29F8" w:rsidRDefault="00E119B0" w:rsidP="00A018D4">
      <w:pPr>
        <w:rPr>
          <w:color w:val="000000" w:themeColor="text1"/>
          <w:szCs w:val="20"/>
        </w:rPr>
      </w:pPr>
      <w:bookmarkStart w:id="52" w:name="_Toc384383353"/>
      <w:bookmarkStart w:id="53"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54" w:name="_Toc384383354"/>
      <w:bookmarkStart w:id="55" w:name="_Toc392159322"/>
      <w:bookmarkEnd w:id="52"/>
      <w:bookmarkEnd w:id="53"/>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87.31%</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98.86%</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99.30%</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99.28%</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99.00%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98.48%</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9,437</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8,399</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98.48%</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89.00%</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The state attributes slippage due to delays caused by COVID-19 in the spring of 2020. Just over 83% of cases beyond the 60-day timeline were due to COVID-19, which was included as a delay reason when schools initially were ordered to close. Not including these delays, the number of cases delayed beyond 60 days would have been within the range of previous years of data.</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1,038</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Range of days beyond 60-day timeline when meeting was held: 61-285</w:t>
      </w:r>
      <w:r w:rsidRPr="006620F3">
        <w:rPr>
          <w:color w:val="000000" w:themeColor="text1"/>
        </w:rPr>
        <w:br/>
      </w:r>
      <w:r w:rsidRPr="006620F3">
        <w:rPr>
          <w:color w:val="000000" w:themeColor="text1"/>
        </w:rPr>
        <w:br/>
        <w:t>Child's hospitalization/long-term illness: 4</w:t>
      </w:r>
      <w:r w:rsidRPr="006620F3">
        <w:rPr>
          <w:color w:val="000000" w:themeColor="text1"/>
        </w:rPr>
        <w:br/>
        <w:t>Natural disaster: 21</w:t>
      </w:r>
      <w:r w:rsidRPr="006620F3">
        <w:rPr>
          <w:color w:val="000000" w:themeColor="text1"/>
        </w:rPr>
        <w:br/>
        <w:t>No valid reason: 76</w:t>
      </w:r>
      <w:r w:rsidRPr="006620F3">
        <w:rPr>
          <w:color w:val="000000" w:themeColor="text1"/>
        </w:rPr>
        <w:br/>
        <w:t>Parent Failure or Refusal: 73</w:t>
      </w:r>
      <w:r w:rsidRPr="006620F3">
        <w:rPr>
          <w:color w:val="000000" w:themeColor="text1"/>
        </w:rPr>
        <w:br/>
        <w:t>Public Health Emergency - COVID 19: 864</w:t>
      </w:r>
      <w:r w:rsidRPr="006620F3">
        <w:rPr>
          <w:color w:val="000000" w:themeColor="text1"/>
        </w:rPr>
        <w:br/>
        <w:t>Total: 1038</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Reported data were generated from Iowa’s Information Management System. The data reflect all children and youth in Iowa who were evaluated for determination of eligibility for an IEP, during the current reporting period. The data were entered into the database by trained personnel, using the federal definition for 60-day timeline for evaluation (initial evaluations). The data taken from the monitoring system are based on actual (not an average) number of days. Iowa uses the date of receipt of consent by the public agency, as the date for starting the 60-day calendar for completion of the evaluation. The State uses date of evaluation as the date for stopping the calendar for calculating the timeline. At all pertinent times, Iowa’s definition of 60-day timeline is identical to the federal definition contained in the 2005 IDEA amendments and the 2007 IDEA regulations.</w:t>
      </w:r>
    </w:p>
    <w:p w14:paraId="4F981BFF" w14:textId="77777777" w:rsidR="00C86164" w:rsidRPr="005C29F8" w:rsidRDefault="00C86164" w:rsidP="00C86164">
      <w:pPr>
        <w:rPr>
          <w:rFonts w:cs="Arial"/>
          <w:b/>
          <w:color w:val="000000" w:themeColor="text1"/>
          <w:szCs w:val="16"/>
        </w:rPr>
      </w:pPr>
      <w:bookmarkStart w:id="56" w:name="_Toc381956339"/>
      <w:bookmarkStart w:id="57" w:name="_Toc384383357"/>
      <w:bookmarkStart w:id="58"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COVID-19 Impact Statement: COVID-19 impacted the completeness collection of this data due to school and AEA closures. One mitigation implemented was adding a COVID delay reason to the data management system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track which cases were delayed due to the pandemic, versus typical delays.</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192</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192</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The State uses data from the state database designed to track special education evaluation and placement data. These data are used to determine the extent to which 60-day timelines are being met statewide, and which AEAs are or are not meeting the 60-day timeline. The State continues to emphasize the use of verification reports to help meet the timelines.</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The State verified the correction of noncompliance identified during the prior reporting period by (a) verifying that every child for whom consent to evaluate was received subsequently received an evaluation, even if late, unless the child was no longer in the jurisdiction of the AEA, and (b) verifying that each AEA that was performing below 100 percent compliance during the prior reporting period is correctly implementing 34 CFR §300.301(c)(1).</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lastRenderedPageBreak/>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56"/>
      <w:bookmarkEnd w:id="57"/>
      <w:bookmarkEnd w:id="58"/>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59" w:name="_Toc384383358"/>
      <w:bookmarkStart w:id="60"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1" w:name="_Toc384383359"/>
      <w:bookmarkStart w:id="62" w:name="_Toc392159327"/>
      <w:bookmarkEnd w:id="59"/>
      <w:bookmarkEnd w:id="60"/>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99.83%</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1"/>
          <w:bookmarkEnd w:id="62"/>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98.07%</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99.34%</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99.65%</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99.48%</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99.54%</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1,419</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71</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1,170</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25</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1,170</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1,317</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99.54%</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88.84%</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The state attributes slippage to delays caused by school and AEA closures in the spring of 2020, due to COVID-19. Almost two-thirds of the cases delayed were caused by COVID-19. It is likely that at least half of the cases that were delayed for no valid reason may have also been due to COVID-19 based on the dates of the child's third birthday and subsequent IEP meeting. </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147</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 xml:space="preserve">Range of days beyond third birthday when eligibility was </w:t>
      </w:r>
      <w:proofErr w:type="gramStart"/>
      <w:r w:rsidRPr="005C29F8">
        <w:rPr>
          <w:bCs/>
          <w:color w:val="000000" w:themeColor="text1"/>
        </w:rPr>
        <w:t>determined</w:t>
      </w:r>
      <w:proofErr w:type="gramEnd"/>
      <w:r w:rsidRPr="005C29F8">
        <w:rPr>
          <w:bCs/>
          <w:color w:val="000000" w:themeColor="text1"/>
        </w:rPr>
        <w:t xml:space="preserve"> and IEP developed: 1-276</w:t>
      </w:r>
      <w:r w:rsidRPr="005C29F8">
        <w:rPr>
          <w:bCs/>
          <w:color w:val="000000" w:themeColor="text1"/>
        </w:rPr>
        <w:br/>
      </w:r>
      <w:r w:rsidRPr="005C29F8">
        <w:rPr>
          <w:bCs/>
          <w:color w:val="000000" w:themeColor="text1"/>
        </w:rPr>
        <w:br/>
        <w:t>Natural Disaster: 2</w:t>
      </w:r>
      <w:r w:rsidRPr="005C29F8">
        <w:rPr>
          <w:bCs/>
          <w:color w:val="000000" w:themeColor="text1"/>
        </w:rPr>
        <w:br/>
        <w:t>Student's hospitalization/Long-term illness:1</w:t>
      </w:r>
      <w:r w:rsidRPr="005C29F8">
        <w:rPr>
          <w:bCs/>
          <w:color w:val="000000" w:themeColor="text1"/>
        </w:rPr>
        <w:br/>
        <w:t>Public Health Emergency - COVID-19: 95</w:t>
      </w:r>
      <w:r w:rsidRPr="005C29F8">
        <w:rPr>
          <w:bCs/>
          <w:color w:val="000000" w:themeColor="text1"/>
        </w:rPr>
        <w:br/>
        <w:t>No valid reason: 49</w:t>
      </w:r>
      <w:r w:rsidRPr="005C29F8">
        <w:rPr>
          <w:bCs/>
          <w:color w:val="000000" w:themeColor="text1"/>
        </w:rPr>
        <w:br/>
        <w:t>Total: 147</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63" w:name="_Hlk20318414"/>
      <w:bookmarkEnd w:id="63"/>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reported were generated from Iowa’s Information Management System. The data reflect all children in Iowa who were referred by Part C prior to age three for determination of eligibility for an IEP, during the current reporting period. The data were entered into the database by trained personnel.</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COVID-19 Impact Statement: COVID-19 impacted the completeness collection of this data due to school and AEA closures. One mitigation implemented was adding a COVID delay reason to the data management system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track which cases were delayed due to the pandemic, versus typical delays.</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The State uses data from the state database to determine the extent to which early childhood transition requirements are being met in the state, and to determine which AEAs are and are not meeting those requirements. During the prior reporting period, the State determined that noncompliance was occurring rarely and in isolated cases without any trend. As a result of the root cause analyses, the SEA continued to promote the use of verification reports in the state’s database that alert AEAs to transition requirements.</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The State verified the correction of noncompliance identified during the prior reporting period by (a) verifying that very child served in Part C and referred to Part B subsequently received an evaluation and – if eligible – a fully developed IEP, even if late, unless the child was no longer in the jurisdiction of the LEA, and (b) verifying that each AEA that was performing below 100 percent compliance during the prior reporting period is correctly implementing 34 CFR §300.124(b).</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64" w:name="_Toc384383363"/>
      <w:bookmarkStart w:id="65"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66" w:name="_Toc384383364"/>
      <w:bookmarkStart w:id="67" w:name="_Toc392159332"/>
      <w:bookmarkEnd w:id="64"/>
      <w:bookmarkEnd w:id="65"/>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2016</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61.69%</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87.56%</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94.74%</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61.69%</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63.86%</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65.88%</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66"/>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3,927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5,724</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65.88%</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68.61%</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proofErr w:type="gramStart"/>
      <w:r w:rsidRPr="005C29F8">
        <w:rPr>
          <w:rFonts w:cs="Arial"/>
          <w:color w:val="000000" w:themeColor="text1"/>
          <w:szCs w:val="16"/>
        </w:rPr>
        <w:t>In order to</w:t>
      </w:r>
      <w:proofErr w:type="gramEnd"/>
      <w:r w:rsidRPr="005C29F8">
        <w:rPr>
          <w:rFonts w:cs="Arial"/>
          <w:color w:val="000000" w:themeColor="text1"/>
          <w:szCs w:val="16"/>
        </w:rPr>
        <w:t xml:space="preserve"> obtain the sample for the current reporting year, IEPs were randomly selected at the district level from the population of students with disabilities ages 14. (Please note that Iowa Code requires that transition planning begin by age 14, rather than age 16, as stipulated by IDEA.) The State's sampling plan is a three-year cycle for IEP review. During the first year of the cycle, IEPs from all districts in the state are reviewed. Subsequent samples for years two and three of the cycle are drawn for districts found to be outside the universal tier of support. All samples are drawn using the procedure outlined below. IEPs are randomly selected at the district level from the population of students with disabilities ages 14 and older in districts in the self-assessment year of Iowa’s school improvement cycle. (Please note that Iowa Code requires that transition planning begin by age 14, rather than age 16, as stipulated by IDEA.) Sample size is determined using an 80% confidence interval with a margin of error of +/-10%. The sample is drawn with stringent confidence intervals because of the magnitude of decision-making based on the data. The sample is drawn to ensure representativeness. Responses are later assessed to validate the sample on representativeness by age, </w:t>
      </w:r>
      <w:proofErr w:type="gramStart"/>
      <w:r w:rsidRPr="005C29F8">
        <w:rPr>
          <w:rFonts w:cs="Arial"/>
          <w:color w:val="000000" w:themeColor="text1"/>
          <w:szCs w:val="16"/>
        </w:rPr>
        <w:t>race</w:t>
      </w:r>
      <w:proofErr w:type="gramEnd"/>
      <w:r w:rsidRPr="005C29F8">
        <w:rPr>
          <w:rFonts w:cs="Arial"/>
          <w:color w:val="000000" w:themeColor="text1"/>
          <w:szCs w:val="16"/>
        </w:rPr>
        <w:t xml:space="preserve"> and gender. (Please note that Iowa does not collect information on disability category). To meet criteria for Indicator B-13, an IEP must contain all six of the elements listed below. Critical Element 1: Interests and Preferences. Interests and preferences as they relate to post-secondary areas and student invitation to the meeting. Critical Element 2: Transition Assessments. Assessment information listing specific data and the source of the data for each post-secondary area of living, </w:t>
      </w:r>
      <w:proofErr w:type="gramStart"/>
      <w:r w:rsidRPr="005C29F8">
        <w:rPr>
          <w:rFonts w:cs="Arial"/>
          <w:color w:val="000000" w:themeColor="text1"/>
          <w:szCs w:val="16"/>
        </w:rPr>
        <w:t>learning</w:t>
      </w:r>
      <w:proofErr w:type="gramEnd"/>
      <w:r w:rsidRPr="005C29F8">
        <w:rPr>
          <w:rFonts w:cs="Arial"/>
          <w:color w:val="000000" w:themeColor="text1"/>
          <w:szCs w:val="16"/>
        </w:rPr>
        <w:t xml:space="preserve"> and working is sufficient to determine that the post-secondary area was assessed. Critical Element 3: Post-secondary Expectations. A statement for each post-secondary area of living, learning, and working is observable, based on assessment information and projects beyond high school. Critical Element 4: Course of Study. The course of study must project to the student’s anticipated end of high school, be based on </w:t>
      </w:r>
      <w:proofErr w:type="gramStart"/>
      <w:r w:rsidRPr="005C29F8">
        <w:rPr>
          <w:rFonts w:cs="Arial"/>
          <w:color w:val="000000" w:themeColor="text1"/>
          <w:szCs w:val="16"/>
        </w:rPr>
        <w:t>needs</w:t>
      </w:r>
      <w:proofErr w:type="gramEnd"/>
      <w:r w:rsidRPr="005C29F8">
        <w:rPr>
          <w:rFonts w:cs="Arial"/>
          <w:color w:val="000000" w:themeColor="text1"/>
          <w:szCs w:val="16"/>
        </w:rPr>
        <w:t xml:space="preserve"> and include: 1) a targeted graduation date; 2) the student’s graduation criteria; and 3) any courses or activities the student needs to pursue his/her post-secondary expectations. Critical Element 5: Annual Goals. All goals must support pursuit of the student’s post-secondary expectations and be well-written and all areas of post-secondary expectations must have a goal or service / </w:t>
      </w:r>
      <w:proofErr w:type="gramStart"/>
      <w:r w:rsidRPr="005C29F8">
        <w:rPr>
          <w:rFonts w:cs="Arial"/>
          <w:color w:val="000000" w:themeColor="text1"/>
          <w:szCs w:val="16"/>
        </w:rPr>
        <w:t>activity</w:t>
      </w:r>
      <w:proofErr w:type="gramEnd"/>
      <w:r w:rsidRPr="005C29F8">
        <w:rPr>
          <w:rFonts w:cs="Arial"/>
          <w:color w:val="000000" w:themeColor="text1"/>
          <w:szCs w:val="16"/>
        </w:rPr>
        <w:t xml:space="preserve"> or the assessment information must clearly indicate there is no need for services in that post-secondary area. Critical Element 6: Services, supports, and activities. Statements must specifically describe the services, supports and activities necessary to meet the needs identified through the transition assessment. Evidence that adult agencies and community organizations were involved as appropriate must also be present. Data were collected through Iowa’s System to Achieve Results (ISTAR), certified by AEA staff and validated through the ISTAR system. Selection bias was avoided to the largest possible extent by drawing a representative sample of IEPs at a high level of confidence using the procedure described above. A response rate of 100 percent was achieved. Sample data for reporting period were assessed for similarity or difference of the sample to the population of students with disabilities. Results of this assessment are provided in the attached document titled B13 Representativeness. (Please note that Iowa does not collect information on disability category.)</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735DB55A" w14:textId="18C77FF1" w:rsidR="00644AC8" w:rsidRPr="005C29F8" w:rsidRDefault="00644AC8" w:rsidP="005F442C">
      <w:pPr>
        <w:rPr>
          <w:rFonts w:cs="Arial"/>
          <w:b/>
          <w:color w:val="000000" w:themeColor="text1"/>
          <w:szCs w:val="16"/>
        </w:rPr>
      </w:pPr>
      <w:bookmarkStart w:id="68"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COVID-19 Impact Statement: Due to this data being collected prior to the pandemic in March, there was no impact from COVID-19 on the state’s ability collect the data, or on reliability,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or completeness.</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2,045</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2,045</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Verification of correct implementation of the regulatory requirement is done by analyzing updated data in a sample of IEPs </w:t>
      </w:r>
      <w:proofErr w:type="gramStart"/>
      <w:r w:rsidRPr="005C29F8">
        <w:rPr>
          <w:rFonts w:cs="Arial"/>
          <w:color w:val="000000" w:themeColor="text1"/>
          <w:szCs w:val="16"/>
        </w:rPr>
        <w:t>subsequent to</w:t>
      </w:r>
      <w:proofErr w:type="gramEnd"/>
      <w:r w:rsidRPr="005C29F8">
        <w:rPr>
          <w:rFonts w:cs="Arial"/>
          <w:color w:val="000000" w:themeColor="text1"/>
          <w:szCs w:val="16"/>
        </w:rPr>
        <w:t xml:space="preserve"> the time during which the noncompliance was found, but within the one-year correction period. Districts assigned to the intensive level of support, 50% compliance and below, are required to review a sample of IEPs determined using an 80% confidence interval with a margin of error of +/-10% during years two and three of the cycle regardless of improved performance. Further, the State used additional data to select 7 districts from the intensive level of support to receive and on-site visit. While the State was able to verify correction of all noncompliance for prior reporting period, the state has procedures in place should timely correction not take place in the future. Iowa’s Administrative Rules of Special Education provide the State with the latitude to take enforcement actions in cases of noncompliance with the IDEA including, but not limited to, requiring a corrective action plan, withholding payments under Part B, and referring the matter for enforcement to the Department of Justice or state auditor. [IAC 2 1 1.604]</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The State verified the correction of noncompliance identified during the prior reporting period by (a) verifying that every instance of child-specific noncompliance was subsequently corrected on the IEP, and (b) verifying that each district that was performing below 100% compliance during the prior reporting period is correctly implementing 34 CFR §§300.320(b) and 300.321(b). Verification of correction of individual noncompliance occurs in the Iowa’s System to Achieve Results (ISTAR) monitoring system. First, the district verifies that for each child for whom the transition requirements were not met, all required corrections have been made on the IEP. Then the Area Education Agency (AEA) verifies the same information on the IEP. Child-specific noncompliance is considered “verified” when both steps have been completed. While the State was able to verify correction of all noncompliance for prior reporting period, the state has procedures in place should timely correction not take place in the future. Iowa’s Administrative Rules of Special Education provide the State with the latitude to take enforcement actions in cases of noncompliance with the IDEA including, but not limited to, requiring a corrective action plan, withholding payments under Part B, and referring the matter for enforcement to the Department of Justice or state auditor. [IAC 2 1 1.604]</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1"/>
      <w:bookmarkEnd w:id="68"/>
    </w:p>
    <w:p w14:paraId="22761492" w14:textId="77777777" w:rsidR="005C50DB" w:rsidRPr="00D37503" w:rsidRDefault="005C50DB" w:rsidP="00A018D4">
      <w:pPr>
        <w:rPr>
          <w:szCs w:val="20"/>
        </w:rPr>
      </w:pPr>
      <w:bookmarkStart w:id="69"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69"/>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42.00%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44.00%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46.00%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50.00%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30.71%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28.46%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18.86%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18.45%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20.17%</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68.00%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57.02%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58.57%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53.94%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60.55%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55.17%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57.02%</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92.00%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93.00%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94.00%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66.59%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83.14%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89.46%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72.69%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65.82%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66.59%</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50.00%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72.00%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94.00%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0"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3,582</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631</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905</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33</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lastRenderedPageBreak/>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708</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631</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3,582</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20.17%</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17.62%</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1,536</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3,582</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57.02%</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42.88%</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2,277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3,582</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66.59%</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94.00%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63.57%</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The state attributes slippage on this measure to annual fluctuations in the </w:t>
            </w:r>
            <w:proofErr w:type="gramStart"/>
            <w:r w:rsidRPr="005C29F8">
              <w:rPr>
                <w:rFonts w:cs="Arial"/>
                <w:color w:val="000000" w:themeColor="text1"/>
                <w:szCs w:val="16"/>
              </w:rPr>
              <w:t>data, and</w:t>
            </w:r>
            <w:proofErr w:type="gramEnd"/>
            <w:r w:rsidRPr="005C29F8">
              <w:rPr>
                <w:rFonts w:cs="Arial"/>
                <w:color w:val="000000" w:themeColor="text1"/>
                <w:szCs w:val="16"/>
              </w:rPr>
              <w:t xml:space="preserve"> is considering additional analysis to determine the magnitude of the impact of COVID-19 on this measure.</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 xml:space="preserve">The state attributes slippage on this measure to the impacts of COVID-19 on employment during the outcome period in 2020, which are reflective of national employment trends during this time. </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The state attributes slippage on this measure to annual fluctuations in the </w:t>
            </w:r>
            <w:proofErr w:type="gramStart"/>
            <w:r w:rsidRPr="005C29F8">
              <w:rPr>
                <w:rFonts w:cs="Arial"/>
                <w:color w:val="000000" w:themeColor="text1"/>
                <w:szCs w:val="16"/>
              </w:rPr>
              <w:t>data, and</w:t>
            </w:r>
            <w:proofErr w:type="gramEnd"/>
            <w:r w:rsidRPr="005C29F8">
              <w:rPr>
                <w:rFonts w:cs="Arial"/>
                <w:color w:val="000000" w:themeColor="text1"/>
                <w:szCs w:val="16"/>
              </w:rPr>
              <w:t xml:space="preserve"> is considering additional analysis to determine the magnitude of the impact of COVID-19 on this measure.</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 xml:space="preserve">Option 2: Report in alignment with the term “competitive integrated employment” and its definition, in section 7(5) of the Rehabilitation Act, as amended by Workforce Innovation and Opportunity Act (WIOA), and 34 CFR §361.5(c)(9). </w:t>
      </w:r>
      <w:proofErr w:type="gramStart"/>
      <w:r w:rsidRPr="005C29F8">
        <w:rPr>
          <w:rFonts w:cs="Arial"/>
          <w:color w:val="000000" w:themeColor="text1"/>
          <w:szCs w:val="16"/>
        </w:rPr>
        <w:t>For the purpose of</w:t>
      </w:r>
      <w:proofErr w:type="gramEnd"/>
      <w:r w:rsidRPr="005C29F8">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State uses administrative data compiled from Iowa Workforce Development (IWD) and National Student Clearinghouse (NSC) to match to a base file of all students who exited school while on an IEP during the 2018-2019 school year. The IWD match rate for 2018-2019 is 100%. </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1" w:name="_Toc392159338"/>
            <w:r w:rsidRPr="0033429D">
              <w:rPr>
                <w:rFonts w:cs="Arial"/>
                <w:b/>
                <w:bCs/>
                <w:color w:val="000000" w:themeColor="text1"/>
                <w:szCs w:val="16"/>
              </w:rPr>
              <w:lastRenderedPageBreak/>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72" w:name="_Toc382082390"/>
      <w:bookmarkStart w:id="73" w:name="_Toc392159339"/>
      <w:bookmarkEnd w:id="71"/>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COVID-19 Impact Statement: COVID-19 did not impact the state’s ability to collect complete data for this indicator. However, the employment patterns seen nationally during much of 2020 are likely also being shown in the outcome data, with a decrease in competitive employment opportunities and an increase in other, noncompetitive employment.</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2"/>
      <w:bookmarkEnd w:id="73"/>
    </w:p>
    <w:p w14:paraId="7EA31497" w14:textId="77777777" w:rsidR="005B0B58" w:rsidRPr="005C29F8" w:rsidRDefault="005B0B58" w:rsidP="00A018D4">
      <w:pPr>
        <w:rPr>
          <w:color w:val="000000" w:themeColor="text1"/>
          <w:szCs w:val="20"/>
        </w:rPr>
      </w:pPr>
      <w:bookmarkStart w:id="74" w:name="_Toc381786822"/>
      <w:bookmarkStart w:id="75" w:name="_Toc382731911"/>
      <w:bookmarkStart w:id="76" w:name="_Toc382731912"/>
      <w:bookmarkStart w:id="77" w:name="_Toc392159340"/>
      <w:bookmarkEnd w:id="74"/>
      <w:bookmarkEnd w:id="75"/>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76"/>
    <w:bookmarkEnd w:id="77"/>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w:t>
            </w:r>
          </w:p>
        </w:tc>
      </w:tr>
    </w:tbl>
    <w:p w14:paraId="162CEFB3" w14:textId="55A4ED3A" w:rsidR="004A33CD" w:rsidRPr="005C29F8" w:rsidRDefault="00E31E29">
      <w:pPr>
        <w:rPr>
          <w:b/>
          <w:color w:val="000000" w:themeColor="text1"/>
        </w:rPr>
      </w:pPr>
      <w:bookmarkStart w:id="78" w:name="_Toc382731913"/>
      <w:bookmarkStart w:id="79"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43B1695A" w14:textId="2970A905" w:rsidR="000A2C83" w:rsidRPr="005C29F8" w:rsidRDefault="000A2C83" w:rsidP="000A2C83">
      <w:pPr>
        <w:rPr>
          <w:rFonts w:cs="Arial"/>
          <w:color w:val="000000" w:themeColor="text1"/>
          <w:szCs w:val="16"/>
        </w:rPr>
      </w:pPr>
    </w:p>
    <w:bookmarkEnd w:id="78"/>
    <w:bookmarkEnd w:id="79"/>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100.00%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06890" w:rsidP="00A018D4">
            <w:pPr>
              <w:jc w:val="center"/>
              <w:rPr>
                <w:rFonts w:cs="Arial"/>
                <w:color w:val="000000" w:themeColor="text1"/>
                <w:szCs w:val="16"/>
              </w:rPr>
            </w:pPr>
          </w:p>
        </w:tc>
        <w:tc>
          <w:tcPr>
            <w:tcW w:w="833" w:type="pct"/>
            <w:shd w:val="clear" w:color="auto" w:fill="auto"/>
          </w:tcPr>
          <w:p w14:paraId="0E9857EC" w14:textId="50F3C2EF"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0571C04B" w14:textId="328A30A7" w:rsidR="00206890" w:rsidRPr="005C29F8" w:rsidRDefault="00206890" w:rsidP="00A018D4">
            <w:pPr>
              <w:jc w:val="center"/>
              <w:rPr>
                <w:rFonts w:cs="Arial"/>
                <w:color w:val="000000" w:themeColor="text1"/>
                <w:szCs w:val="16"/>
              </w:rPr>
            </w:pPr>
          </w:p>
        </w:tc>
        <w:tc>
          <w:tcPr>
            <w:tcW w:w="833" w:type="pct"/>
            <w:shd w:val="clear" w:color="auto" w:fill="auto"/>
            <w:vAlign w:val="center"/>
          </w:tcPr>
          <w:p w14:paraId="77EAC2A0" w14:textId="7A794ABC" w:rsidR="00206890" w:rsidRPr="005C29F8" w:rsidRDefault="00206890" w:rsidP="00A018D4">
            <w:pPr>
              <w:jc w:val="center"/>
              <w:rPr>
                <w:rFonts w:cs="Arial"/>
                <w:color w:val="000000" w:themeColor="text1"/>
                <w:szCs w:val="16"/>
              </w:rPr>
            </w:pPr>
          </w:p>
        </w:tc>
        <w:tc>
          <w:tcPr>
            <w:tcW w:w="834" w:type="pct"/>
            <w:shd w:val="clear" w:color="auto" w:fill="auto"/>
            <w:vAlign w:val="center"/>
          </w:tcPr>
          <w:p w14:paraId="04397BF9" w14:textId="1A3506DC" w:rsidR="00206890" w:rsidRPr="005C29F8" w:rsidRDefault="00206890" w:rsidP="00A018D4">
            <w:pPr>
              <w:jc w:val="center"/>
              <w:rPr>
                <w:rFonts w:cs="Arial"/>
                <w:color w:val="000000" w:themeColor="text1"/>
                <w:szCs w:val="16"/>
              </w:rPr>
            </w:pP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lastRenderedPageBreak/>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3</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5</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84" w:type="pct"/>
            <w:shd w:val="clear" w:color="auto" w:fill="auto"/>
          </w:tcPr>
          <w:p w14:paraId="446CA14A" w14:textId="2AFBAFDB" w:rsidR="00372DF8" w:rsidRPr="005C29F8" w:rsidRDefault="00372DF8" w:rsidP="00A018D4">
            <w:pPr>
              <w:jc w:val="center"/>
              <w:rPr>
                <w:rFonts w:cs="Arial"/>
                <w:color w:val="000000" w:themeColor="text1"/>
                <w:szCs w:val="16"/>
              </w:rPr>
            </w:pP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provide targets until any fiscal year in which ten or more resolution sessions were held.</w:t>
      </w:r>
      <w:r w:rsidRPr="005C29F8">
        <w:rPr>
          <w:rFonts w:cs="Arial"/>
          <w:color w:val="000000" w:themeColor="text1"/>
          <w:szCs w:val="16"/>
        </w:rPr>
        <w:br/>
      </w:r>
      <w:r w:rsidRPr="005C29F8">
        <w:rPr>
          <w:rFonts w:cs="Arial"/>
          <w:color w:val="000000" w:themeColor="text1"/>
          <w:szCs w:val="16"/>
        </w:rPr>
        <w:br/>
        <w:t xml:space="preserve">COVID-19 Impact Statement: No known impact from COVID-19 on this indicator data’s collection,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or reliability.</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fewer than ten resolution sessions held in FFY 2019. The State is not required to provide targets until any fiscal year in which ten or more resolution sessions were held. </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0" w:name="_Toc382731916"/>
      <w:bookmarkStart w:id="81"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0"/>
    <w:bookmarkEnd w:id="81"/>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The State developed the Part B Annual Performance Report (APR) reviewing baseline data, </w:t>
      </w:r>
      <w:proofErr w:type="gramStart"/>
      <w:r w:rsidRPr="005C29F8">
        <w:rPr>
          <w:rFonts w:cs="Arial"/>
          <w:color w:val="000000" w:themeColor="text1"/>
          <w:szCs w:val="16"/>
        </w:rPr>
        <w:t>targets</w:t>
      </w:r>
      <w:proofErr w:type="gramEnd"/>
      <w:r w:rsidRPr="005C29F8">
        <w:rPr>
          <w:rFonts w:cs="Arial"/>
          <w:color w:val="000000" w:themeColor="text1"/>
          <w:szCs w:val="16"/>
        </w:rPr>
        <w:t xml:space="preserve"> and improvement activities, and drafting a report for each indicator. Once draft indicator reports were written, stakeholder groups provided input regarding these three components and comments were compiled. Stakeholder groups included Iowa Department of Education staff, the Learning Supports Advisory Team, the Area Education Agencies (AEA) administration, the Parent-Educator Connection (PEC), and the state Special Education Advisory Panel (SEAP). </w:t>
      </w:r>
      <w:r w:rsidRPr="005C29F8">
        <w:rPr>
          <w:rFonts w:cs="Arial"/>
          <w:color w:val="000000" w:themeColor="text1"/>
          <w:szCs w:val="16"/>
        </w:rPr>
        <w:br/>
        <w:t xml:space="preserve">Iowa’s Special Education Advisory Panel (SEAP) is the ultimate mechanism for stakeholder recommendations on targets in the SPP, including revisions. SEAP meets seven times a year and has organized those meetings so that discussion regarding indicators occurs throughout the year. Iowa Department of Education staff with responsibility for specific indicators work with relevant stakeholders to develop, </w:t>
      </w:r>
      <w:proofErr w:type="gramStart"/>
      <w:r w:rsidRPr="005C29F8">
        <w:rPr>
          <w:rFonts w:cs="Arial"/>
          <w:color w:val="000000" w:themeColor="text1"/>
          <w:szCs w:val="16"/>
        </w:rPr>
        <w:t>implement</w:t>
      </w:r>
      <w:proofErr w:type="gramEnd"/>
      <w:r w:rsidRPr="005C29F8">
        <w:rPr>
          <w:rFonts w:cs="Arial"/>
          <w:color w:val="000000" w:themeColor="text1"/>
          <w:szCs w:val="16"/>
        </w:rPr>
        <w:t xml:space="preserve"> and refine improvement activities. Input and feedback from the stakeholders implementing improvement activities is shared by the State to SEAP for final consideration. Relevant stakeholders </w:t>
      </w:r>
      <w:proofErr w:type="gramStart"/>
      <w:r w:rsidRPr="005C29F8">
        <w:rPr>
          <w:rFonts w:cs="Arial"/>
          <w:color w:val="000000" w:themeColor="text1"/>
          <w:szCs w:val="16"/>
        </w:rPr>
        <w:t>include:</w:t>
      </w:r>
      <w:proofErr w:type="gramEnd"/>
      <w:r w:rsidRPr="005C29F8">
        <w:rPr>
          <w:rFonts w:cs="Arial"/>
          <w:color w:val="000000" w:themeColor="text1"/>
          <w:szCs w:val="16"/>
        </w:rPr>
        <w:t xml:space="preserve"> parents, general and special education teachers, local administrators and building leaders, AEA consultants and administrators, Iowa Vocational Rehabilitation counselors and administrators, representatives from Institutes of Higher Education and other state and community organizations.</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74.00%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75.00%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85.71%</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76.47%</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85.00%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100.00%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87.50%</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lastRenderedPageBreak/>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75.00%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6</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2</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9</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87.50%</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75.00%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88.89%</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COVID-19 Impact Statement: No known impact from COVID-19 on this indicator data’s collection, completeness, </w:t>
      </w:r>
      <w:proofErr w:type="gramStart"/>
      <w:r w:rsidRPr="005C29F8">
        <w:rPr>
          <w:rFonts w:cs="Arial"/>
          <w:color w:val="000000" w:themeColor="text1"/>
          <w:szCs w:val="16"/>
        </w:rPr>
        <w:t>validity</w:t>
      </w:r>
      <w:proofErr w:type="gramEnd"/>
      <w:r w:rsidRPr="005C29F8">
        <w:rPr>
          <w:rFonts w:cs="Arial"/>
          <w:color w:val="000000" w:themeColor="text1"/>
          <w:szCs w:val="16"/>
        </w:rPr>
        <w:t xml:space="preserve"> or reliability. </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fewer than ten mediations held in FFY 2019. The State is not required to provide targets until any fiscal year in which ten or more mediations were held. </w:t>
      </w:r>
    </w:p>
    <w:p w14:paraId="55A8CDDB" w14:textId="4DC82242" w:rsidR="00913A33" w:rsidRDefault="001C46DC" w:rsidP="00123D76">
      <w:pPr>
        <w:pStyle w:val="Heading2"/>
      </w:pPr>
      <w:r w:rsidRPr="0033429D">
        <w:t>16 - Required Actions</w:t>
      </w:r>
    </w:p>
    <w:p w14:paraId="11D70EFA" w14:textId="02664DDD" w:rsidR="00B4143E" w:rsidRDefault="00B4143E" w:rsidP="00B4143E"/>
    <w:p w14:paraId="71634777" w14:textId="77777777" w:rsidR="00365777" w:rsidRDefault="00365777">
      <w:pPr>
        <w:spacing w:before="0" w:after="200" w:line="276" w:lineRule="auto"/>
        <w:rPr>
          <w:rStyle w:val="normaltextrun"/>
          <w:rFonts w:eastAsiaTheme="majorEastAsia" w:cs="Arial"/>
          <w:b/>
          <w:bCs/>
          <w:color w:val="000000"/>
          <w:sz w:val="20"/>
          <w:szCs w:val="28"/>
          <w:shd w:val="clear" w:color="auto" w:fill="FFFFFF"/>
        </w:rPr>
      </w:pPr>
      <w:r>
        <w:rPr>
          <w:rStyle w:val="normaltextrun"/>
          <w:rFonts w:cs="Arial"/>
          <w:color w:val="000000"/>
          <w:shd w:val="clear" w:color="auto" w:fill="FFFFFF"/>
        </w:rPr>
        <w:br w:type="page"/>
      </w:r>
    </w:p>
    <w:p w14:paraId="29C5BDE0" w14:textId="11F7FCCE" w:rsidR="00B4143E" w:rsidRPr="00B4143E" w:rsidRDefault="00B4143E" w:rsidP="00B4143E">
      <w:pPr>
        <w:pStyle w:val="Heading1"/>
      </w:pPr>
      <w:r>
        <w:rPr>
          <w:rStyle w:val="normaltextrun"/>
          <w:rFonts w:cs="Arial"/>
          <w:color w:val="000000"/>
          <w:shd w:val="clear" w:color="auto" w:fill="FFFFFF"/>
        </w:rPr>
        <w:lastRenderedPageBreak/>
        <w:t>Indicator 17: State Systemic Improvement Plan</w:t>
      </w:r>
    </w:p>
    <w:p w14:paraId="72813E4E" w14:textId="532E1944" w:rsidR="00293C7E" w:rsidRPr="005C29F8" w:rsidRDefault="00293C7E" w:rsidP="001F692C">
      <w:pPr>
        <w:rPr>
          <w:rFonts w:cs="Arial"/>
          <w:color w:val="000000" w:themeColor="text1"/>
          <w:szCs w:val="16"/>
        </w:rPr>
      </w:pPr>
    </w:p>
    <w:p w14:paraId="79966887" w14:textId="3F9A2483" w:rsidR="00755AF7" w:rsidRPr="005C29F8" w:rsidRDefault="00132CB1">
      <w:pPr>
        <w:spacing w:before="0" w:after="200" w:line="276" w:lineRule="auto"/>
        <w:rPr>
          <w:rFonts w:cs="Arial"/>
          <w:color w:val="000000" w:themeColor="text1"/>
          <w:szCs w:val="16"/>
        </w:rPr>
      </w:pPr>
      <w:r>
        <w:rPr>
          <w:rFonts w:cs="Arial"/>
          <w:color w:val="000000" w:themeColor="text1"/>
          <w:szCs w:val="16"/>
        </w:rPr>
        <w:object w:dxaOrig="1508" w:dyaOrig="983" w14:anchorId="4759DB33">
          <v:shape id="_x0000_i1026" type="#_x0000_t75" alt="Iowa FFY19_SSIP_PDF_Template_FINAL_March18" style="width:79.2pt;height:50.4pt" o:ole="">
            <v:imagedata r:id="rId12" o:title=""/>
          </v:shape>
          <o:OLEObject Type="Embed" ProgID="Acrobat.Document.DC" ShapeID="_x0000_i1026" DrawAspect="Icon" ObjectID="_1689412359" r:id="rId13"/>
        </w:object>
      </w: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47A15380" w14:textId="2BFE46A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2"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Barbara Guy</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barbara.guy@iowa.gov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5152310681</w:t>
      </w:r>
    </w:p>
    <w:bookmarkEnd w:id="82"/>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5D3B171B"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04/27/21 12:05:27 PM</w:t>
      </w:r>
    </w:p>
    <w:p w14:paraId="3EF25002" w14:textId="70F43776" w:rsidR="00A651D7" w:rsidRDefault="00A651D7" w:rsidP="000657F0">
      <w:pPr>
        <w:autoSpaceDE w:val="0"/>
        <w:autoSpaceDN w:val="0"/>
        <w:adjustRightInd w:val="0"/>
        <w:rPr>
          <w:rFonts w:cs="Arial"/>
          <w:color w:val="000000" w:themeColor="text1"/>
          <w:szCs w:val="16"/>
        </w:rPr>
      </w:pPr>
    </w:p>
    <w:p w14:paraId="4FB7C8D6" w14:textId="77777777" w:rsidR="00365777" w:rsidRDefault="00365777">
      <w:pPr>
        <w:spacing w:before="0" w:after="200" w:line="276" w:lineRule="auto"/>
        <w:rPr>
          <w:rFonts w:eastAsiaTheme="majorEastAsia" w:cstheme="majorBidi"/>
          <w:b/>
          <w:bCs/>
          <w:sz w:val="20"/>
          <w:szCs w:val="28"/>
        </w:rPr>
      </w:pPr>
      <w:r>
        <w:br w:type="page"/>
      </w:r>
    </w:p>
    <w:p w14:paraId="6400A8CB" w14:textId="08B981DE" w:rsidR="00A651D7" w:rsidRDefault="00A651D7" w:rsidP="00A651D7">
      <w:pPr>
        <w:pStyle w:val="Heading1"/>
      </w:pPr>
      <w:r>
        <w:lastRenderedPageBreak/>
        <w:t>ED Attachments</w:t>
      </w:r>
    </w:p>
    <w:p w14:paraId="243FEB5B" w14:textId="77777777" w:rsidR="00A651D7" w:rsidRPr="00A651D7" w:rsidRDefault="00A651D7" w:rsidP="00A651D7"/>
    <w:p w14:paraId="596B3C30" w14:textId="2D451C90" w:rsidR="00755AF7" w:rsidRPr="005C29F8" w:rsidRDefault="00132CB1" w:rsidP="00EE4B59">
      <w:pPr>
        <w:rPr>
          <w:rFonts w:cs="Arial"/>
          <w:color w:val="000000" w:themeColor="text1"/>
          <w:szCs w:val="16"/>
        </w:rPr>
      </w:pPr>
      <w:r>
        <w:rPr>
          <w:rFonts w:cs="Arial"/>
          <w:color w:val="000000" w:themeColor="text1"/>
          <w:szCs w:val="16"/>
        </w:rPr>
        <w:object w:dxaOrig="1508" w:dyaOrig="983" w14:anchorId="63DAF651">
          <v:shape id="_x0000_i1027" type="#_x0000_t75" alt="IA-B-Dispute-Resolution-2019-20" style="width:79.2pt;height:50.4pt" o:ole="">
            <v:imagedata r:id="rId14" o:title=""/>
          </v:shape>
          <o:OLEObject Type="Embed" ProgID="Acrobat.Document.DC" ShapeID="_x0000_i1027" DrawAspect="Icon" ObjectID="_1689412360" r:id="rId15"/>
        </w:object>
      </w:r>
      <w:r w:rsidR="001C49BE">
        <w:rPr>
          <w:rFonts w:cs="Arial"/>
          <w:color w:val="000000" w:themeColor="text1"/>
          <w:szCs w:val="16"/>
        </w:rPr>
        <w:tab/>
      </w:r>
      <w:r>
        <w:rPr>
          <w:rFonts w:cs="Arial"/>
          <w:color w:val="000000" w:themeColor="text1"/>
          <w:szCs w:val="16"/>
        </w:rPr>
        <w:object w:dxaOrig="1508" w:dyaOrig="983" w14:anchorId="3583D0BE">
          <v:shape id="_x0000_i1028" type="#_x0000_t75" alt="IA-2021DataRubricPartB" style="width:79.2pt;height:50.4pt" o:ole="">
            <v:imagedata r:id="rId16" o:title=""/>
          </v:shape>
          <o:OLEObject Type="Embed" ProgID="Excel.Sheet.12" ShapeID="_x0000_i1028" DrawAspect="Icon" ObjectID="_1689412361" r:id="rId17"/>
        </w:object>
      </w:r>
      <w:r w:rsidR="001C49BE">
        <w:rPr>
          <w:rFonts w:cs="Arial"/>
          <w:color w:val="000000" w:themeColor="text1"/>
          <w:szCs w:val="16"/>
        </w:rPr>
        <w:tab/>
      </w:r>
      <w:r w:rsidR="00F3136B">
        <w:rPr>
          <w:rFonts w:cs="Arial"/>
          <w:color w:val="000000" w:themeColor="text1"/>
          <w:szCs w:val="16"/>
        </w:rPr>
        <w:object w:dxaOrig="1376" w:dyaOrig="893" w14:anchorId="630234BB">
          <v:shape id="_x0000_i1031" type="#_x0000_t75" alt="ia-resultsmatrix-2021b" style="width:1in;height:43.2pt" o:ole="">
            <v:imagedata r:id="rId18" o:title=""/>
          </v:shape>
          <o:OLEObject Type="Embed" ProgID="Acrobat.Document.DC" ShapeID="_x0000_i1031" DrawAspect="Icon" ObjectID="_1689412362" r:id="rId19"/>
        </w:object>
      </w:r>
    </w:p>
    <w:sectPr w:rsidR="00755AF7" w:rsidRPr="005C29F8"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AAE88" w14:textId="77777777" w:rsidR="009371B9" w:rsidRDefault="009371B9" w:rsidP="000802F7">
      <w:pPr>
        <w:spacing w:before="0" w:after="0"/>
      </w:pPr>
      <w:r>
        <w:separator/>
      </w:r>
    </w:p>
  </w:endnote>
  <w:endnote w:type="continuationSeparator" w:id="0">
    <w:p w14:paraId="7E9A73F4" w14:textId="77777777" w:rsidR="009371B9" w:rsidRDefault="009371B9" w:rsidP="000802F7">
      <w:pPr>
        <w:spacing w:before="0" w:after="0"/>
      </w:pPr>
      <w:r>
        <w:continuationSeparator/>
      </w:r>
    </w:p>
  </w:endnote>
  <w:endnote w:type="continuationNotice" w:id="1">
    <w:p w14:paraId="13C7FF10" w14:textId="77777777" w:rsidR="009371B9" w:rsidRDefault="009371B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705B7" w14:textId="77777777" w:rsidR="009371B9" w:rsidRDefault="009371B9" w:rsidP="000802F7">
      <w:pPr>
        <w:spacing w:before="0" w:after="0"/>
      </w:pPr>
      <w:r>
        <w:separator/>
      </w:r>
    </w:p>
  </w:footnote>
  <w:footnote w:type="continuationSeparator" w:id="0">
    <w:p w14:paraId="52F3D28A" w14:textId="77777777" w:rsidR="009371B9" w:rsidRDefault="009371B9" w:rsidP="000802F7">
      <w:pPr>
        <w:spacing w:before="0" w:after="0"/>
      </w:pPr>
      <w:r>
        <w:continuationSeparator/>
      </w:r>
    </w:p>
  </w:footnote>
  <w:footnote w:type="continuationNotice" w:id="1">
    <w:p w14:paraId="449BAFD5" w14:textId="77777777" w:rsidR="009371B9" w:rsidRDefault="009371B9">
      <w:pPr>
        <w:spacing w:before="0" w:after="0"/>
      </w:pPr>
    </w:p>
  </w:footnote>
  <w:footnote w:id="2">
    <w:p w14:paraId="11A68261" w14:textId="61374EE5" w:rsidR="00565AE6" w:rsidRDefault="00565AE6">
      <w:pPr>
        <w:pStyle w:val="FootnoteText"/>
      </w:pPr>
      <w:r>
        <w:rPr>
          <w:rStyle w:val="FootnoteReference"/>
        </w:rPr>
        <w:footnoteRef/>
      </w:r>
      <w:r>
        <w:t xml:space="preserve"> </w:t>
      </w:r>
      <w:r w:rsidRPr="00565AE6">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62" type="#_x0000_t75" style="width:21.6pt;height:21.6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CB1"/>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0F81"/>
    <w:rsid w:val="001C23B6"/>
    <w:rsid w:val="001C2BF0"/>
    <w:rsid w:val="001C2E4E"/>
    <w:rsid w:val="001C3129"/>
    <w:rsid w:val="001C34E6"/>
    <w:rsid w:val="001C46DC"/>
    <w:rsid w:val="001C4828"/>
    <w:rsid w:val="001C49BE"/>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58"/>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5777"/>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B77"/>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5AE6"/>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2598"/>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38EA"/>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1B9"/>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2E80"/>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D7"/>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143E"/>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0FD"/>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36B"/>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 w:val="0B71F1B1"/>
    <w:rsid w:val="16217405"/>
    <w:rsid w:val="24928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B4143E"/>
  </w:style>
  <w:style w:type="character" w:customStyle="1" w:styleId="eop">
    <w:name w:val="eop"/>
    <w:basedOn w:val="DefaultParagraphFont"/>
    <w:rsid w:val="00B41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D5EDA816-BB67-4ED3-A78B-62758D4A5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purl.org/dc/term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ffcb171c-5eb6-4b7e-bff7-850b4441ed9e"/>
    <ds:schemaRef ds:uri="dd23999d-55bb-4b1f-885e-83712e5c49d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29434</Words>
  <Characters>167780</Characters>
  <Application>Microsoft Office Word</Application>
  <DocSecurity>0</DocSecurity>
  <Lines>1398</Lines>
  <Paragraphs>393</Paragraphs>
  <ScaleCrop>false</ScaleCrop>
  <Company>Microsoft</Company>
  <LinksUpToDate>false</LinksUpToDate>
  <CharactersWithSpaces>196821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7</cp:revision>
  <cp:lastPrinted>2014-08-19T16:56:00Z</cp:lastPrinted>
  <dcterms:created xsi:type="dcterms:W3CDTF">2021-07-23T17:54:00Z</dcterms:created>
  <dcterms:modified xsi:type="dcterms:W3CDTF">2021-08-02T15:58:00Z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5ff7291e-aeb0-4ac6-bfd5-d48399a791af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