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Iowa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 State estimates that the reliability of some indicator data submitted in this FFY 2020 SPP/APR is impacted by COVID-19. Indicators with data from 2019-2020 (Indicators 1, 2, and 4A/4B) may be less reliable due to the start of the pandemic at the end of that school year. Other indicators from 2020-2021 that are likely showing the impacts of COVID-19 with a decrease in outcome data are Indicators 3, 11, 12, and 14. Reviews were suspended at the beginning of the 2020-2021 school year with the need for schools and districts to focus their efforts on returning students to school, but were later resumed.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327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Since 1974, Iowa has been divided into intermediate agencies (Area Education Agencies) to provide specialized services. The AEAs were created in order to provide equity in the provision of programs and services across counties or merged areas. One key difference between Iowa’s AEA system and intermediate units in other states is that Iowa’s AEAs are mandatory. It is also mandatory that each local school district be assigned to an area education agency that will provide the services the school district needs. The AEAs carry special education general supervision and compliance responsibilities and the charge to provide the services needed by the local school districts. Their primary role is provision of special education support services to individuals under the age of 21 years requiring special education and related services, media services to all children through grade 12, and other educational services to pupils and education staff. The AEAs also provide the system used to locate and identify students suspected of having disabilities and provide the personnel to conduct evaluation activities in collaboration with LEAs. Iowa’s Part B general supervision system is a partnership between the Iowa Department of Education (IDE) and the AEAs and is multifaceted. The components include: 1) support practices that improve educational outcomes for students (described under technical assistance and professional development); 2) use of multiple methods to identify and correct noncompliance within one year; and 3) mechanisms to encourage and support improvement and enforce compliance. </w:t>
      </w:r>
      <w:r w:rsidRPr="00781112">
        <w:rPr>
          <w:rFonts w:cs="Arial"/>
          <w:color w:val="000000" w:themeColor="text1"/>
          <w:szCs w:val="16"/>
        </w:rPr>
        <w:br/>
        <w:t xml:space="preserve">Dispute Resolution. The State uses a system for dispute resolution including both informal and formal mechanisms. Resolution Facilitation is a way to resolve differences instead of, or before use of, formal proceedings provided by the State. The SEA has written procedures for resolving any complaint, including a complaint filed by an organization or individual from another state. The SEA has widely disseminated these procedures to parents and other interested individuals, including the Iowa Parent Training and Information Center, Disability Rights Iowa, independent living centers and other appropriate entities. A mediator assists in resolving differences between parents, schools and private service providers. Mediation is voluntary on the part of all parties and conducted by a qualified and impartial mediator who is trained in effective mediation techniques. Mediation can occur at any time, even prior to the filing of a due process hearing request. Whenever a due process hearing request is filed, the parties involved in the dispute have an opportunity for an impartial due process hearing. </w:t>
      </w:r>
      <w:r w:rsidRPr="00781112">
        <w:rPr>
          <w:rFonts w:cs="Arial"/>
          <w:color w:val="000000" w:themeColor="text1"/>
          <w:szCs w:val="16"/>
        </w:rPr>
        <w:br/>
        <w:t xml:space="preserve">Monitoring - Area Education Agencies (intermediate agencies). The SEA annually conducts desk audits for each AEA and follows up with accreditation visits if determined necessary. During this visit AEA documents are reviewed and internal (AEA staff) and external (Staff from school districts served by the AEA) interviews are held that relate to the agency’s five-year Comprehensive Improvement Plan and the services the agency provides in accordance with the eight required standards and one optional standard outlined in Chapter 72 of the Iowa Code. During the accreditation process, the special education services the agency provides are a part of each of the eight required standards. A targeted interview is held with special education staff; topics discussed during this interview include the agency’s State Performance Plan indicator data, LEA (district) special education procedural compliance data, the AEA’s general supervision responsibilities and other AEA data used by the Iowa Department of Education to make the accreditation determination regarding the agency. </w:t>
      </w:r>
      <w:r w:rsidRPr="00781112">
        <w:rPr>
          <w:rFonts w:cs="Arial"/>
          <w:color w:val="000000" w:themeColor="text1"/>
          <w:szCs w:val="16"/>
        </w:rPr>
        <w:br/>
        <w:t xml:space="preserve">Monitoring - Local Education Agencies (school districts). The SEA annually conducts desk audits for each LEA and follows up with accreditation visits if determined necessary. The Accreditation Site Visit process may include Iowa Chapter 12, Equity, Special Education and Title Programs; dependent upon findings of the desk audit. During a site review, the district provides requested information, including additional information as a result of the Iowa Department of Education’s procedural compliance review related to the implementation of IDEA. Data are collected through a Web-based tool, with a report developed for each district to identify individual student noncompliance and whether or not the issues are identified as a system level issue. If noncompliance is identified as a system level issue, the district must respond to the corrective action identified within the report. The AEA then monitors and verifies the correction of individual noncompliance as well as the implementation of the required corrective action. Individual student noncompliance and system level corrective action are to be fully implemented as soon as possible, but no later than one year from date of notification. After the AEA verifies that all corrections have been made, documentation is submitted to the SEA. </w:t>
      </w:r>
      <w:r w:rsidRPr="00781112">
        <w:rPr>
          <w:rFonts w:cs="Arial"/>
          <w:color w:val="000000" w:themeColor="text1"/>
          <w:szCs w:val="16"/>
        </w:rPr>
        <w:br/>
        <w:t>During the site visit, multiple interviews take place on a variety of topics. The on-site visit allows for conversations to occur regarding student performance and implementation of the special education practices in the district. Interview groups include community partners, parents, teachers, school board, district administrators, and support staff. One of the interviews allows for district staff to be interviewed with a specific focus on special education practices and district level special education data. A comprehensive report written to the district identifies strengths, recommendations and any noncompliance in all of the areas reviewed during the site visit. Any special education noncompliance identified during the site visit must be corrected as soon as possible, but no later than one year from date of notification.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Iowa’s technical assistance system as distinguished by OSEP, is intricately entwined with Iowa’s professional development system. This section, therefore, describes the structures which support technical assistance and professional development. The activities and strategies used for technical assistance and professional development are explained within the description of Iowa’s professional development system. </w:t>
      </w:r>
      <w:r w:rsidRPr="00781112">
        <w:rPr>
          <w:rFonts w:cs="Arial"/>
          <w:color w:val="000000" w:themeColor="text1"/>
          <w:szCs w:val="16"/>
        </w:rPr>
        <w:br/>
      </w:r>
      <w:r w:rsidRPr="00781112">
        <w:rPr>
          <w:rFonts w:cs="Arial"/>
          <w:color w:val="000000" w:themeColor="text1"/>
          <w:szCs w:val="16"/>
        </w:rPr>
        <w:br/>
        <w:t xml:space="preserve">Iowa’s technical assistance system has long been a partnership between the IDE, AEAs and LEAs. The processes and structures for providing technical </w:t>
      </w:r>
      <w:r w:rsidRPr="00781112">
        <w:rPr>
          <w:rFonts w:cs="Arial"/>
          <w:color w:val="000000" w:themeColor="text1"/>
          <w:szCs w:val="16"/>
        </w:rPr>
        <w:lastRenderedPageBreak/>
        <w:t>assistance, however, have changed over time.  Successful implementation of Iowa’s State Personnel Grant and Systemic Improvement Plan have resulted in the establishment of new structures for the provision of technical assistance.  Primary among them are the IDEA Support Network and SDI Literacy Network.  These new structures have provided leverage in four ways: (1) Alignment of resources, including fiscal and personnel, focused on one priority (literacy) across priority areas that have the greatest success across children/youth (work teams); (2) Collaboration of the DE, AEA and LEAs; (3) Identification/development of evidence-based frameworks, strategies and programs by experts in the field regardless of affiliation or location; and (4) Intentional statewide scaling based on implementation science.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Using the structures described above, Iowa employs its own model of professional development, established from evidence based practices of professional learning. The Iowa Professional Development Model (IPDM) is an integrated cycle of planning, ongoing implementation and evaluation. It emphasizes ongoing support and feedback for the learning and application of new skills. Iowa Administrative Code requires each district’s professional development plans to meet the following standards: </w:t>
      </w:r>
      <w:r w:rsidRPr="00781112">
        <w:rPr>
          <w:rFonts w:cs="Arial"/>
          <w:color w:val="000000" w:themeColor="text1"/>
          <w:szCs w:val="16"/>
        </w:rPr>
        <w:br/>
        <w:t xml:space="preserve">1. Align with the Iowa teaching standards and criteria; </w:t>
      </w:r>
      <w:r w:rsidRPr="00781112">
        <w:rPr>
          <w:rFonts w:cs="Arial"/>
          <w:color w:val="000000" w:themeColor="text1"/>
          <w:szCs w:val="16"/>
        </w:rPr>
        <w:br/>
        <w:t xml:space="preserve">2. Deliver research-based instructional strategies aligned with the student achievement goals established by the district; </w:t>
      </w:r>
      <w:r w:rsidRPr="00781112">
        <w:rPr>
          <w:rFonts w:cs="Arial"/>
          <w:color w:val="000000" w:themeColor="text1"/>
          <w:szCs w:val="16"/>
        </w:rPr>
        <w:br/>
        <w:t xml:space="preserve">3. Deliver professional development training and learning opportunities that are targeted at improvement of instruction and designed with the following components: </w:t>
      </w:r>
      <w:r w:rsidRPr="00781112">
        <w:rPr>
          <w:rFonts w:cs="Arial"/>
          <w:color w:val="000000" w:themeColor="text1"/>
          <w:szCs w:val="16"/>
        </w:rPr>
        <w:br/>
        <w:t xml:space="preserve">a. Student achievement data and analysis, comparisons of sub-group data which includes students with disabilities; </w:t>
      </w:r>
      <w:r w:rsidRPr="00781112">
        <w:rPr>
          <w:rFonts w:cs="Arial"/>
          <w:color w:val="000000" w:themeColor="text1"/>
          <w:szCs w:val="16"/>
        </w:rPr>
        <w:br/>
        <w:t xml:space="preserve">b. Theory about learning and instruction; </w:t>
      </w:r>
      <w:r w:rsidRPr="00781112">
        <w:rPr>
          <w:rFonts w:cs="Arial"/>
          <w:color w:val="000000" w:themeColor="text1"/>
          <w:szCs w:val="16"/>
        </w:rPr>
        <w:br/>
        <w:t xml:space="preserve">c. Classroom demonstration and practice; </w:t>
      </w:r>
      <w:r w:rsidRPr="00781112">
        <w:rPr>
          <w:rFonts w:cs="Arial"/>
          <w:color w:val="000000" w:themeColor="text1"/>
          <w:szCs w:val="16"/>
        </w:rPr>
        <w:br/>
        <w:t xml:space="preserve">d. Classroom observation and self-reflection; </w:t>
      </w:r>
      <w:r w:rsidRPr="00781112">
        <w:rPr>
          <w:rFonts w:cs="Arial"/>
          <w:color w:val="000000" w:themeColor="text1"/>
          <w:szCs w:val="16"/>
        </w:rPr>
        <w:br/>
        <w:t xml:space="preserve">e. Teacher collaboration and study of teacher implementation; and </w:t>
      </w:r>
      <w:r w:rsidRPr="00781112">
        <w:rPr>
          <w:rFonts w:cs="Arial"/>
          <w:color w:val="000000" w:themeColor="text1"/>
          <w:szCs w:val="16"/>
        </w:rPr>
        <w:br/>
        <w:t xml:space="preserve">f. Integration of instructional technology, if applicable; </w:t>
      </w:r>
      <w:r w:rsidRPr="00781112">
        <w:rPr>
          <w:rFonts w:cs="Arial"/>
          <w:color w:val="000000" w:themeColor="text1"/>
          <w:szCs w:val="16"/>
        </w:rPr>
        <w:br/>
        <w:t xml:space="preserve">4. Include an evaluation component of professional development that measures improvement in instructional practice and its impact on student learning; and </w:t>
      </w:r>
      <w:r w:rsidRPr="00781112">
        <w:rPr>
          <w:rFonts w:cs="Arial"/>
          <w:color w:val="000000" w:themeColor="text1"/>
          <w:szCs w:val="16"/>
        </w:rPr>
        <w:br/>
        <w:t>5. Support the professional development needs of district certified staff responsible for instruction.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106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As the primary vehicle for parent member involvement on SEAP, parent members of the panel were involved in every aspect of stakeholder engagement. Alongside the other panel members (see previous section for member representation), parents analyzed the historical data of each indicator, provided their input on which set of targets would be ambitious yet achievable in six years, and were engaged in the discussions regarding improvement strategies to reach the proposed targets. </w:t>
      </w:r>
      <w:r w:rsidRPr="00781112">
        <w:rPr>
          <w:color w:val="000000" w:themeColor="text1"/>
          <w:szCs w:val="16"/>
        </w:rPr>
        <w:br/>
        <w:t xml:space="preserve">Additional feedback was gathered from parents who participated in discussions of improvement strategies during several public webinars hosted by the Iowa Department of Education. Each of these webinars reviewed the proposed targets of indicators related to the topic, as voted on by the previously mentioned stakeholder groups, and featured a panel discussion by members of state agencies, LEA and AEA staff, community organizations, and parents. The webinar topics included: Secondary Transition, Preschool, Specially Designed Instruction (component of SSIP), Early Childhood Outcomes (Birth to 5), and Personnel Shortages. Webinar participants, which included parents, were able to ask questions and participate in the conversation during the webinar, as well as provide more detailed feedback and input on improvement strategies in an online survey. </w:t>
      </w:r>
      <w:r w:rsidRPr="00781112">
        <w:rPr>
          <w:color w:val="000000" w:themeColor="text1"/>
          <w:szCs w:val="16"/>
        </w:rPr>
        <w:br/>
        <w:t xml:space="preserve">A separate webinar opportunity was co-hosted by the IDE and Access for Special Kids (ASK) Resource Parent Center, a statewide special education advocacy organization. This webinar was specifically for parents and families of students in special education, and provided the opportunity for small group discussion of three potential priority areas, as well as an online survey to share additional information and suggestions.The three priority areas cut across several indicators and were: 1) communication and partnerships, 2) provision of services and supports by personnel with knowledge of content and unique needs of the child, and 3) application of specially designed instruction framework to other content areas. This statewide plan (SPP) addresses prioritized improvement activities based on parent member input. </w:t>
      </w:r>
      <w:r w:rsidRPr="00781112">
        <w:rPr>
          <w:color w:val="000000" w:themeColor="text1"/>
          <w:szCs w:val="16"/>
        </w:rPr>
        <w:br/>
        <w:t>Evaluation of progress will be conducted by comparing annual indicator outcomes to the targets set. Additional evaluation methods may be added as improvement strategies are implemented and progress data are shared with stakeholders.</w:t>
      </w:r>
    </w:p>
    <w:p w14:paraId="22B36B69" w14:textId="77777777" w:rsidR="00F72E24" w:rsidRPr="00781112" w:rsidRDefault="00F72E24" w:rsidP="00F72E24">
      <w:pPr>
        <w:rPr>
          <w:b/>
          <w:color w:val="000000" w:themeColor="text1"/>
        </w:rPr>
      </w:pPr>
      <w:r w:rsidRPr="00781112">
        <w:rPr>
          <w:b/>
          <w:color w:val="000000" w:themeColor="text1"/>
        </w:rPr>
        <w:lastRenderedPageBreak/>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Activities for increasing capacity of parent involvement included the IDE hosted webinars, opportunities to provide feedback in both in-person meetings and online surveys, and facilitated small group discussions with ASK Resource Center. Registration for the webinars was shared broadly across the state to all educator networks to increase the diversity of parents participating by geographic region. Demographic data was collected during webinar registration and in survey responses, and will be analyzed for which groups of parents may be identified for needing additional canvassing strategies in the future.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April – May 2021: IDE staff begin planning stakeholder engagement process and activities.</w:t>
      </w:r>
      <w:r w:rsidRPr="00781112">
        <w:rPr>
          <w:color w:val="000000" w:themeColor="text1"/>
          <w:szCs w:val="16"/>
        </w:rPr>
        <w:br/>
        <w:t>May – August 2021: IDE staff prepare historical data and additional data for indicators, develop individual indicator target setting worksheets, develop surveys for input.</w:t>
      </w:r>
      <w:r w:rsidRPr="00781112">
        <w:rPr>
          <w:color w:val="000000" w:themeColor="text1"/>
          <w:szCs w:val="16"/>
        </w:rPr>
        <w:br/>
        <w:t>August – November 2021: IDE staff meet monthly with SEAP and the AEA special education directors to review potential targets and discuss improvement strategies.</w:t>
      </w:r>
      <w:r w:rsidRPr="00781112">
        <w:rPr>
          <w:color w:val="000000" w:themeColor="text1"/>
          <w:szCs w:val="16"/>
        </w:rPr>
        <w:br/>
        <w:t>November – December 2021: Proposed final indicator targets are shared with webinar participants during public webinars hosted by the IDE.</w:t>
      </w:r>
      <w:r w:rsidRPr="00781112">
        <w:rPr>
          <w:color w:val="000000" w:themeColor="text1"/>
          <w:szCs w:val="16"/>
        </w:rPr>
        <w:br/>
        <w:t>February 2022: Targets are submitted as part of the FFY 2020 SPP/APR.</w:t>
      </w:r>
      <w:r w:rsidRPr="00781112">
        <w:rPr>
          <w:color w:val="000000" w:themeColor="text1"/>
          <w:szCs w:val="16"/>
        </w:rPr>
        <w:br/>
        <w:t xml:space="preserve">Evaluating progress: Progress of the state’s performance on the indicators is shared annually with SEAP, which is involved in any needed revisions to targets or baseline data.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February 2022: Targets are submitted as part of the FFY 2020 SPP/APR.</w:t>
      </w:r>
      <w:r w:rsidRPr="00781112">
        <w:rPr>
          <w:color w:val="000000" w:themeColor="text1"/>
          <w:szCs w:val="16"/>
        </w:rPr>
        <w:br/>
        <w:t xml:space="preserve">June 2022: The final submitted FFY 2020 SPP/APR is posted on the IDE’s public special education reporting website, which is the end result of the target setting, data analysis, development of improvement strategies and evaluation. </w:t>
      </w:r>
      <w:r w:rsidRPr="00781112">
        <w:rPr>
          <w:color w:val="000000" w:themeColor="text1"/>
          <w:szCs w:val="16"/>
        </w:rPr>
        <w:br/>
        <w:t xml:space="preserve">Ongoing: Progress of the state’s performance on the indicators is shared annually with SEAP, which is involved in any needed revisions to targets or baseline data. Outcome data are also shared with various stakeholder groups that meet throughout the year, such as the AEA Special Education Directors and State Special Education team, SEAP, and various state work groups  for discussion of evaluating progress. Current and future efforts also include public posting of state and LEA data profiles on the public reporting page.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 link to Iowa’s current SPP/APR on the IDEA website is located on IDE’s website under the Special Education Public Reporting section: https://educateiowa.gov/pk-12/special-education/special-education-public-reporting.</w:t>
      </w:r>
      <w:r w:rsidRPr="00781112">
        <w:rPr>
          <w:rFonts w:cs="Arial"/>
          <w:color w:val="000000" w:themeColor="text1"/>
          <w:szCs w:val="16"/>
        </w:rPr>
        <w:br/>
      </w:r>
      <w:r w:rsidRPr="00781112">
        <w:rPr>
          <w:rFonts w:cs="Arial"/>
          <w:color w:val="000000" w:themeColor="text1"/>
          <w:szCs w:val="16"/>
        </w:rPr>
        <w:br/>
        <w:t>When made available, the FFY 2020 SPP/APR will be posted on the same IDE website in the same location.</w:t>
      </w:r>
      <w:r w:rsidRPr="00781112">
        <w:rPr>
          <w:rFonts w:cs="Arial"/>
          <w:color w:val="000000" w:themeColor="text1"/>
          <w:szCs w:val="16"/>
        </w:rPr>
        <w:br/>
        <w:t>Performance of AEAs and LEAs on appropriate indicators are posted annually by June 1. District and AEA profiles are posted at: https://educateiowa.gov/pk-12/special-education/special-education-public-reporting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Iowa has received technical assistance from a number of OSEP funded centers as well as private entities throughout the reporting period. OSEP funded centers that have provided technical assistance to Iowa include Early Childhood Technical Assistance Center (ECTA), Center for IDEA Fiscal Reporting (CIFR), IDEA Data Center (IDC), National Center for Systemic Improvement (NCSI), and National Technical Assistance Center on Transition (NTACT).  The later two centers are most relevant to Iowa's needs to meet requirements. Actions taken as the result of technical assistance will focus on the work with NCSI and NTACT.  </w:t>
      </w:r>
      <w:r w:rsidRPr="00781112">
        <w:rPr>
          <w:rFonts w:cs="Arial"/>
          <w:color w:val="000000" w:themeColor="text1"/>
          <w:szCs w:val="16"/>
        </w:rPr>
        <w:br/>
      </w:r>
      <w:r w:rsidRPr="00781112">
        <w:rPr>
          <w:rFonts w:cs="Arial"/>
          <w:color w:val="000000" w:themeColor="text1"/>
          <w:szCs w:val="16"/>
        </w:rPr>
        <w:br/>
        <w:t>Iowa has participated in technical assistance provided by NCSI in a number of ways, including participation in general webinars, accessing resources collected and posted by NCSI and direct technical support provided by NCSI staff. Iowa staff attended the Learning Collaboratives event hosted by NCSI but had not committed to joining one by the time that COVID hit. Iowa has not, therefore, yet joined one of the three primary Learning Collaboratives sponsored by NCSI. The State Director of Special Education has, however, joined the State Education Agency Leadership (SEAL) Collaborative. Additionally, she meets monthly with NCSI staff in individual consultation. Finally, an NCSI staff person meets at least monthly with the Iowa Education Consultant who leads Iowa's monitoring and general supervision responsibilities. The primary outcome of this work is that Iowa is refining it's processes for identifying districts in need of additional support. The intent of this work is to better identify districts in need of support and connect them with evidence based strategies that directly address their needs. For example, Iowa's SSIP and SPDG are focused on specially designed early literacy. The evidence based practices from this work and the infrastructure supports for coaching will be available to those districts identified through Iowa's improved identification strategies which were refined with assistance from NCSI.</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BCF6254" w:rsidR="005E59DB" w:rsidRPr="00781112" w:rsidRDefault="005E59DB" w:rsidP="00B65C2C">
      <w:pPr>
        <w:rPr>
          <w:b/>
          <w:color w:val="000000" w:themeColor="text1"/>
        </w:rPr>
      </w:pPr>
      <w:r w:rsidRPr="00781112">
        <w:rPr>
          <w:b/>
          <w:color w:val="000000" w:themeColor="text1"/>
        </w:rPr>
        <w:t>Historical Data</w:t>
      </w:r>
      <w:r w:rsidR="00202A8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80.43%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76.99%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69.51%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74.25%</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76.51%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83.12%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83.37%</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85.42%</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86.57%</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87.72%</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88.87%</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2,861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78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618</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2,861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83.12%</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80.43%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Graduation in the State of Iowa is defined as (1) a student who has received a regular diploma who completed all unmodified district graduation requirements in the standard number of four years, or (2) students receiving a regular diploma from an alternative placement within the district, or who have had the requirements modified in accordance with a disability. Students who have finished the high school program but did not earn a diploma, or earned a certificate of attendance or other credential in lieu of a diploma are not considered graduates.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baseline has been set to FFY 2020 due to the change in data source. Stakeholders agreed with the need to change the baseline.</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2012</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21.49%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20.50%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18.05%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19.79%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19.34%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19.02%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18.79%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18.52%</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18.28%</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18.02%</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17.77%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17.51%</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17.25%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w:t>
      </w:r>
      <w:r w:rsidRPr="00781112">
        <w:rPr>
          <w:rFonts w:cs="Arial"/>
          <w:color w:val="000000" w:themeColor="text1"/>
          <w:szCs w:val="16"/>
        </w:rPr>
        <w:lastRenderedPageBreak/>
        <w:t xml:space="preserve">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2,861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78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618</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618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18.79%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National Center for Education Statistics (NCES) definitions used for dropouts include students who satisfy one or more of the following conditions:</w:t>
      </w:r>
      <w:r w:rsidRPr="00781112">
        <w:rPr>
          <w:rFonts w:cs="Arial"/>
          <w:color w:val="000000" w:themeColor="text1"/>
          <w:szCs w:val="16"/>
          <w:shd w:val="clear" w:color="auto" w:fill="FFFFFF"/>
        </w:rPr>
        <w:br/>
        <w:t>- Was enrolled in school at some time during the previous school year and was not enrolled as of Count Day of the current year or</w:t>
      </w:r>
      <w:r w:rsidRPr="00781112">
        <w:rPr>
          <w:rFonts w:cs="Arial"/>
          <w:color w:val="000000" w:themeColor="text1"/>
          <w:szCs w:val="16"/>
          <w:shd w:val="clear" w:color="auto" w:fill="FFFFFF"/>
        </w:rPr>
        <w:br/>
        <w:t>- Was enrolled in school at some time during the previous school year and left the school before the previous summer and</w:t>
      </w:r>
      <w:r w:rsidRPr="00781112">
        <w:rPr>
          <w:rFonts w:cs="Arial"/>
          <w:color w:val="000000" w:themeColor="text1"/>
          <w:szCs w:val="16"/>
          <w:shd w:val="clear" w:color="auto" w:fill="FFFFFF"/>
        </w:rPr>
        <w:br/>
        <w:t>- Has not graduated from high school or completed a state or district-approved educational program; and</w:t>
      </w:r>
      <w:r w:rsidRPr="00781112">
        <w:rPr>
          <w:rFonts w:cs="Arial"/>
          <w:color w:val="000000" w:themeColor="text1"/>
          <w:szCs w:val="16"/>
          <w:shd w:val="clear" w:color="auto" w:fill="FFFFFF"/>
        </w:rPr>
        <w:br/>
        <w:t>- Does not meet any of the following exclusionary conditions:</w:t>
      </w:r>
      <w:r w:rsidRPr="00781112">
        <w:rPr>
          <w:rFonts w:cs="Arial"/>
          <w:color w:val="000000" w:themeColor="text1"/>
          <w:szCs w:val="16"/>
          <w:shd w:val="clear" w:color="auto" w:fill="FFFFFF"/>
        </w:rPr>
        <w:br/>
        <w:t>- transfer to another public school district, private school, or state or district-approved educational program,</w:t>
      </w:r>
      <w:r w:rsidRPr="00781112">
        <w:rPr>
          <w:rFonts w:cs="Arial"/>
          <w:color w:val="000000" w:themeColor="text1"/>
          <w:szCs w:val="16"/>
          <w:shd w:val="clear" w:color="auto" w:fill="FFFFFF"/>
        </w:rPr>
        <w:br/>
        <w:t>- temporary school-recognized absence for suspension or illness,</w:t>
      </w:r>
      <w:r w:rsidRPr="00781112">
        <w:rPr>
          <w:rFonts w:cs="Arial"/>
          <w:color w:val="000000" w:themeColor="text1"/>
          <w:szCs w:val="16"/>
          <w:shd w:val="clear" w:color="auto" w:fill="FFFFFF"/>
        </w:rPr>
        <w:br/>
        <w:t>- death, or</w:t>
      </w:r>
      <w:r w:rsidRPr="00781112">
        <w:rPr>
          <w:rFonts w:cs="Arial"/>
          <w:color w:val="000000" w:themeColor="text1"/>
          <w:szCs w:val="16"/>
          <w:shd w:val="clear" w:color="auto" w:fill="FFFFFF"/>
        </w:rPr>
        <w:br/>
        <w:t>- move out of the state or leave the country</w:t>
      </w:r>
      <w:r w:rsidRPr="00781112">
        <w:rPr>
          <w:rFonts w:cs="Arial"/>
          <w:color w:val="000000" w:themeColor="text1"/>
          <w:szCs w:val="16"/>
          <w:shd w:val="clear" w:color="auto" w:fill="FFFFFF"/>
        </w:rPr>
        <w:br/>
        <w:t>A student who has left the regular program to attend an adult program designed to earn a High School Equivalency Diploma (HSED) or an adult high school diploma administered by a community college is considered a dropout. However, a student who enrolls in an alternative school or alternative program administered by a public school district is not considered a dropout.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98.55%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97.60%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95.48%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98.55%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97.63%</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95.54%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5,296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5,363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13,450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1,350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1,263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3,063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3,572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3,503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8,173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277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263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839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5,312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5,422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13,704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1,353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1,279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3,111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3,585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3,533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8,302</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279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258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826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5,199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5,296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98.17%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5,029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5,363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93.77%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12,075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13,450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89.78%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5,217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5,312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98.21%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5,070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5,422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93.51%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12,239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13,704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89.31%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Assessment results are publicly reported for the state and for all LEAs on the Iowa School Performance Profiles, as a Learning Measure under "Participation": https://www.iaschoolperformance.gov/ECP/StateDistrictSchool/StateDetails?DetailType=Participation&amp;DataDisplayType=Accountability&amp;y=2021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baseline for participation when under the former Indicator 3B was the FFY 2018 year. The baseline for participation under 3A has also been set to FFY 2018 due to that being the first year of the state's standard assessment, and was established due to Indicator 3A being new.</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25.14%</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18.15%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17.60%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33.42%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23.18%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13.23%</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28.41%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28.63%</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28.79%</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28.95%</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29.11%</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29.27%</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24.28%</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24.55%</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24.82%</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25.09%</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25.36%</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25.63%</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20.40%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20.60%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20.80%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21.20%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21.40%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30.04%</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30.76%</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31.44%</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32.12%</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32.80%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33.50%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24.03%</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24.50%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24.97%</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25.44%</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25.91%</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26.38%</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13.36%</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14.36%</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15.36%</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16.36%</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17.36%</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18.36%</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w:t>
      </w:r>
      <w:r w:rsidRPr="00781112">
        <w:rPr>
          <w:rFonts w:cs="Arial"/>
          <w:color w:val="000000" w:themeColor="text1"/>
          <w:szCs w:val="16"/>
        </w:rPr>
        <w:lastRenderedPageBreak/>
        <w:t xml:space="preserve">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4,922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4,766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11,236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386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298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667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1,011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857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1,791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4,938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4,812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11,413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410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307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456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1,073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850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1,164</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1,397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4,922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28.41%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28.38%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1,155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4,766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24.28%</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24.23%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2,458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11,236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20.40%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21.88%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1,483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4,938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30.04%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30.03%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1,157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4,812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24.03%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24.04%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1,620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11,413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13.36%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14.19%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Assessment results are publicly reported for the state and for all LEAs on the Iowa School Performance Profiles, as a Learning Measure under "Proficiency": https://www.iaschoolperformance.gov/ECP/StateDistrictSchool/StateDetails?DetailType=Proficiency&amp;y=2021</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baseline has been set to FFY 2018 due to that being the first year of the state's standard assessment, to which stakeholders agreed.</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and OSEP accepts those targets.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44.04%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19.01%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12.04%</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16.13%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9.30%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11.02%</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44.04%</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44.64%</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45.24%</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45.84%</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46.44%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47.04%</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19.01%</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19.61%</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20.21%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20.81%</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21.41%</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22.01%</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14.39%</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14.99%</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15.59%</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16.19%</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16.79%</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17.39%</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16.13%</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16.73%</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17.33%</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17.93%</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18.53%</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19.13%</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9.30%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9.90%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11.10%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11.70%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12.30%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11.02%</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11.62%</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12.22%</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12.82%</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13.42%</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14.02%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277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263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839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122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101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279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258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826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91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122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277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44.04%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44.04%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263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19.01%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19.01%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101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839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14.39%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12.04%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279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16.13%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16.13%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258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9.30%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9.30%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91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826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11.02%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11.02%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Assessment results are publicly reported for the state and for all LEAs on the Iowa School Performance Profiles, as an Additional Measure under "Alternate Assessment Results": https://www.iaschoolperformance.gov/ECP/StateDistrictSchool/StateDetails?DetailType=DLM&amp;k=0&amp;y=2021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baseline has been set to FFY 2020 due to the indicator measure being new for FFY 2020. Stakeholders agreed with the need to set the baseline at FFY 2020.</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44.55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48.79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51.26</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36.39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43.48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48.18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44.55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43.99</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43.83</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43.67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43.51</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43.35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48.79</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48.31</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48.04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47.77</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47.50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47.23</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51.26</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51.06</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50.86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50.66</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50.46</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50.26</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36.39</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35.52</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34.84</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34.16</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33.48</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32.80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43.59</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43.12</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42.65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42.18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41.71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41.24</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50.54</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49.54</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48.54</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47.54</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46.54</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45.54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w:t>
      </w:r>
      <w:r w:rsidRPr="00781112">
        <w:rPr>
          <w:rFonts w:cs="Arial"/>
          <w:color w:val="000000" w:themeColor="text1"/>
          <w:szCs w:val="16"/>
        </w:rPr>
        <w:lastRenderedPageBreak/>
        <w:t xml:space="preserve">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34,187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37,339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105,581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4,922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4,766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11,236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23,816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26,349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75,277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1,011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857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1,791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386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298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667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1,011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857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1,791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34,225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37,494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106,480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4,938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4,812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11,413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21,610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24,503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65,007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1,073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850</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1,164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410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307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456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1,073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850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1,164</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28.38%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72.62%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44.55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44.24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24.23%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72.86%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48.79</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48.63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21.88%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72.99%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51.26</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51.12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30.03%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66.28%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36.39</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36.24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24.04%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67.62%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43.59</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43.57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14.19%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62.14%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50.54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47.95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baseline has been set to FFY 2020 due to 3D being a new indicator measure. Stakeholders agreed with the need to set the baseline.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1.36%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1.81%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1.61%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0.92%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1.55%</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1.32%</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1.25%</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1.19%</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1.13%</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1.06%</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322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definition of significant discrepancy is a rate ratio that exceeds the threshold of 3.50 for any single year of data. The State uses both in-school and out-of-school suspensions as well as expulsions in making this calculation. The district’s rate of suspensions or expulsions totaling 10 or more days is compared to the State’s rate of suspensions or expulsions totaling 10 or more days. The district’s rate is calculated by dividing by the number of students with an IEP removed for 10 or more days by the total number of students with an IEP in the district. The calculation for the State’s rate is the same. The rate ratio used to determine significant discrepancy is the district’s rate divided by the State’s rate. </w:t>
      </w:r>
      <w:r w:rsidRPr="00781112">
        <w:rPr>
          <w:rFonts w:cs="Arial"/>
          <w:color w:val="000000" w:themeColor="text1"/>
          <w:szCs w:val="16"/>
        </w:rPr>
        <w:br/>
        <w:t xml:space="preserve">In-school and out-of-school suspension are both defined as an “administrative or school board removal of a student from school classes or activities for disciplinary reasons,” with a student still being under the supervision of school officials during an in-school suspension. Expulsion is defined as “a school board removal of a student from school classes and activities for disciplinary reasons,” (Collecting and Reporting Juvenile Incident and Discipline Data in Iowa Schools, 2006). A district must have a minimum of 10 students with an IEP to be considered in the analysis. </w:t>
      </w:r>
      <w:r w:rsidRPr="00781112">
        <w:rPr>
          <w:rFonts w:cs="Arial"/>
          <w:color w:val="000000" w:themeColor="text1"/>
          <w:szCs w:val="16"/>
        </w:rPr>
        <w:br/>
        <w:t>The percent of districts with significant discrepancy is calculated by (1) identifying districts with a rate ratio of greater than or equal to 3.50, (2) dividing the number of districts with this significant discrepancy by the total number of districts in the state that met the minimum n of ten, and (3) multiplying by 100.</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Districts identified as significantly discrepant participate in a district review consisting of the following areas relating to discipline/suspensions and expulsions: (1) A review and examination of district discipline data, (2) A review of policies, procedures and practices, (3) A review of documents (i.e., individual IEPs, student handbook to ensure alignment with board policies, etc.), (4) A review of the district Positive Behavioral Interventions and Supports, and (5) The development of a Corrective Action Plan, if necessary. Reviews were suspended in the fall of 2020 due to the COVID-19 pandemic, but were later resumed.</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A review of subsequent data indicated that three of the five districts reduced their risk rate ratio of a discrepancy to an extent that it was not significant. One district reduced the likelihood of a discrepancy of suspension/expulsion risk rate ratio from 7.7 to 5.2. While the remaining district saw a slight increase from 4.48 to 4.91, Department staff had ongoing interactions with the two remaining districts throughout the year and found no evidence of noncompliance in practices, policies and procedures. Therefore, all five districts were found to correctly implement the specific regulatory requirements (i.e., achieved 100% compliance).</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The State verified, through the State data system and review of the revised policies, procedures and practices that each individual case of noncompliance identified was corrected. 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A review of subsequent data indicated that three of the five districts reduced their risk rate ratio of a discrepancy to an extent that it was not significant. One district reduced the likelihood of a discrepancy of suspension/expulsion risk rate ratio from 7.7 to 5.2. While the remaining district saw a slight increase from 4.48 to 4.91, Department staff had ongoing interactions with the two remaining districts throughout the year and found no evidence of noncompliance in practices, policies and procedures. Therefore, all five districts were found to correctly implement the specific regulatory requirements (i.e., achieved 100% compliance).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report that noncompliance identified in FFY 2019 as a result of the review it conducted pursuant to 34 C.F.R. § 300.170(b) was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0.55%</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0.32%</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0.62%</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0.31%</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320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State’s definition of significant discrepancy is a rate ratio that exceeds the threshold of 3.50 for any one or more race/ethnicity category for any single year of data. The State uses both in-school and out-of-school suspensions as well as expulsions in making this calculation. The district’s rate of suspensions or expulsions totaling 10 or more days is compared to the State’s rate of suspensions or expulsions totaling 10 or more days for each race/ethnicity category. The district’s rate is calculated by dividing by the number of students with an IEP of each race/ethnicity removed for 10 or more days by the total number of students with an IEP of each race/ethnicity in the district. The calculation for the State’s rate is the same. The rate ratio used to determine significant discrepancy is the district’s rate divided by the State’s rate for each race/ethnicity category. In-school and out-of-school suspension are both defined as an “administrative or school board removal of a student from school classes or activities for disciplinary reasons,” with a student still being under the supervision of school officials during an in-school suspension. Expulsion is defined as “a school board removal of a student from school classes and activities for disciplinary reasons,” (Collecting and Reporting Juvenile Incident and Discipline Data in Iowa Schools, 2006). </w:t>
      </w:r>
      <w:r w:rsidRPr="00781112">
        <w:rPr>
          <w:rFonts w:cs="Arial"/>
          <w:color w:val="000000" w:themeColor="text1"/>
          <w:szCs w:val="16"/>
        </w:rPr>
        <w:br/>
        <w:t xml:space="preserve">A district must have a minimum of 10 students with an IEP in any one or more race/ethnicity categories to be considered in the analysis. </w:t>
      </w:r>
      <w:r w:rsidRPr="00781112">
        <w:rPr>
          <w:rFonts w:cs="Arial"/>
          <w:color w:val="000000" w:themeColor="text1"/>
          <w:szCs w:val="16"/>
        </w:rPr>
        <w:br/>
        <w:t>The percent of districts with significant discrepancy is calculated by (1) identifying districts with a rate ratio of greater than or equal to 3.50, (2) dividing the number of districts with this significant discrepancy by the total number of districts in the state that met the minimum n of ten, and (3) multiplying by 100.</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No districts were identified as significantly discrepant; therefore, no review was necessary and the State did not conduct any additional review.</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When necessary, districts identified as significantly discrepant participate in a district review consisting of the following areas relating to discipline/suspensions and expulsions: (1) A review and examination of district discipline data, (2) A review of policies, procedures and practices, (3) A review of documents (i.e., individual IEPs, student handbook to ensure alignment with board policies, etc.), (4) A review of the district Positive Behavioral Interventions and Supports, and (5) The development of a Corrective Action Plan, if necessary.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In addition to reviewing any corrective action plans, the State completed a desk audit, using the State data system, to verify findings. A final determination of findings was made by the State and a review of the corrective action plan was conducted to ensure policies, procedures, and practices were revised to comply with applicable requirements. </w:t>
      </w:r>
      <w:r w:rsidRPr="00781112">
        <w:rPr>
          <w:rFonts w:cs="Arial"/>
          <w:color w:val="000000" w:themeColor="text1"/>
          <w:szCs w:val="16"/>
        </w:rPr>
        <w:br/>
        <w:t xml:space="preserve">The LEA was required to submit results of the implementation of their corrective action plan to verify the noncompliance has been corrected in future occurrences. </w:t>
      </w:r>
      <w:r w:rsidRPr="00781112">
        <w:rPr>
          <w:rFonts w:cs="Arial"/>
          <w:color w:val="000000" w:themeColor="text1"/>
          <w:szCs w:val="16"/>
        </w:rPr>
        <w:br/>
        <w:t>A review of subsequent data from the State’s data system for the one district with previous noncompliance revealed no significant discrepancy. The district was found to be correctly implementing the specific regulatory requirements (i.e., achieved 100% compliance).</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The State verified, through the State data system and review of the revised policies, procedures and practices that each individual case of noncompliance identified was corrected. </w:t>
      </w:r>
      <w:r w:rsidRPr="00781112">
        <w:rPr>
          <w:rFonts w:cs="Arial"/>
          <w:color w:val="000000" w:themeColor="text1"/>
          <w:szCs w:val="16"/>
        </w:rPr>
        <w:br/>
        <w:t>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The State verified that each LEA is correctly implementing the regulatory requirements by reviewing updated information in the State data system of a similar nature to the area of noncompliance identified in the original finding.</w:t>
      </w:r>
      <w:r w:rsidRPr="00781112">
        <w:rPr>
          <w:rFonts w:cs="Arial"/>
          <w:color w:val="000000" w:themeColor="text1"/>
          <w:szCs w:val="16"/>
        </w:rPr>
        <w:br/>
        <w:t>The State verified, through the State data system and review of the revised policies, procedures and practices that each individual case of noncompliance identified was corrected. 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69.44%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71.71%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7.22%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1.23%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72.30%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73.10%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75.84%</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76.95%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79.69%</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80.81%</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7.00%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6.00%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6.00%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6.00%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1.70%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1.60%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1.50%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1.30%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1.15%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r>
      <w:r w:rsidRPr="00781112">
        <w:rPr>
          <w:rFonts w:cs="Arial"/>
          <w:color w:val="000000" w:themeColor="text1"/>
          <w:szCs w:val="16"/>
        </w:rPr>
        <w:lastRenderedPageBreak/>
        <w:t>The Department sent invitations to all parent advocacy organizations including Autism Speaks, Arc, and Disability Rights Iowa.  In addition, Iowa’s Parent Training and Information Center (ASK Resource) extended invitations out through their network.</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65,010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47,792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4,369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561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171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47,792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65,010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71.71%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72.30%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4,369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65,010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7.22%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774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65,010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1.23%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baseline has been set to FFY 2020 due to the change in measurement. Stakeholders agreed with the need to change the baseline.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33.73%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33.58%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32.61%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32.36%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33.23%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6.54%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6.42%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5.32%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3.64%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r>
      <w:r w:rsidRPr="00781112">
        <w:rPr>
          <w:rFonts w:cs="Arial"/>
          <w:color w:val="000000" w:themeColor="text1"/>
          <w:szCs w:val="16"/>
        </w:rPr>
        <w:lastRenderedPageBreak/>
        <w:t>The Department sent invitations to all parent advocacy organizations including Autism Speaks, Arc, and Disability Rights Iowa.  In addition, Iowa’s Parent Training and Information Center (ASK Resource) extended invitations out through their network.</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47.49%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47.49%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50.01%</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52.53%</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55.05%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57.57%</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60.10%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4.41%</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4.12%</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3.84%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3.55%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3.27%</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2.98%</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1.75%</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1,379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2,240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666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4,285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750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1,057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228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2,035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76</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83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183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2,035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4,285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33.23%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47.49%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47.49%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189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4,285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3.64%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4,285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1.68%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1.68%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baseline has been set to FFY 2020 due to the change in measurement. Stakeholders agreed with the need to change the baseline.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66.25%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63.03%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55.92%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59.01%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53.54%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55.84%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56.72%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54.33%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50.95%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71.77%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63.56%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34.92%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32.01%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32.23%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37.21%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33.17%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25.74%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58.79%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59.19%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56.49%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54.98%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61.29%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59.74%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61.50%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62.50%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63.50%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64.50%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65.50%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66.50%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50.00%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51.00%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52.00%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53.00%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54.00%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55.00%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68.00%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71.50%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74.00%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33.00%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33.50%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34.00%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34.50%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35.00%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35.50%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60.00%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60.50%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61.00%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62.50%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60.50%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61.00%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61.50%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62.00%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2,511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616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24.53%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472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18.80%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583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23.22%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819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32.62%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1,055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1,692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59.01%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61.50%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62.35%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1,402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2,511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50.95%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55.83%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0.92%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717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28.55%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923</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36.76%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707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28.16%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5.62%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1,630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2,370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63.56%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848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2,511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25.74%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33.77%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1.47%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583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23.22%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365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14.54%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597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23.78%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929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1,582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56.49%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60.81%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1,526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2,511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59.74%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60.77%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Early Childhood Outcomes (ECO) is a systematic process to determine children’s functioning compared to same-aged peers and to determine progress in skills and behaviors in the three ECO areas (A, B, C). The ECO data are gathered upon determination of eligibility for special education services. The ECO entry data for the Comparison to Peers are collected as part of the development of the Initial IEP and the ECO exit data for Comparison to Peers and Progress data are collected when the child exits or no longer receives early childhood special education services. These data are reported on the ECO Summary form that was adapted from the Child Outcomes Summary (COS) form developed by the National Early Child Outcomes Center. </w:t>
      </w:r>
      <w:r w:rsidRPr="00781112">
        <w:rPr>
          <w:rFonts w:cs="Arial"/>
          <w:color w:val="000000" w:themeColor="text1"/>
          <w:szCs w:val="16"/>
        </w:rPr>
        <w:br/>
        <w:t>A child's Comparison to Peers rating of his or her skills and behaviors are determined based on a triangulation of multiple sources of data gathered using methods such as Record review, Interview, Observation, and Test/Assessment (RIOT). The IEP Team determines the methods for collecting data based upon the unique needs of the child. The test/assessment instruments may include adaptive and developmental scales and curriculum-based, criterion-referenced and norm-referenced assessments. The ECO Summary form is used to summarize the child’s skills and behaviors in comparison to the functioning expected for the chronological age of the child as well as the child’s progress prior to exiting early childhood special education services in each of the three ECO areas. The ECO Summary form summarizes the analysis of a child's progress based on a triangulation of data such as progress on IEP goals and levels of independence in performance, regardless of the areas addressed on a child’s IEP. The ECO Summary form includes a seven-level outcome rating scale that summarizes each child’s level of functioning in each of the three ECO areas in relation to same-aged peers. A rating of six or seven indicates the ECO area was achieved at an age-appropriate level across a variety of settings and situations, and a rating of one through five indicates the child’s functioning was below age-appropriate skills expected of a child his or her age. Additionally, the IEP Team determines if a child has progressed or acquired new skills or behaviors in each of the three ECO areas and documents the child’s progress by responding to a “yes/no” question on the ECO Summary form.</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80.64%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89.07%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90.95%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5A338D" w:rsidP="00A018D4">
            <w:pPr>
              <w:jc w:val="center"/>
              <w:rPr>
                <w:rFonts w:cs="Arial"/>
                <w:color w:val="000000" w:themeColor="text1"/>
                <w:szCs w:val="16"/>
              </w:rPr>
            </w:pP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76.13%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85.49%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5A338D" w:rsidP="00A018D4">
            <w:pPr>
              <w:jc w:val="center"/>
              <w:rPr>
                <w:rFonts w:cs="Arial"/>
                <w:color w:val="000000" w:themeColor="text1"/>
                <w:szCs w:val="16"/>
              </w:rPr>
            </w:pP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88.64%</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89.80%</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90.96%</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92.12%</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93.38%</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94.44%</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85.68%</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87.54%</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89.40%</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91.26%</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93.12%</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95.00%</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320</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361</w:t>
            </w:r>
          </w:p>
        </w:tc>
        <w:tc>
          <w:tcPr>
            <w:tcW w:w="559" w:type="pct"/>
            <w:shd w:val="clear" w:color="auto" w:fill="auto"/>
            <w:vAlign w:val="bottom"/>
          </w:tcPr>
          <w:p w14:paraId="123C5B86" w14:textId="2170EE84" w:rsidR="007D6BB1" w:rsidRPr="00781112" w:rsidRDefault="007D6BB1" w:rsidP="00A018D4">
            <w:pPr>
              <w:jc w:val="center"/>
              <w:rPr>
                <w:rFonts w:cs="Arial"/>
                <w:color w:val="000000" w:themeColor="text1"/>
                <w:szCs w:val="16"/>
              </w:rPr>
            </w:pP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88.64%</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88.64%</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3,142</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559" w:type="pct"/>
            <w:shd w:val="clear" w:color="auto" w:fill="auto"/>
            <w:vAlign w:val="bottom"/>
          </w:tcPr>
          <w:p w14:paraId="740FC8CE" w14:textId="67D1D68F" w:rsidR="007D6BB1" w:rsidRPr="00781112" w:rsidRDefault="007D6BB1" w:rsidP="00A018D4">
            <w:pPr>
              <w:jc w:val="center"/>
              <w:rPr>
                <w:rFonts w:cs="Arial"/>
                <w:color w:val="000000" w:themeColor="text1"/>
                <w:szCs w:val="16"/>
              </w:rPr>
            </w:pP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85.68%</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85.68%</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69,295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5.81%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5.81%</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For the last several years, the state has conducted a census of all parents of students in special education in the spring of each year. With the state’s new special education data system, the state is considering changing to a sample of parents of students at key points – such as transitions from Part C to Part B or secondary transition. We anticipate that a sample approach would increase the overall response rate, and that using the parent portal of the IEP data system would greatly improve the representativeness of the children for which parents are responding.</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survey used to collect Indicator 8 data is sent to all parents of students in preschool through grade 12, including those with IEPs and those without IEPs. Parents of students with IEPs made up 12.0% of the total survey responses, which is just under the statewide IEP identification rate of 12.7% of students in preschool-grade 12. In this regard, there is no response bias between parents of students with IEPs and those without.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data of the children for which parents were responding were not entirely representative of the demographics of the children in the special education population. An analysis of the data indicates that by race or ethnicity, parents responding on behalf of children of African American and Hispanic or Latino are underrepresented in the results, while parents responding on behalf of children who are White are overrepresented. All other races/ethnicities were within +/-3 percentage points in the difference between the responses and the population, the state’s chosen metric for determining representation. </w:t>
      </w:r>
      <w:r w:rsidRPr="000A2B9F">
        <w:rPr>
          <w:b w:val="0"/>
          <w:bCs/>
          <w:color w:val="000000" w:themeColor="text1"/>
        </w:rPr>
        <w:lastRenderedPageBreak/>
        <w:t xml:space="preserve">See the data below: </w:t>
      </w:r>
      <w:r w:rsidRPr="000A2B9F">
        <w:rPr>
          <w:b w:val="0"/>
          <w:bCs/>
          <w:color w:val="000000" w:themeColor="text1"/>
        </w:rPr>
        <w:br/>
      </w:r>
      <w:r w:rsidRPr="000A2B9F">
        <w:rPr>
          <w:b w:val="0"/>
          <w:bCs/>
          <w:color w:val="000000" w:themeColor="text1"/>
        </w:rPr>
        <w:br/>
        <w:t>Population of Children by Race/Ethnicity</w:t>
      </w:r>
      <w:r w:rsidRPr="000A2B9F">
        <w:rPr>
          <w:b w:val="0"/>
          <w:bCs/>
          <w:color w:val="000000" w:themeColor="text1"/>
        </w:rPr>
        <w:br/>
        <w:t>Asian: 1.37%</w:t>
      </w:r>
      <w:r w:rsidRPr="000A2B9F">
        <w:rPr>
          <w:b w:val="0"/>
          <w:bCs/>
          <w:color w:val="000000" w:themeColor="text1"/>
        </w:rPr>
        <w:br/>
        <w:t>African American: 9.43%</w:t>
      </w:r>
      <w:r w:rsidRPr="000A2B9F">
        <w:rPr>
          <w:b w:val="0"/>
          <w:bCs/>
          <w:color w:val="000000" w:themeColor="text1"/>
        </w:rPr>
        <w:br/>
        <w:t>Hispanic or Latino: 11.56%</w:t>
      </w:r>
      <w:r w:rsidRPr="000A2B9F">
        <w:rPr>
          <w:b w:val="0"/>
          <w:bCs/>
          <w:color w:val="000000" w:themeColor="text1"/>
        </w:rPr>
        <w:br/>
        <w:t>Two or More Races: 5.51%</w:t>
      </w:r>
      <w:r w:rsidRPr="000A2B9F">
        <w:rPr>
          <w:b w:val="0"/>
          <w:bCs/>
          <w:color w:val="000000" w:themeColor="text1"/>
        </w:rPr>
        <w:br/>
        <w:t>American Indian or Alaska Native: 0.59%</w:t>
      </w:r>
      <w:r w:rsidRPr="000A2B9F">
        <w:rPr>
          <w:b w:val="0"/>
          <w:bCs/>
          <w:color w:val="000000" w:themeColor="text1"/>
        </w:rPr>
        <w:br/>
        <w:t>Native Hawaiian or Other Pacific Islander: 0.30%</w:t>
      </w:r>
      <w:r w:rsidRPr="000A2B9F">
        <w:rPr>
          <w:b w:val="0"/>
          <w:bCs/>
          <w:color w:val="000000" w:themeColor="text1"/>
        </w:rPr>
        <w:br/>
        <w:t>White 71.18%</w:t>
      </w:r>
      <w:r w:rsidRPr="000A2B9F">
        <w:rPr>
          <w:b w:val="0"/>
          <w:bCs/>
          <w:color w:val="000000" w:themeColor="text1"/>
        </w:rPr>
        <w:br/>
      </w:r>
      <w:r w:rsidRPr="000A2B9F">
        <w:rPr>
          <w:b w:val="0"/>
          <w:bCs/>
          <w:color w:val="000000" w:themeColor="text1"/>
        </w:rPr>
        <w:br/>
        <w:t>Responses of Parents on Behalf of Children by Race/Ethnicity:</w:t>
      </w:r>
      <w:r w:rsidRPr="000A2B9F">
        <w:rPr>
          <w:b w:val="0"/>
          <w:bCs/>
          <w:color w:val="000000" w:themeColor="text1"/>
        </w:rPr>
        <w:br/>
        <w:t>Asian: 1.32%</w:t>
      </w:r>
      <w:r w:rsidRPr="000A2B9F">
        <w:rPr>
          <w:b w:val="0"/>
          <w:bCs/>
          <w:color w:val="000000" w:themeColor="text1"/>
        </w:rPr>
        <w:br/>
        <w:t>African American: 2.46%</w:t>
      </w:r>
      <w:r w:rsidRPr="000A2B9F">
        <w:rPr>
          <w:b w:val="0"/>
          <w:bCs/>
          <w:color w:val="000000" w:themeColor="text1"/>
        </w:rPr>
        <w:br/>
        <w:t>Hispanic or Latino: 4.07%</w:t>
      </w:r>
      <w:r w:rsidRPr="000A2B9F">
        <w:rPr>
          <w:b w:val="0"/>
          <w:bCs/>
          <w:color w:val="000000" w:themeColor="text1"/>
        </w:rPr>
        <w:br/>
        <w:t>Two or More Races: 6.70%</w:t>
      </w:r>
      <w:r w:rsidRPr="000A2B9F">
        <w:rPr>
          <w:b w:val="0"/>
          <w:bCs/>
          <w:color w:val="000000" w:themeColor="text1"/>
        </w:rPr>
        <w:br/>
        <w:t>American Indian or Alaska Native: 0.55%</w:t>
      </w:r>
      <w:r w:rsidRPr="000A2B9F">
        <w:rPr>
          <w:b w:val="0"/>
          <w:bCs/>
          <w:color w:val="000000" w:themeColor="text1"/>
        </w:rPr>
        <w:br/>
        <w:t>Native Hawaiian or Other Pacific Islander: 0.07%</w:t>
      </w:r>
      <w:r w:rsidRPr="000A2B9F">
        <w:rPr>
          <w:b w:val="0"/>
          <w:bCs/>
          <w:color w:val="000000" w:themeColor="text1"/>
        </w:rPr>
        <w:br/>
        <w:t>White: 84.83%</w:t>
      </w:r>
      <w:r w:rsidRPr="000A2B9F">
        <w:rPr>
          <w:b w:val="0"/>
          <w:bCs/>
          <w:color w:val="000000" w:themeColor="text1"/>
        </w:rPr>
        <w:br/>
      </w:r>
      <w:r w:rsidRPr="000A2B9F">
        <w:rPr>
          <w:b w:val="0"/>
          <w:bCs/>
          <w:color w:val="000000" w:themeColor="text1"/>
        </w:rPr>
        <w:br/>
        <w:t xml:space="preserve">By age, parents responding on behalf of students ages 6-21 were within -1.40 to 2.14 percentage points of the population for all ages. For parents responding on behalf of children ages 3-5, parents responding on behalf of children age 4 were overrepresented, and on behalf of children age 5 were underrepresented. </w:t>
      </w:r>
      <w:r w:rsidRPr="000A2B9F">
        <w:rPr>
          <w:b w:val="0"/>
          <w:bCs/>
          <w:color w:val="000000" w:themeColor="text1"/>
        </w:rPr>
        <w:br/>
        <w:t>Based on the analysis described above, the state recognizes the need to improve representativeness of parents responding on behalf of children in the following areas:</w:t>
      </w:r>
      <w:r w:rsidRPr="000A2B9F">
        <w:rPr>
          <w:b w:val="0"/>
          <w:bCs/>
          <w:color w:val="000000" w:themeColor="text1"/>
        </w:rPr>
        <w:br/>
        <w:t xml:space="preserve">*Students that are African American and Hispanic or Latino </w:t>
      </w:r>
      <w:r w:rsidRPr="000A2B9F">
        <w:rPr>
          <w:b w:val="0"/>
          <w:bCs/>
          <w:color w:val="000000" w:themeColor="text1"/>
        </w:rPr>
        <w:br/>
        <w:t>*Parents of students that are age 3 and age 5 (likely those that are in preschool).</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For the last several years, the state has conducted a census of all parents of students in special education in the spring of each year. With the state’s new special education data system, the state is considering changing to a sample of parents of students at key points – such as transitions from Part C to Part B or secondary transition. We anticipate that a sample approach would increase the overall response rate, and that using the parent portal of the IEP data system would greatly improve the representativeness of the children for which parents are responding.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State compares the demographics of the children for which the parents respond to the demographics of the state's population of children in special education. If the percent of the survey responses are within +/- 3 percentage points of the population, it is considered representative. Differences that are greater are considered over- or underrepresentative, respectively.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317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The State’s definition of disproportionate representation is a risk ratio that exceeds the threshold of 3.50 for any one or more race/ethnicity category for any single year of data. The district’s risk for a race/ethnicity category is calculated by dividing by the number of students with an IEP of each race/ethnicity by the total number of students with an IEP of each race/ethnicity in the district. The district’s risk for a non-race/ethnicity category is calculated by dividing by the number of students with an IEP of each non-race/ethnicity by the total number of students with an IEP of each non-race/ethnicity in the district. The risk ratio used to determine disproportionate representation is the district’s risk for a race/ethnicity divided by the district’s risk for each non-race/ethnicity category. </w:t>
      </w:r>
      <w:r w:rsidRPr="00781112">
        <w:rPr>
          <w:rFonts w:cs="Arial"/>
          <w:color w:val="000000" w:themeColor="text1"/>
          <w:szCs w:val="16"/>
        </w:rPr>
        <w:br/>
        <w:t xml:space="preserve">A district must have a minimum of 10 students with an IEP in any one or more race/ethnicity categories to be considered in the analysis. </w:t>
      </w:r>
      <w:r w:rsidRPr="00781112">
        <w:rPr>
          <w:rFonts w:cs="Arial"/>
          <w:color w:val="000000" w:themeColor="text1"/>
          <w:szCs w:val="16"/>
        </w:rPr>
        <w:br/>
        <w:t>The percent of districts with significant discrepancy is calculated by (1) identifying districts with a risk ratio of greater than or equal to 3.50, (2) dividing the number of districts with disproportionate representation by the total number of districts in the state that met the minimum n of ten, and (3) multiplying by 100.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Iowa has developed a Disproportionality Review that is conducted at the district level. The process involves a formal review in which the district examines and evaluates the following areas: </w:t>
      </w:r>
      <w:r w:rsidRPr="00781112">
        <w:rPr>
          <w:rFonts w:cs="Arial"/>
          <w:color w:val="000000" w:themeColor="text1"/>
          <w:szCs w:val="16"/>
        </w:rPr>
        <w:br/>
        <w:t xml:space="preserve">Section 1: Review of Data, </w:t>
      </w:r>
      <w:r w:rsidRPr="00781112">
        <w:rPr>
          <w:rFonts w:cs="Arial"/>
          <w:color w:val="000000" w:themeColor="text1"/>
          <w:szCs w:val="16"/>
        </w:rPr>
        <w:br/>
        <w:t xml:space="preserve">Section 2: Review of Related Issues and Practices, </w:t>
      </w:r>
      <w:r w:rsidRPr="00781112">
        <w:rPr>
          <w:rFonts w:cs="Arial"/>
          <w:color w:val="000000" w:themeColor="text1"/>
          <w:szCs w:val="16"/>
        </w:rPr>
        <w:br/>
        <w:t xml:space="preserve">Section 3: Review of Policies, Procedures and Practices, </w:t>
      </w:r>
      <w:r w:rsidRPr="00781112">
        <w:rPr>
          <w:rFonts w:cs="Arial"/>
          <w:color w:val="000000" w:themeColor="text1"/>
          <w:szCs w:val="16"/>
        </w:rPr>
        <w:br/>
        <w:t xml:space="preserve">Section 4: Technical Assistance/Professional Development, and </w:t>
      </w:r>
      <w:r w:rsidRPr="00781112">
        <w:rPr>
          <w:rFonts w:cs="Arial"/>
          <w:color w:val="000000" w:themeColor="text1"/>
          <w:szCs w:val="16"/>
        </w:rPr>
        <w:br/>
        <w:t>Section 5: Results/Findings.</w:t>
      </w:r>
      <w:r w:rsidRPr="00781112">
        <w:rPr>
          <w:rFonts w:cs="Arial"/>
          <w:color w:val="000000" w:themeColor="text1"/>
          <w:szCs w:val="16"/>
        </w:rPr>
        <w:br/>
        <w:t xml:space="preserve">The data review consists of the district examining its collection and use of data, (e.g., how data are disaggregated, analyzed, used to make decisions, guide practices, etc.). The review of related issues and practices consists of the examination of key areas that have been identified as impacting the area of disproportionality (e.g., utilization of universal screening; administrator/personnel understanding of special education procedures and requirements regarding referral, evaluation, identification, placement, discipline, LRE; attempts to rule out exclusionary factors during the evaluation process, etc.) </w:t>
      </w:r>
      <w:r w:rsidRPr="00781112">
        <w:rPr>
          <w:rFonts w:cs="Arial"/>
          <w:color w:val="000000" w:themeColor="text1"/>
          <w:szCs w:val="16"/>
        </w:rPr>
        <w:br/>
        <w:t xml:space="preserve">The process also consists of a formal review of policies, procedures and practices regarding the following areas: child find, parent participation, general education interventions, systematic problem-solving process, progress monitoring and data collection, determination of eligibility and evaluations/reevaluations. In addition, the district describes the technical assistance and/or professional development that is being conducted at the district and in districts regarding and/or related to disproportionality (e.g., differentiation of instruction, progress monitoring, cultural competency, understanding racial biases, etc.). </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baseline was set to FFY 2020 due to the change in the measurement.</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9"/>
    <w:bookmarkEnd w:id="50"/>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Iowa is noncategorical and does not collect disability category data.</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51" w:name="_Toc384383353"/>
      <w:bookmarkStart w:id="5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3" w:name="_Toc384383354"/>
      <w:bookmarkStart w:id="54" w:name="_Toc392159322"/>
      <w:bookmarkEnd w:id="51"/>
      <w:bookmarkEnd w:id="5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87.31%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99.30%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99.28%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98.48%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89.00%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11,566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11,167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89.00%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96.55%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399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Range of days beyond 60-day timeline when meeting was held: 1-242</w:t>
      </w:r>
      <w:r w:rsidRPr="00781112">
        <w:rPr>
          <w:color w:val="000000" w:themeColor="text1"/>
        </w:rPr>
        <w:br/>
        <w:t>Reasons for delays:</w:t>
      </w:r>
      <w:r w:rsidRPr="00781112">
        <w:rPr>
          <w:color w:val="000000" w:themeColor="text1"/>
        </w:rPr>
        <w:br/>
        <w:t>Child's hospitalization/long-term illness: 5</w:t>
      </w:r>
      <w:r w:rsidRPr="00781112">
        <w:rPr>
          <w:color w:val="000000" w:themeColor="text1"/>
        </w:rPr>
        <w:br/>
        <w:t>Natural disaster: 3</w:t>
      </w:r>
      <w:r w:rsidRPr="00781112">
        <w:rPr>
          <w:color w:val="000000" w:themeColor="text1"/>
        </w:rPr>
        <w:br/>
        <w:t>No valid reason: 99</w:t>
      </w:r>
      <w:r w:rsidRPr="00781112">
        <w:rPr>
          <w:color w:val="000000" w:themeColor="text1"/>
        </w:rPr>
        <w:br/>
        <w:t>Parent failure or refusal: 93</w:t>
      </w:r>
      <w:r w:rsidRPr="00781112">
        <w:rPr>
          <w:color w:val="000000" w:themeColor="text1"/>
        </w:rPr>
        <w:br/>
        <w:t>Public health emergency - COVID-19: 199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Reported data were generated from Iowa’s Information Management System. The data reflect all children and youth in Iowa who were evaluated for determination of eligibility for an IEP, during the current reporting period. The data were entered into the database by trained personnel, using the federal definition for 60-day timeline for evaluation (initial evaluations). The data taken from the monitoring system are based on the actual (not an average) number of days. Iowa uses the date of receipt of consent by the public agency, as the date for starting the 60-day calendar for completion of the evaluation. The State uses the date of evaluation as the date for stopping the calendar for calculating the timeline. At all pertinent times, Iowa’s definition of 60-day timeline is identical to the federal definition contained in the 2005 IDEA amendments and the 2007 IDEA regulations.</w:t>
      </w:r>
    </w:p>
    <w:p w14:paraId="4F981BFF" w14:textId="77777777" w:rsidR="00C86164" w:rsidRPr="00781112" w:rsidRDefault="00C86164" w:rsidP="00C86164">
      <w:pPr>
        <w:rPr>
          <w:rFonts w:cs="Arial"/>
          <w:b/>
          <w:color w:val="000000" w:themeColor="text1"/>
          <w:szCs w:val="16"/>
        </w:rPr>
      </w:pPr>
      <w:bookmarkStart w:id="55" w:name="_Toc381956339"/>
      <w:bookmarkStart w:id="56" w:name="_Toc384383357"/>
      <w:bookmarkStart w:id="5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State used data from the state database (e.g., subsequent data) designed to track special education evaluation and placement data. These data were used to determine the extent to which 60-day timelines were met statewide, and which AEAs were or were not meeting the regulatory requirement of 100% compliance of evaluations completed within a 60-day timeline. The state verified through this follow-up that all AEAs were correctly implementing the specific regulatory requirements (i.e., achieved 100% compliance) based on a review of updated data.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noncompliance identified during the prior reporting period by (a) verifying that every child for whom consent to evaluate was received subsequently received an evaluation, even if late, unless the child was no longer in the jurisdiction of the AEA, and (b) verifying that each AEA that was performing below 100 percent compliance during the prior reporting period is correctly implementing 34 CFR §300.301(c)(1).</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State used data from the state database designed to track special education evaluation and placement data. These data were used to determine the extent to which 60-day timelines were being met statewide, and which AEAs were or were not meeting the regulatory requirement of 100% compliance of evaluations completed within the 60-day timeline. The State continued to emphasize the use of verification reports to help meet the timelines.</w:t>
      </w:r>
      <w:r w:rsidRPr="00781112">
        <w:rPr>
          <w:rFonts w:cs="Arial"/>
          <w:color w:val="000000" w:themeColor="text1"/>
          <w:szCs w:val="16"/>
        </w:rPr>
        <w:br/>
        <w:t>The State verified the correction of noncompliance identified during the prior reporting period by (a) verifying that every child for whom consent to evaluate was received subsequently received an evaluation, even if late, unless the child was no longer in the jurisdiction of the AEA, and (b) verifying that each AEA that was performing below 100 percent compliance during the prior reporting period is correctly implementing 34 CFR §300.301(c)(1).</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55"/>
      <w:bookmarkEnd w:id="56"/>
      <w:bookmarkEnd w:id="5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8" w:name="_Toc384383358"/>
      <w:bookmarkStart w:id="5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0" w:name="_Toc384383359"/>
      <w:bookmarkStart w:id="61" w:name="_Toc392159327"/>
      <w:bookmarkEnd w:id="58"/>
      <w:bookmarkEnd w:id="5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99.83%</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0"/>
          <w:bookmarkEnd w:id="6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99.34%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99.65%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99.48%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99.54%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88.84%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1,156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1,017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1,017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1,077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88.84%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94.43%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Days beyond third birthday when eligibility was determined and IEP developed: 1-253</w:t>
      </w:r>
      <w:r w:rsidRPr="00781112">
        <w:rPr>
          <w:bCs/>
          <w:color w:val="000000" w:themeColor="text1"/>
        </w:rPr>
        <w:br/>
        <w:t>Reasons for delay:</w:t>
      </w:r>
      <w:r w:rsidRPr="00781112">
        <w:rPr>
          <w:bCs/>
          <w:color w:val="000000" w:themeColor="text1"/>
        </w:rPr>
        <w:br/>
        <w:t>Natural Disaster: 3</w:t>
      </w:r>
      <w:r w:rsidRPr="00781112">
        <w:rPr>
          <w:bCs/>
          <w:color w:val="000000" w:themeColor="text1"/>
        </w:rPr>
        <w:br/>
        <w:t>Public Health Emergency: 26</w:t>
      </w:r>
      <w:r w:rsidRPr="00781112">
        <w:rPr>
          <w:bCs/>
          <w:color w:val="000000" w:themeColor="text1"/>
        </w:rPr>
        <w:br/>
        <w:t>No valid reason: 31</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2" w:name="_Hlk20318414"/>
      <w:bookmarkEnd w:id="62"/>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reported were generated from Iowa’s Information Management System. The data reflect all children in Iowa who were referred by Part C prior to age three for determination of eligibility for an IEP, during the current reporting period. The data were entered into the database by trained personnel.</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State used data from the state database (e.g. subsequent data) to determine the extent to which early childhood transition requirements were met in the state, and to determine which AEAs were and were not meeting regulatory requirements of developing and implementing an IEP by the child’s third birthday. The State reviewed FFY 2020 data for the 8 AEAs with noncompliant data in FFY 2019.  During this review, the State determined that noncompliance was occurring rarely and in isolated cases without any trend. While not at 100%, most were delayed as a result of the public health emergency.  As a result of the root cause analyses, the SEA continued to promote the use of verification reports in the state’s database that alert AEAs to transition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noncompliance identified during the prior reporting period by (a) verifying that very child served in Part C and referred to Part B subsequently received an evaluation and – if eligible – a fully developed IEP, even if late, unless the child was no longer in the jurisdiction of the LEA, and (b) verifying that each AEA that was performing below 100 percent compliance during the prior reporting period is correctly implementing 34 CFR §300.124(b).</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State used data from the state database to determine the extent to which early childhood transition requirements were being met in the state, and to determine which AEAs were and were not meeting regulatory requirements of developing and implementing an IEP by the child’s third birthday. During the prior reporting period, the State determined that noncompliance was occurring rarely and in isolated cases without any trend. As a result of the root cause analyses, the SEA continued to promote the use of verification reports in the state’s database that alert AEAs to transition requirements.</w:t>
      </w:r>
      <w:r w:rsidRPr="00781112">
        <w:rPr>
          <w:rFonts w:cs="Arial"/>
          <w:color w:val="000000" w:themeColor="text1"/>
          <w:szCs w:val="16"/>
        </w:rPr>
        <w:br/>
        <w:t>The State verified the correction of noncompliance identified during the prior reporting period by (a) verifying that very child served in Part C and referred to Part B subsequently received an evaluation and – if eligible – a fully developed IEP, even if late, unless the child was no longer in the jurisdiction of the LEA, and (b) verifying that each AEA that was performing below 100 percent compliance during the prior reporting period is correctly implementing 34 CFR §300.124(b).</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six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3" w:name="_Toc384383363"/>
      <w:bookmarkStart w:id="64"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65" w:name="_Toc384383364"/>
      <w:bookmarkStart w:id="66" w:name="_Toc392159332"/>
      <w:bookmarkEnd w:id="63"/>
      <w:bookmarkEnd w:id="64"/>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2016</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61.69%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94.74%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61.69%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63.86%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65.88%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68.61%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3,954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5,769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68.61%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68.54%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In order to obtain the sample for the current reporting year, IEPs were randomly selected at the district level from the population of students with disabilities ages 14. (Please note that Iowa Code requires that transition planning begin by age 14, rather than age 16, as stipulated by IDEA.) The State's sampling plan is a three-year cycle for IEP review. During the first year of the cycle, IEPs from all districts in the state are reviewed. Subsequent samples for years two and three of the cycle are drawn for districts found to be outside the universal tier of support. All samples are drawn using the procedure outlined below. IEPs are randomly selected at the district level from the population of students with disabilities ages 14 and older in districts in the self-assessment year of Iowa’s school improvement cycle. (Please note that Iowa Code requires that transition planning begin by age 14, rather than age 16, as stipulated by IDEA.) Sample size is determined using an 80% confidence interval with a margin of error of +/-10%. The sample is drawn with stringent confidence intervals because of the magnitude of decision-making based on the data. The sample is drawn to ensure representativeness. Responses are later assessed to validate the sample on representativeness by age, race and gender. (Please note that Iowa does not collect information on disability category). To meet criteria for Indicator B-13, an IEP must contain all six of the elements listed below. Critical Element 1: Interests and Preferences. Interests and preferences as they relate to post-secondary areas and student invitation to the meeting. Critical Element 2: Transition Assessments. Assessment information listing specific data and the source of the data for each post-secondary area of living, learning and working is sufficient to determine that the post-secondary area was assessed. Critical Element 3: Post-secondary Expectations. A statement for each post-secondary area of living, learning, and working is observable, based on assessment information and projects beyond high school. Critical Element 4: Course of Study. The course of study must project to the student’s anticipated end of high school, be based on needs and include: 1) a targeted graduation date; 2) the student’s graduation criteria; and 3) any courses or activities the student needs to pursue his/her post-secondary expectations. Critical Element 5: Annual Goals. All goals must support pursuit of the student’s post-secondary expectations and be well-written and all areas of post-secondary expectations must have a goal or service / activity or the assessment information must clearly indicate there is no need for services in that post-secondary area. Critical Element 6: Services, supports, and activities. Statements must specifically describe the services, supports and activities necessary to meet the needs identified through the transition assessment. Evidence that adult agencies and community organizations were involved as appropriate must also be present. Data were collected through Iowa’s System to Achieve Results (ISTAR), certified by AEA staff and validated through the ISTAR system. Selection bias was avoided to the largest possible extent by drawing a representative sample of IEPs at a high level of confidence using the procedure described above. A response rate of 100 percent was achieved. Sample data for the reporting period were assessed for similarity or difference of the sample to the population of students with disabilities. (Please note that Iowa does not collect information on disability category.)</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67"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1,815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1,815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Verification of correct implementation of the regulatory requirement was done by analyzing subsequent data.  Districts assigned to the intensive level of support, 50% compliance and below, are required to review a sample of IEPs determined using an 80% confidence interval with a margin of error of +/-10% during years two and three of the cycle regardless of improved performance. While the State was able to verify correction of all individual noncompliance for prior reporting period, the state review indicated that implementation of specific regulatory requirements occurred in only six of the ninety districts. This is despite corrective action and technical assistance provided by the state. As a result, the State is changing its processes for data collection, identification of district support needs and types of supports provided to districts.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noncompliance identified during the prior reporting period by (a) verifying that every instance of child-specific noncompliance was subsequently corrected on the IEP, and (b) verifying that each district that was performing below 100% compliance during the prior reporting period is correctly implementing 34 CFR §§300.320(b) and 300.321(b). Verification of correction of individual noncompliance occurs in the Iowa’s System to Achieve Results (ISTAR) monitoring system. First, the district verifies that for each child for whom the transition requirements were not met, all required corrections have been made on the IEP. Then the Area Education Agency (AEA) verifies the same information on the IEP. Child-specific noncompliance is considered “verified” when both steps have been completed. While the State was able to verify correction of all noncompliance for prior reporting period, the state has procedures in place should timely correction not take place in the future. Iowa’s Administrative Rules of Special Education provide the State with the latitude to take enforcement actions in cases of noncompliance with the IDEA including, but not limited to, requiring a corrective action plan, withholding payments under Part B, and referring the matter for enforcement to the Department of Justice or state auditor. [IAC 2 1 1.604]</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Verification of correct implementation of the regulatory requirement was done by analyzing subsequent data in a sample of IEPs subsequent to the time during which the noncompliance was found, but within the one-year correction period. Districts assigned to the intensive level of support, 50% compliance and below, were required to review a sample of IEPs determined using an 80% confidence interval with a margin of error of +/-10% during years two and three of the cycle regardless of improved performance. While the State was able to verify correction of all noncompliance for prior reporting period, the state has procedures in place should timely correction not take place in the future. Iowa’s Administrative Rules of Special Education provide the State with the latitude to take enforcement actions in cases of noncompliance with the IDEA including, but not limited to, requiring a corrective action plan, withholding payments under Part B, and referring the matter for enforcement to the Department of Justice or state auditor. [IAC 2 1 1.604]</w:t>
      </w:r>
      <w:r w:rsidRPr="00781112">
        <w:rPr>
          <w:rFonts w:cs="Arial"/>
          <w:color w:val="000000" w:themeColor="text1"/>
          <w:szCs w:val="16"/>
        </w:rPr>
        <w:br/>
        <w:t>The State verified the correction of noncompliance identified during the prior reporting period by (a) verifying that every instance of child-specific noncompliance was subsequently corrected on the IEP, and (b) verifying that each district that was performing below 100% compliance during the prior reporting period was correctly implementing 34 CFR §§300.320(b) and 300.321(b). Verification of correction of individual noncompliance occurred in the Iowa’s System to Achieve Results (ISTAR) monitoring system. First, the district verified that for each child for whom the transition requirements were not met, all required corrections have been made on the IEP. Then the Area Education Agency (AEA) verified the same information on the IEP. While the State was able to verify correction of all noncompliance for prior reporting period, the state has procedures in place should timely correction not take place in the future. Iowa’s Administrative Rules of Special Education provide the State with the latitude to take enforcement actions in cases of noncompliance with the IDEA including, but not limited to, requiring a corrective action plan, withholding payments under Part B, and referring the matter for enforcement to the Department of Justice or state auditor. [IAC 2 1 1.604]</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1,815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67"/>
    </w:p>
    <w:p w14:paraId="22761492" w14:textId="77777777" w:rsidR="005C50DB" w:rsidRPr="00781112" w:rsidRDefault="005C50DB" w:rsidP="00A018D4">
      <w:pPr>
        <w:rPr>
          <w:szCs w:val="20"/>
        </w:rPr>
      </w:pPr>
      <w:bookmarkStart w:id="68"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68"/>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18.45%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17.62%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57.02%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53.94%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55.17%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42.88%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89.46%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72.69%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65.82%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20.24%</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22.86%</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25.48%</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28.10%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30.72%</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33.34%</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46.57%</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50.26%</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53.95%</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57.64%</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61.33%</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65.00%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67.48%</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71.39%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75.30%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79.21%</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83.12%</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87.03%</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w:t>
      </w:r>
      <w:r w:rsidRPr="00781112">
        <w:rPr>
          <w:rFonts w:cs="Arial"/>
          <w:color w:val="000000" w:themeColor="text1"/>
          <w:szCs w:val="16"/>
        </w:rPr>
        <w:lastRenderedPageBreak/>
        <w:t xml:space="preserve">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69"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3,986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3,986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652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1,098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725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652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3,986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17.62%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20.24%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16.36%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3,986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42.88%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46.57%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43.90%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2,492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3,986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67.48%</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62.52%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The State attributes slippage to annual fluctuations in postsecondary enrollment patterns. The decrease is also reflective of national postsecondary enrollment patterns, which has decreased in the fall of 2020 and the fall of 2021.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The State attributes slippage to annual fluctuations in the data. The decrease is also reflective of employment patterns seen nationally into 2021, with unemployment rates being higher than usual during the first half of the year, still rebounding from the impact of COVID-19.</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State uses administrative data compiled from Iowa Workforce Development (IWD) and National Student Clearinghouse (NSC) to match to a base file of all students who exited school while on an IEP during the 2019-2020 school year. Rather than a response rate, the State analyzes the data for a match rate to determine what percent of students that exited school are found in the IWD and/or the NSC data files. The last four years have provided an average of 89.3% of students with IEPs that exited school being found in either file, with the current year's match rate of 94.6% included. When the match rate is lower than 70%, the IDE will analyze the data to determine which groups are underrepresented in the outcome data files.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match rate for the 2019-2020 data is 94.6%. Given that nearly all students in the population were found in either database, it is unlikely there is bias in the small percentage of students that were not found.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data are exactly representative for the 94.6% of students from the population of students that left school while on an IEP that were matched in the administrative data set.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is the match rate between students that left school while on an IEP to the IWD and NSC data files. When the match rate is lower than 70%, the IDE will analyze the data to determine which groups are underrepresented in the outcome data files.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0" w:name="_Toc382082390"/>
      <w:bookmarkStart w:id="71"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0"/>
      <w:bookmarkEnd w:id="71"/>
    </w:p>
    <w:p w14:paraId="7EA31497" w14:textId="77777777" w:rsidR="005B0B58" w:rsidRPr="00781112" w:rsidRDefault="005B0B58" w:rsidP="00A018D4">
      <w:pPr>
        <w:rPr>
          <w:color w:val="000000" w:themeColor="text1"/>
          <w:szCs w:val="20"/>
        </w:rPr>
      </w:pPr>
      <w:bookmarkStart w:id="72" w:name="_Toc381786822"/>
      <w:bookmarkStart w:id="73" w:name="_Toc382731911"/>
      <w:bookmarkStart w:id="74" w:name="_Toc382731912"/>
      <w:bookmarkStart w:id="75" w:name="_Toc392159340"/>
      <w:bookmarkEnd w:id="72"/>
      <w:bookmarkEnd w:id="7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74"/>
    <w:bookmarkEnd w:id="7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76" w:name="_Toc382731913"/>
      <w:bookmarkStart w:id="7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43B1695A" w14:textId="2970A905" w:rsidR="000A2C83" w:rsidRPr="00781112" w:rsidRDefault="000A2C83" w:rsidP="000A2C83">
      <w:pPr>
        <w:rPr>
          <w:rFonts w:cs="Arial"/>
          <w:color w:val="000000" w:themeColor="text1"/>
          <w:szCs w:val="16"/>
        </w:rPr>
      </w:pPr>
    </w:p>
    <w:bookmarkEnd w:id="76"/>
    <w:bookmarkEnd w:id="7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Targets are not required when the number of resolution sessions is less than 10 in a year.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78" w:name="_Toc382731916"/>
      <w:bookmarkStart w:id="7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78"/>
    <w:bookmarkEnd w:id="7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rFonts w:cs="Arial"/>
          <w:color w:val="000000" w:themeColor="text1"/>
          <w:szCs w:val="16"/>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rFonts w:cs="Arial"/>
          <w:color w:val="000000" w:themeColor="text1"/>
          <w:szCs w:val="16"/>
        </w:rPr>
        <w:br/>
        <w:t>The Department sent invitations to all parent advocacy organizations including Autism Speaks, Arc, and Disability Rights Iowa.  In addition, Iowa’s Parent Training and Information Center (ASK Resource) extended invitations out through their network.</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74.00%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76.47%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88.89%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75.00%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88.89%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State attributes slippage to annual changes in mediations held.</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Decrease the percentage of students with IEPs in grades kindergarten through 3rd grade identified as high risk on a literacy assessment.</w:t>
      </w:r>
    </w:p>
    <w:p w14:paraId="43CABCA3" w14:textId="77777777" w:rsidR="00AE1972" w:rsidRPr="00781112" w:rsidRDefault="00AE1972" w:rsidP="00AE1972">
      <w:pPr>
        <w:rPr>
          <w:b/>
          <w:bCs/>
        </w:rPr>
      </w:pPr>
      <w:bookmarkStart w:id="80"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Although the SiMR was changed, the focus of the SSIP did not change.  The intent of Iowa’s SSIP continues to be improving the early literacy skills of students with IEPs. The improvement activities also remain the same as in previous submissions.  Ongoing review of district early literacy data as well as the number of districts completing the SDI literacy professional learning opportunities supported the need to continue to focus on early literacy. Feedback from stakeholders for previous APR submissions has been to find a measure that is more sensitive to actual student growth.</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FastBridge Assessment Specifications</w:t>
      </w:r>
      <w:r w:rsidRPr="00781112">
        <w:br/>
        <w:t>FastBridge Proficiency Data</w:t>
      </w:r>
      <w:r w:rsidRPr="00781112">
        <w:br/>
        <w:t>FastBridge Benchmark Data</w:t>
      </w:r>
      <w:r w:rsidRPr="00781112">
        <w:br/>
        <w:t>FastBridge Percentile Data</w:t>
      </w:r>
      <w:r w:rsidRPr="00781112">
        <w:br/>
        <w:t>FastBridge Risk Data</w:t>
      </w:r>
      <w:r w:rsidRPr="00781112">
        <w:br/>
        <w:t>District participation Data</w:t>
      </w:r>
      <w:r w:rsidRPr="00781112">
        <w:br/>
        <w:t>District fidelity implementation Data</w:t>
      </w:r>
      <w:r w:rsidRPr="00781112">
        <w:br/>
        <w:t>District FastBridge data by district size (using US Census definitions)</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Literacy assessment and evaluation experts used the above data to identify measures that would be more sensitive to individual student growth. Two options (percentiles and risk level) were then presented to numerous stakeholders including AEA Special Education Directors, SDI Literacy Network, IDEA Support and SEAP. The risk level measure was selected based on the feedback, including the likelihood that more people would understand risk levels than percentiles.</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For multiple years stakeholders have expressed concern over the State’s original SiMR (Increase the percentage of learners with disabilities who are proficient readers by the end of third grade). Concerns expressed primarily focused on the measure’s inability to represent an individual’s growth in reading that improved their reading ability, but was not large enough to affect the proficiency scales on an assessment.</w:t>
      </w:r>
      <w:r w:rsidRPr="00781112">
        <w:br/>
        <w:t>The State sought input from a variety of literacy assessment and evaluation stakeholders on possible changes to the SiMR that would be more sensitive than the previous measure of proficiency. After reviewing historical student data, several possible measures were presented to the State. These measures were then shared with the stakeholder groups described above and a new SiMR was selected.</w:t>
      </w:r>
    </w:p>
    <w:bookmarkEnd w:id="8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population is a set of students that are attending a district that participated in professional learning in the area of specially designed instruction (SDI) literacy between 2015-2022, have implemented SDI literacy strategies for grades kindergarten through 3rd grade, and have at least 3 or more years of experience with SDI literacy. These are the districts that participated in professional learning during Iowa’s first SSIP. The SIMR, however, has been changed to more accurately identify continued progress and sustainability. Students attending districts that fit these criteria, and who have a reading or communication goal, will be tracked over the course of the 2020-2025 SPP/APR period.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https://drive.google.com/file/d/1O2tlZBfSS4uChZTDi_9yY3Hd3EpO04pD/view?usp=sharing</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1"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1"/>
      <w:r w:rsidRPr="00730C62">
        <w:rPr>
          <w:b/>
          <w:bCs/>
          <w:szCs w:val="16"/>
        </w:rPr>
        <w:t>to implement without any modifications to the SSIP.</w:t>
      </w:r>
    </w:p>
    <w:p w14:paraId="69B31FC3" w14:textId="6FA94771" w:rsidR="00CF0910" w:rsidRDefault="00CF0910" w:rsidP="00CF0910">
      <w:r w:rsidRPr="00781112">
        <w:t>Evaluation data indicated that students on IEPs had better literacy outcomes when taught by teachers who participated in the professional learning and implemented SDI literacy strategies at routine or sustained levels. See Evaluation reports: https://sites.google.com/a/iowa.gov/iowa-specially-designed-instruction-sdi/data-and-results/spdg-evaluation-results-spotlights?authuser=0</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lastRenderedPageBreak/>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50.56%</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50.56%</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50.00%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49.00%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48.00%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47.00%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46.00%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IEP students in grades K-3 that are high risk on literacy assessment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IEP students in grades K-3 assessed using literacy assessments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818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1,618</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50.56%</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50.56%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FastBridge literacy screening assessments, early Reading and CMBr English. FastBridge combines Computer Adaptive Tests (CAT) and Curriculum-Based Measures (CBM) to screen students, identify skill gaps, and offer proven recommendations for reading instruction and diagnostic reading interventions. It is based on the research of Dr. Ted Christ and colleagues at the University of Minnesota.</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Literacy assessments are administered in FastBridge. FastBridge reports include indicators of student risk for not reaching learning goals. These are known as benchmarks and include indicators for the following levels:</w:t>
      </w:r>
      <w:r w:rsidRPr="00781112">
        <w:rPr>
          <w:color w:val="000000" w:themeColor="text1"/>
        </w:rPr>
        <w:br/>
        <w:t>- Low Risk: likely to meet grade-level goals  (41st to 85th Percentiles)</w:t>
      </w:r>
      <w:r w:rsidRPr="00781112">
        <w:rPr>
          <w:color w:val="000000" w:themeColor="text1"/>
        </w:rPr>
        <w:br/>
        <w:t>- Some Risk: unlikely to meet grade-level goals without supplemental instructional support (16th -40th percentiles)</w:t>
      </w:r>
      <w:r w:rsidRPr="00781112">
        <w:rPr>
          <w:color w:val="000000" w:themeColor="text1"/>
        </w:rPr>
        <w:br/>
        <w:t>- High Risk: very unlikely to meet grade-level goals without intensive instructional support. These risk indicators can be used to identify supports for individual students. (41st to 85th percentiles)</w:t>
      </w:r>
      <w:r w:rsidRPr="00781112">
        <w:rPr>
          <w:color w:val="000000" w:themeColor="text1"/>
        </w:rPr>
        <w:br/>
        <w:t xml:space="preserve">Data is pulled from FastBridge into Iowa’s Multi-Tiered System of Support (MTSS) data system. In the MTSS system, students are given risk level categories. For the SiMR, Iowa Department of Education (IDE) staff analyzed student data from the districts identified in the cohort. The numerator is the number of students matching the criteria (IEP, grades K-3) that were identified as High Risk on either the eReading or CMBr assessment in the spring of 2020-2021. The denominator is all students matching the criteria (IEP, K-3) that took the assessment.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Iowa used an external evaluator for the initial years implementing the SSIP and found the formative evaluation data invaluable. The evaluation reports were used to inform implementation approaches, review progress on short term measures and evaluate effect. As such, Iowa will continue to use the current evaluation plan and is in the process of contracting with an external evaluator for the next six years.</w:t>
      </w:r>
      <w:r w:rsidRPr="00781112">
        <w:rPr>
          <w:color w:val="000000" w:themeColor="text1"/>
        </w:rPr>
        <w:br/>
        <w:t xml:space="preserve">Evaluation reports: https://sites.google.com/a/iowa.gov/iowa-specially-designed-instruction-sdi/data-and-results/spdg-evaluation-results-spotlights?authuser=0 </w:t>
      </w:r>
      <w:r w:rsidRPr="00781112">
        <w:rPr>
          <w:color w:val="000000" w:themeColor="text1"/>
        </w:rPr>
        <w:br/>
        <w:t>Current evaluation plan: https://docs.google.com/document/d/1mSdA3W8dDFC35QmOC65G0I9Uzsc6ukLB/edit?usp=sharing&amp;ouid=103733777135894690636&amp;rtpof=true&amp;sd=true</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Strategy 1. Establish a technical assistance system to effectively implement and support personnel preparation and professional development in the area of SDI. Two structures have been established for the effective delivery of technical assistance. First, the IDEA Support Network was established to provide consistency and continuity of statewide implementation of professional learning materials. This network consists of AEA administrators responsible for professional learning in each of 9 AEAs and Iowa Department of Education (DE) program consultants. It is facilitated by the State Director of Special Education, an AEA Director of Special Education and a program manager. IDEA Support Network started with the topic of SDI Literacy Implementation and SSIP work but has expanded to address any statewide special education initiative. The IDEA Support Network was a major contributor to the provision of timely and relevant information during the initial stages of the COVID-19 pandemic. In addition to continued oversight of the SDI literacy work, the IDEA Support Network is currently focused on professional learning for the roll-out of a new statewide IFSP/IEP data system.</w:t>
      </w:r>
      <w:r w:rsidRPr="00781112">
        <w:rPr>
          <w:color w:val="000000" w:themeColor="text1"/>
        </w:rPr>
        <w:br/>
        <w:t>The second structure, the SDI Literacy Implementation Network, was established to provide leadership to the state around SDI literacy implementation to ensure consistency and fidelity to the SDI Framework and to the resources, materials, and tools developed by the Design Teams in each of the following instructional focus areas: preschool (PS), K-6 literacy (K-6), and significant disabilities (SD). Responsibilities of the SDI Literacy Implementation Network include: developing communication tools to use with AEA, district, and/or school staff and other stakeholder groups; coordinating revisions and development of professional learning materials; and providing and monitoring implementation guidance (negotiables and non-negotiables) for multiple levels (state, district, building, classroom).</w:t>
      </w:r>
      <w:r w:rsidRPr="00781112">
        <w:rPr>
          <w:color w:val="000000" w:themeColor="text1"/>
        </w:rPr>
        <w:br/>
      </w:r>
      <w:r w:rsidRPr="00781112">
        <w:rPr>
          <w:color w:val="000000" w:themeColor="text1"/>
        </w:rPr>
        <w:br/>
        <w:t>Strategy 2. Build capacity of Iowa's coaching network so that network participants have the capacity to train, coach, and support delivery of SDI with integrity. SDI Coaches work with teachers to implement SDI professional learning in their classroom(s). Coaching conversations take place a minimum of once per month throughout the learning and implementation. Coaching support is provided for Year 1 coaches using support materials that focus on both generic coaching skills as well as professional learning that is specific to the content area (PS, K-6, SD). Year 2 coaches continue to engage with support materials that enhance their ability to be a coach and to assist with further content-specific professional learning.</w:t>
      </w:r>
      <w:r w:rsidRPr="00781112">
        <w:rPr>
          <w:color w:val="000000" w:themeColor="text1"/>
        </w:rPr>
        <w:br/>
      </w:r>
      <w:r w:rsidRPr="00781112">
        <w:rPr>
          <w:color w:val="000000" w:themeColor="text1"/>
        </w:rPr>
        <w:br/>
        <w:t xml:space="preserve">Strategy 3. Deliver high-quality professional development so that SDI is implemented with fidelity and effectively improves learning for a wide range of learners. Professional learning packages for each content area (PS, K-6, SD) have been finalized. Professional learning leads (PLLs) have been identified and trained in each of the nine area education agencies (AEAs). The PLLs identify districts / teachers to engage in the SDI training, implementation, and coaching. The PLLs deliver this training regionally. Ongoing support for the PLLs occurs monthly through a Community of Practice (CoP) structure facilitated by the state lead in each content area.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Strategy 1. Establish a technical assistance system to effectively implement and support personnel preparation and professional development in the area of SDI. Evaluation of the technical assistance system (e.g., SDI Literacy Implementation Network) occurs through system protocols, procedures, and decision-making guides that are used with fidelity. This technical assistance group oversees implementation across the state and ensures that all packages are implemented as designed and with fidelity. Implementation was monitored through checklists, observations, and participation in all aspects of SDI implementation in each area of focus. </w:t>
      </w:r>
      <w:r w:rsidRPr="00781112">
        <w:rPr>
          <w:color w:val="000000" w:themeColor="text1"/>
        </w:rPr>
        <w:br/>
        <w:t xml:space="preserve">Strategy 2. Build capacity of Iowa's coaching network so that network participants have the capacity to train, coach, and support delivery of SDI with integrity. Evaluation of coaching practices and implementation occurs through the Coaching Self-Assessment (CSA), which is administered each fall and spring to all SDI instructional practices coaches. Data from the CSA is utilized as part of a continuous improvement process. Based on the data, coaching support needs are identified, resources are provided, and next steps for implementation are determined. The continuous improvement process based on CSA data was replicated each fall and spring. </w:t>
      </w:r>
      <w:r w:rsidRPr="00781112">
        <w:rPr>
          <w:color w:val="000000" w:themeColor="text1"/>
        </w:rPr>
        <w:br/>
      </w:r>
      <w:r w:rsidRPr="00781112">
        <w:rPr>
          <w:color w:val="000000" w:themeColor="text1"/>
        </w:rPr>
        <w:br/>
        <w:t xml:space="preserve">Strategy 3. Deliver high-quality professional development so that SDI is implemented with fidelity and effectively improves learning for a wide range of learners. Evaluation of the delivery of high-quality professional learning occurs partially through the FIT, which is administered each fall and spring to teachers engaged in the SDI professional learning. Data from the FIT is also used as part of a continuous improvement process. Based on the data, areas of need are identified, additional training and/or coaching is provided, and support for implementation is provided to teachers. The continuous improvement process based on FIT data was replicated each fall and spring. </w:t>
      </w:r>
      <w:r w:rsidRPr="00781112">
        <w:rPr>
          <w:color w:val="000000" w:themeColor="text1"/>
        </w:rPr>
        <w:br/>
      </w:r>
      <w:r w:rsidRPr="00781112">
        <w:rPr>
          <w:color w:val="000000" w:themeColor="text1"/>
        </w:rPr>
        <w:br/>
        <w:t>Review of the FIT data (teacher implementation data), student early literacy data and coaching self assessment data supported the decision to move forward with the scale-up of the implementation of SDI across the state through the AEAs. Collected data are reviewed and analyzed at the state, AEA, and local level to identify areas of strength and growth.</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Strategy 1. Establish a technical assistance system to effectively implement and support personnel preparation and professional development in the area of SDI. The SDI Literacy Implementation Network will continue to meet regularly to build consistency across the state related to the implementation and support of SDI literacy. The group will continue to provide and monitor implementation guidance to ensure fidelity of implementation across the state, coordinate revisions and development of professional learning materials, and utilize communication tools to use with stakeholder groups. </w:t>
      </w:r>
      <w:r w:rsidRPr="00781112">
        <w:rPr>
          <w:color w:val="000000" w:themeColor="text1"/>
        </w:rPr>
        <w:br/>
        <w:t xml:space="preserve">Strategy 2. Build capacity of Iowa's coaching network so that network participants have the capacity to train, coach, and support delivery of SDI with integrity. More AEAs will support a network of SDI coaches in partnership with their general education coaching support counterparts. The coaching networks will continue to build knowledge and skills of coaches to support SDI implementation in districts / schools / classrooms. </w:t>
      </w:r>
      <w:r w:rsidRPr="00781112">
        <w:rPr>
          <w:color w:val="000000" w:themeColor="text1"/>
        </w:rPr>
        <w:br/>
        <w:t xml:space="preserve">Strategy 3. Deliver high-quality professional development so that SDI is implemented with fidelity and effectively improves learning for a wide range of learners. Working in partnership with AEA leadership, additional PLLs will be trained to assist in the delivery of high-quality professional learning to districts as the scale-up of SDI implementation continues. </w:t>
      </w:r>
      <w:r w:rsidRPr="00781112">
        <w:rPr>
          <w:color w:val="000000" w:themeColor="text1"/>
        </w:rPr>
        <w:br/>
        <w:t>Continued next steps: a. Continue to support AEAs in implementing the three SSIP strategies of the SSIP Logic Model related to continued implementation and scale-up of SDI Literacy. b. Ensure fidelity of AEA-provided professional development delivery and coaching support to new districts. c. Use of professional learning materials and supports for instructional practices and system coaches across the system.</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Implementation of the SDI project has focused on the following practices: (a) establishing a technical assistance system to effectively implement and support personnel preparation and professional development in the area of SDI; (b) building capacity of Iowa's coaching network so that network </w:t>
      </w:r>
      <w:r w:rsidRPr="00781112">
        <w:rPr>
          <w:color w:val="000000" w:themeColor="text1"/>
        </w:rPr>
        <w:lastRenderedPageBreak/>
        <w:t>participants have the capacity to train, coach, and support delivery of SDI with integrity; and (c) delivering high-quality professional development so that SDI is implemented with fidelity and effectively improves learning for a wide range of learners. As we move forward with the scale-up of SDI professional learning, coaching, and technical assistance to additional districts / schools, the focus continues to be on implementation fidelity. As professional learning occurs across the AEAs, it is expected that the materials will be used as designed with teachers as they are brought into the learning. It is expected that coaching will occur at least monthly. The SDI Literacy Implementation Network monitors the fidelity of implementation to ensure that there is consistency in delivery and coaching across the state. Data from the initial group of schools who engage in SDI professional learning and are supported by regular coaching indicated significant change in teacher practice, which also had a positive impact on student outcomes. We believe our plan for scale-up will have similar results.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Iowa’s evidence-based practices are rooted in implementation science and are focused on infrastructure supports. See above description of infrastructure strategies.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2"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2"/>
    <w:p w14:paraId="3E043DB7" w14:textId="7C3B2CD4" w:rsidR="00AE1972" w:rsidRPr="00781112" w:rsidRDefault="00AE1972" w:rsidP="00AE1972">
      <w:pPr>
        <w:rPr>
          <w:b/>
          <w:bCs/>
        </w:rPr>
      </w:pPr>
      <w:r w:rsidRPr="00781112">
        <w:rPr>
          <w:color w:val="000000" w:themeColor="text1"/>
        </w:rPr>
        <w:t>Implementation of effective specially designed instruction requires educators to accurately diagnose for instructional design, design for instructional delivery, deliver for student engagement, and engage for results. There are many evidence-based practices that align to an individual’s need, the key is supporting all educators to make accurate and timely data-based decisions. The infrastructure to support them, however, is not yet strong enough to reach every teacher in every classroom. Iowa’s evidence-based practices, therefore, are rooted in implementation science and are focused on infrastructure supports.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Framework Implementation Tool (FIT) data. The FIT is a tool that teachers utilize (fall and spring) to self-assess their implementation of the key SDI Framework components of Diagnose, Design, and Deliver. This data is shared with district leadership teams and coaches to determine relative strengths and areas of growth in the implementation of SDI professional learning. AEAs and statewide teams use the data to determine fidelity of the delivery of the professional learning as well as the supports that teachers need to implement the learning. </w:t>
      </w:r>
      <w:r w:rsidRPr="00781112">
        <w:rPr>
          <w:color w:val="000000" w:themeColor="text1"/>
        </w:rPr>
        <w:br/>
        <w:t xml:space="preserve">Coach Self-Assessment (CSA) data. The CSA is a tool that coaches utilize (fall and spring) to self-assess their ability to coach teachers in implementing the key SDI Framework components of Diagnose, Design, and Deliver. These data are shared with stakeholders as part of a continuous improvement process to determine supports that coaches need to enhance their ability to coach teachers in implementing the SDI professional learning. </w:t>
      </w:r>
      <w:r w:rsidRPr="00781112">
        <w:rPr>
          <w:color w:val="000000" w:themeColor="text1"/>
        </w:rPr>
        <w:br/>
        <w:t>Fidelity checks for each area of focus (PS, K-6, SD). Each content area has implementation checklists, which are used for data collection regarding the level of fidelity of implementing the professional learning. The fidelity checklists for each area of focus assist coaches and teachers in determining how well the evidence practices are being implemented in each classroom.</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Continue to support AEAs in implementing the three SSIP strategies of the SSIP Logic Model related to continued implementation and scale-up of SDI Literacy. b. Ensure fidelity of AEA-provided professional development delivery and coaching support to new districts. c. Use of professional learning materials and supports for instructional practices and system coaches across the system.</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state used a number of strategies for stakeholder input to the SSIP, in addition to the stakeholder input the state used to develop  the Part B Annual Performance Report (APR). Overall input to the APR included review of historical data, baselines, and previous targets, including the SiMr. Informational materials were created for each indicator containing the measurement and calculation, data source, state context related to the indicator data, historical data performance against targets, and options for future targets. Stakeholder groups included the Area Education Agencies (AEA) special education directors, Iowa Department of Education (Department) special education staff and Iowa’s Special Education Advisory Panel (SEAP). </w:t>
      </w:r>
      <w:r w:rsidRPr="00781112">
        <w:rPr>
          <w:color w:val="000000" w:themeColor="text1"/>
        </w:rPr>
        <w:br/>
        <w:t xml:space="preserve">SEAP is the ultimate mechanism for stakeholder recommendations on targets in the SPP, including revisions. SEAP meets seven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r w:rsidRPr="00781112">
        <w:rPr>
          <w:color w:val="000000" w:themeColor="text1"/>
        </w:rPr>
        <w:br/>
        <w:t xml:space="preserve">Activities for target setting for the FFY 2020-2025 SPP/APRs included reviewing historical data, discussing the context of relevant special education topics in the state related to the indicators, and reviewing and voting on sets of potential targets for all years of the FFY 2020-2025 SPP/APR based on the aforementioned activities. These stakeholder groups were also engaged in conversations about improvement strategies that the State could employ in order to reach the ambitious targets set. </w:t>
      </w:r>
      <w:r w:rsidRPr="00781112">
        <w:rPr>
          <w:color w:val="000000" w:themeColor="text1"/>
        </w:rPr>
        <w:br/>
        <w:t>The Department sent invitations to all parent advocacy organizations including Autism Speaks, Arc, and Disability Rights Iowa.  In addition, Iowa’s Parent Training and Information Center (ASK Resource) extended invitations out through their network.</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SSIP work to improve the effectiveness of specially designed instruction in early literacy has a number of feedback loops built into the work itself.  First, those involved in local districts have opportunities throughout the year to provide feedback on relevancy and quality of training. This information is shared both with the SDI Literacy Network and an internal IDE SDI Literacy Team.  Any data suggesting a significant need for change in strategies is reviewed by the IDEA Support Team and ultimately the AEA Directors of Special Education and SEAP.  Additionally, during this reporting period two webinars were held specific to the topic of effective specially designed instruction.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lastRenderedPageBreak/>
        <w:t>Membership on development groups and task teams; feedback loops; evaluation surveys; focus groups.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For multiple years stakeholders have expressed concern over the State’s original SiMR (Increase the percentage of learners with disabilities who are proficient readers by the end of third grade). Concerns expressed primarily focused on the measure’s inability to represent an individual’s growth in reading that improved their reading ability, but was not large enough to affect the proficiency scales on an assessment.</w:t>
      </w:r>
      <w:r w:rsidRPr="00781112">
        <w:rPr>
          <w:color w:val="000000" w:themeColor="text1"/>
        </w:rPr>
        <w:br/>
        <w:t>The State sought input from a variety of literacy assessment and evaluation stakeholders on possible changes to the SiMR that would be more sensitive than the previous measure of proficiency. After reviewing historical student data, several possible measures were presented to the State. These measures were then shared with the stakeholder groups described above and a new SiMR was selected.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None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Per OSEP request, a link to the current Theory of Action has been added.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Barbara Guy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barbara.guy@iowa.gov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5156894073</w:t>
      </w:r>
    </w:p>
    <w:bookmarkEnd w:id="8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7:47:47 PM</w:t>
      </w:r>
    </w:p>
    <w:p w14:paraId="596B3C30" w14:textId="78B46A28" w:rsidR="00755AF7" w:rsidRDefault="00755AF7" w:rsidP="00EE4B59">
      <w:pPr>
        <w:rPr>
          <w:rFonts w:cs="Arial"/>
          <w:color w:val="000000" w:themeColor="text1"/>
          <w:szCs w:val="16"/>
        </w:rPr>
      </w:pPr>
    </w:p>
    <w:p w14:paraId="508A560D" w14:textId="77777777" w:rsidR="00231630" w:rsidRDefault="00231630">
      <w:pPr>
        <w:spacing w:before="0" w:after="200" w:line="276" w:lineRule="auto"/>
        <w:rPr>
          <w:rFonts w:eastAsiaTheme="majorEastAsia" w:cstheme="majorBidi"/>
          <w:b/>
          <w:bCs/>
          <w:color w:val="000000" w:themeColor="text1"/>
          <w:sz w:val="20"/>
          <w:szCs w:val="28"/>
        </w:rPr>
      </w:pPr>
      <w:r>
        <w:rPr>
          <w:color w:val="000000" w:themeColor="text1"/>
        </w:rPr>
        <w:br w:type="page"/>
      </w:r>
    </w:p>
    <w:p w14:paraId="522DACB7" w14:textId="6AEAE61A" w:rsidR="00202A8B" w:rsidRDefault="00202A8B" w:rsidP="00202A8B">
      <w:pPr>
        <w:pStyle w:val="Heading1"/>
        <w:rPr>
          <w:color w:val="000000" w:themeColor="text1"/>
        </w:rPr>
      </w:pPr>
      <w:r>
        <w:rPr>
          <w:color w:val="000000" w:themeColor="text1"/>
        </w:rPr>
        <w:lastRenderedPageBreak/>
        <w:t>ED Attachments</w:t>
      </w:r>
    </w:p>
    <w:p w14:paraId="3C54DD9E" w14:textId="77777777" w:rsidR="00202A8B" w:rsidRPr="00202A8B" w:rsidRDefault="00202A8B" w:rsidP="00202A8B"/>
    <w:p w14:paraId="3C598AC6" w14:textId="6B48F454" w:rsidR="00202A8B" w:rsidRPr="00781112" w:rsidRDefault="00202A8B" w:rsidP="00EE4B59">
      <w:pPr>
        <w:rPr>
          <w:rFonts w:cs="Arial"/>
          <w:color w:val="000000" w:themeColor="text1"/>
          <w:szCs w:val="16"/>
        </w:rPr>
      </w:pPr>
      <w:r>
        <w:rPr>
          <w:rFonts w:cs="Arial"/>
          <w:color w:val="000000" w:themeColor="text1"/>
          <w:szCs w:val="16"/>
        </w:rPr>
        <w:object w:dxaOrig="1540" w:dyaOrig="997" w14:anchorId="746FBD14">
          <v:shape id="_x0000_i1026" type="#_x0000_t75" alt="IA-B-Dispute-Resolution-2020-21" style="width:77.15pt;height:51.45pt" o:ole="">
            <v:imagedata r:id="rId12" o:title=""/>
          </v:shape>
          <o:OLEObject Type="Embed" ProgID="Acrobat.Document.DC" ShapeID="_x0000_i1026" DrawAspect="Icon" ObjectID="_1726412212" r:id="rId13"/>
        </w:object>
      </w:r>
      <w:r w:rsidR="00DE17FE">
        <w:rPr>
          <w:rFonts w:cs="Arial"/>
          <w:color w:val="000000" w:themeColor="text1"/>
          <w:szCs w:val="16"/>
        </w:rPr>
        <w:object w:dxaOrig="1579" w:dyaOrig="1022" w14:anchorId="2B553321">
          <v:shape id="_x0000_i1030" type="#_x0000_t75" alt="IA-2022DataRubricPartB&#10;" style="width:77.15pt;height:51.45pt" o:ole="">
            <v:imagedata r:id="rId14" o:title=""/>
          </v:shape>
          <o:OLEObject Type="Embed" ProgID="Excel.Sheet.12" ShapeID="_x0000_i1030" DrawAspect="Icon" ObjectID="_1726412213" r:id="rId15"/>
        </w:object>
      </w:r>
      <w:r w:rsidR="002262CE">
        <w:rPr>
          <w:rFonts w:cs="Arial"/>
          <w:color w:val="000000" w:themeColor="text1"/>
          <w:szCs w:val="16"/>
        </w:rPr>
        <w:object w:dxaOrig="1540" w:dyaOrig="997" w14:anchorId="0D52F814">
          <v:shape id="_x0000_i1028" type="#_x0000_t75" alt="ia-resultsmatrix-2022b&#10;" style="width:77.15pt;height:51.45pt" o:ole="">
            <v:imagedata r:id="rId16" o:title=""/>
          </v:shape>
          <o:OLEObject Type="Embed" ProgID="Acrobat.Document.DC" ShapeID="_x0000_i1028" DrawAspect="Icon" ObjectID="_1726412214" r:id="rId17"/>
        </w:object>
      </w:r>
    </w:p>
    <w:sectPr w:rsidR="00202A8B"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D155" w14:textId="77777777" w:rsidR="009B676C" w:rsidRDefault="009B676C" w:rsidP="000802F7">
      <w:pPr>
        <w:spacing w:before="0" w:after="0"/>
      </w:pPr>
      <w:r>
        <w:separator/>
      </w:r>
    </w:p>
  </w:endnote>
  <w:endnote w:type="continuationSeparator" w:id="0">
    <w:p w14:paraId="44DB1459" w14:textId="77777777" w:rsidR="009B676C" w:rsidRDefault="009B676C" w:rsidP="000802F7">
      <w:pPr>
        <w:spacing w:before="0" w:after="0"/>
      </w:pPr>
      <w:r>
        <w:continuationSeparator/>
      </w:r>
    </w:p>
  </w:endnote>
  <w:endnote w:type="continuationNotice" w:id="1">
    <w:p w14:paraId="0E446744" w14:textId="77777777" w:rsidR="009B676C" w:rsidRDefault="009B67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A43E" w14:textId="77777777" w:rsidR="009B676C" w:rsidRDefault="009B676C" w:rsidP="000802F7">
      <w:pPr>
        <w:spacing w:before="0" w:after="0"/>
      </w:pPr>
      <w:r>
        <w:separator/>
      </w:r>
    </w:p>
  </w:footnote>
  <w:footnote w:type="continuationSeparator" w:id="0">
    <w:p w14:paraId="2A9DBED1" w14:textId="77777777" w:rsidR="009B676C" w:rsidRDefault="009B676C" w:rsidP="000802F7">
      <w:pPr>
        <w:spacing w:before="0" w:after="0"/>
      </w:pPr>
      <w:r>
        <w:continuationSeparator/>
      </w:r>
    </w:p>
  </w:footnote>
  <w:footnote w:type="continuationNotice" w:id="1">
    <w:p w14:paraId="34E90730" w14:textId="77777777" w:rsidR="009B676C" w:rsidRDefault="009B676C">
      <w:pPr>
        <w:spacing w:before="0" w:after="0"/>
      </w:pPr>
    </w:p>
  </w:footnote>
  <w:footnote w:id="2">
    <w:p w14:paraId="2DFBDAED" w14:textId="0DAAFFD4" w:rsidR="00202A8B" w:rsidRPr="00202A8B" w:rsidRDefault="00202A8B">
      <w:pPr>
        <w:pStyle w:val="FootnoteText"/>
        <w:rPr>
          <w:sz w:val="16"/>
          <w:szCs w:val="16"/>
        </w:rPr>
      </w:pPr>
      <w:r w:rsidRPr="00202A8B">
        <w:rPr>
          <w:rStyle w:val="FootnoteReference"/>
          <w:sz w:val="16"/>
          <w:szCs w:val="16"/>
        </w:rPr>
        <w:footnoteRef/>
      </w:r>
      <w:r w:rsidRPr="00202A8B">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921152">
    <w:abstractNumId w:val="23"/>
  </w:num>
  <w:num w:numId="2" w16cid:durableId="891305325">
    <w:abstractNumId w:val="11"/>
  </w:num>
  <w:num w:numId="3" w16cid:durableId="1896768340">
    <w:abstractNumId w:val="21"/>
  </w:num>
  <w:num w:numId="4" w16cid:durableId="1296064661">
    <w:abstractNumId w:val="25"/>
  </w:num>
  <w:num w:numId="5" w16cid:durableId="2114551557">
    <w:abstractNumId w:val="0"/>
  </w:num>
  <w:num w:numId="6" w16cid:durableId="1329989991">
    <w:abstractNumId w:val="16"/>
  </w:num>
  <w:num w:numId="7" w16cid:durableId="7021738">
    <w:abstractNumId w:val="8"/>
  </w:num>
  <w:num w:numId="8" w16cid:durableId="536700477">
    <w:abstractNumId w:val="10"/>
  </w:num>
  <w:num w:numId="9" w16cid:durableId="1227569591">
    <w:abstractNumId w:val="12"/>
  </w:num>
  <w:num w:numId="10" w16cid:durableId="720323888">
    <w:abstractNumId w:val="14"/>
  </w:num>
  <w:num w:numId="11" w16cid:durableId="1707832167">
    <w:abstractNumId w:val="18"/>
  </w:num>
  <w:num w:numId="12" w16cid:durableId="414742097">
    <w:abstractNumId w:val="20"/>
  </w:num>
  <w:num w:numId="13" w16cid:durableId="1436514994">
    <w:abstractNumId w:val="9"/>
  </w:num>
  <w:num w:numId="14" w16cid:durableId="1240793331">
    <w:abstractNumId w:val="15"/>
  </w:num>
  <w:num w:numId="15" w16cid:durableId="2084642248">
    <w:abstractNumId w:val="13"/>
  </w:num>
  <w:num w:numId="16" w16cid:durableId="1637683260">
    <w:abstractNumId w:val="22"/>
  </w:num>
  <w:num w:numId="17" w16cid:durableId="840966747">
    <w:abstractNumId w:val="2"/>
  </w:num>
  <w:num w:numId="18" w16cid:durableId="202450455">
    <w:abstractNumId w:val="7"/>
  </w:num>
  <w:num w:numId="19" w16cid:durableId="389110590">
    <w:abstractNumId w:val="1"/>
  </w:num>
  <w:num w:numId="20" w16cid:durableId="1743335861">
    <w:abstractNumId w:val="19"/>
  </w:num>
  <w:num w:numId="21" w16cid:durableId="126700820">
    <w:abstractNumId w:val="24"/>
  </w:num>
  <w:num w:numId="22" w16cid:durableId="221673822">
    <w:abstractNumId w:val="6"/>
  </w:num>
  <w:num w:numId="23" w16cid:durableId="135532862">
    <w:abstractNumId w:val="3"/>
  </w:num>
  <w:num w:numId="24" w16cid:durableId="1238637483">
    <w:abstractNumId w:val="4"/>
  </w:num>
  <w:num w:numId="25" w16cid:durableId="1949197734">
    <w:abstractNumId w:val="5"/>
  </w:num>
  <w:num w:numId="26" w16cid:durableId="19226393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61"/>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2A8B"/>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62CE"/>
    <w:rsid w:val="00227DE4"/>
    <w:rsid w:val="00227E23"/>
    <w:rsid w:val="00230E4A"/>
    <w:rsid w:val="00230EE6"/>
    <w:rsid w:val="00231630"/>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4E76"/>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76C"/>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7FE"/>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89bf3613-0818-48da-aadf-73420b6d0357"/>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388C36CE-6EAD-45EC-A228-E844D21D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40974</Words>
  <Characters>233554</Characters>
  <Application>Microsoft Office Word</Application>
  <DocSecurity>0</DocSecurity>
  <Lines>1946</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5</cp:revision>
  <cp:lastPrinted>2014-08-19T16:56:00Z</cp:lastPrinted>
  <dcterms:created xsi:type="dcterms:W3CDTF">2022-08-09T17:54:00Z</dcterms:created>
  <dcterms:modified xsi:type="dcterms:W3CDTF">2022-10-04T22:10:00Z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dc50d3be-e9e4-4763-b00e-4ff256cc6e95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