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F980509"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Guam</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Executive Summary includes a description of Guam's State Performance Plan (SPP) and Annual Performance Report (APR) for FFY 2021 through FFY 2025. A description of Guam's General Supervision System, Technical Assistance System, Professional Development System, Stakeholder Involvement in the development and review of the SPP and APR, and how Guam will report the SPP and APR to the Public are provided separately within this Introduction section of Guam's FFY 2021 SPP/APR.</w:t>
      </w:r>
      <w:r w:rsidRPr="00781112">
        <w:rPr>
          <w:rFonts w:cs="Arial"/>
          <w:color w:val="000000" w:themeColor="text1"/>
          <w:szCs w:val="16"/>
        </w:rPr>
        <w:br/>
      </w:r>
      <w:r w:rsidRPr="00781112">
        <w:rPr>
          <w:rFonts w:cs="Arial"/>
          <w:color w:val="000000" w:themeColor="text1"/>
          <w:szCs w:val="16"/>
        </w:rPr>
        <w:br/>
        <w:t xml:space="preserve">For this FFY 2021 SPP/APR, Guam stakeholders maintained the targets for the Results Indicators through FFY 2025. This FFY 2021 APR includes current performance data on 15 of the 17 Indicator measures: Indicators 1, 2, 3, 4, 5, 6, 7, 8, 11, 12, 13, 14, 15, 16 and 17. Baseline and targets for Indicator 3C for high school in Reading and Math were determined during this FFY 2021 SPP/APR, along with revising the baseline and FFY 2025 target for Indicator 3D in High School Math. Per OSEP's instructions, Indicators 9 and 10 do not apply to Guam. In addition, Indicator 4B also does not apply to Guam. For each applicable SPP Indicator measure, Guam reports FFY 2021 data to determine if Guam met its FFY 2021 target, an explanation of slippage if Guam did not meet its target and did not demonstrate improvement from FFY 2020, and a response to any issue identified for the Indicator in the 2022 OSEP SPP/APR Determination Letter for Guam's FFY 2020 SPP/APR. </w:t>
      </w:r>
      <w:r w:rsidRPr="00781112">
        <w:rPr>
          <w:rFonts w:cs="Arial"/>
          <w:color w:val="000000" w:themeColor="text1"/>
          <w:szCs w:val="16"/>
        </w:rPr>
        <w:br/>
      </w:r>
      <w:r w:rsidRPr="00781112">
        <w:rPr>
          <w:rFonts w:cs="Arial"/>
          <w:color w:val="000000" w:themeColor="text1"/>
          <w:szCs w:val="16"/>
        </w:rPr>
        <w:br/>
        <w:t>Furthermore, as required for Indicator 17, Guam's Part B State Systemic Improvement Plan (SSIP), is included in this submission for FFY 2021.</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relevant FFY 2021 APR Indicators, information is provided on the data collection and reporting that were impacted by the COVID-19 pandemic, where applicable. For any Indicator that was impacted, Guam Part B reported on the impact of performance, data completeness and the validity and reliability of the data. If there was an impact, an explanation of how COVID-19 specifically affected Guam's ability to collect the data for each impacted Indicator; and the steps Guam took to mitigate the impact of COVID-19 on the data collection.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As the GDOE is a Unitary System, the Principal of each public school is the representative of the public agency who supervises the provision of special education and related services to meet the unique needs of children with disabilities and is knowledgeable about the availability of resources of the public agency to ensure a free appropriate public education (FAPE) for students with disabilities. The Division of Special Education provides support to the public schools in order to meet the unique needs of children with disabilities and the provision of FAPE.</w:t>
      </w:r>
      <w:r w:rsidRPr="00781112">
        <w:rPr>
          <w:rFonts w:cs="Arial"/>
          <w:color w:val="000000" w:themeColor="text1"/>
          <w:szCs w:val="16"/>
        </w:rPr>
        <w:br/>
      </w:r>
      <w:r w:rsidRPr="00781112">
        <w:rPr>
          <w:rFonts w:cs="Arial"/>
          <w:color w:val="000000" w:themeColor="text1"/>
          <w:szCs w:val="16"/>
        </w:rPr>
        <w:br/>
        <w:t xml:space="preserve">The Compliance Monitoring Office (CMO) is under the Deputy Superintendent of Assessment and Accountability and is responsible for implementing Guam’s Integrated Monitoring System, which includes Comprehensive Monitoring, Offsite monitoring activities, and Dispute Resolution. Comprehensive Monitoring is a process that identifies and corrects procedural noncompliance with Part B IDEA requirements. It is an essential component of the Integrated Monitoring System and assists the CMO in determining a school’s strengths and weaknesses with the implementation of the IDEA and related policies and procedures. Monitoring activities include file record reviews and interviews with program personnel and parents. </w:t>
      </w:r>
      <w:r w:rsidRPr="00781112">
        <w:rPr>
          <w:rFonts w:cs="Arial"/>
          <w:color w:val="000000" w:themeColor="text1"/>
          <w:szCs w:val="16"/>
        </w:rPr>
        <w:br/>
      </w:r>
      <w:r w:rsidRPr="00781112">
        <w:rPr>
          <w:rFonts w:cs="Arial"/>
          <w:color w:val="000000" w:themeColor="text1"/>
          <w:szCs w:val="16"/>
        </w:rPr>
        <w:br/>
        <w:t>The CMO manages GDOE's Dispute Resolution System (State Complaints, Due Process Hearings, and Mediations). The CMO uses the Dispute Resolution System to identify and correct noncompliance in the implementation of IDEA requirements and to identify components of the system that need improvement (e.g., policies, procedures, guidelines, written agreements). As part of the monitoring activities, the compliance office examines formal dispute resolution data of schools to identify issues related to performance and helps plan onsite or other program-specific monitoring activities.</w:t>
      </w:r>
      <w:r w:rsidRPr="00781112">
        <w:rPr>
          <w:rFonts w:cs="Arial"/>
          <w:color w:val="000000" w:themeColor="text1"/>
          <w:szCs w:val="16"/>
        </w:rPr>
        <w:br/>
      </w:r>
      <w:r w:rsidRPr="00781112">
        <w:rPr>
          <w:rFonts w:cs="Arial"/>
          <w:color w:val="000000" w:themeColor="text1"/>
          <w:szCs w:val="16"/>
        </w:rPr>
        <w:br/>
        <w:t>As a result of the Pacific Convening sponsored by the National Center for Systemic Improvement (NCSI) held on Guam in October 2022, Guam is receiving targeted technical assistance to review and revise, where necessary, its entire General Supervision System which includes the state performance plan; policies, procedures and effective implementation of the general supervision system; integrated monitoring activities; fiscal management; data on processes and results; improvement, correction, incentives and sanctions; an effective dispute resolution system; and targeted technical assistance and professional development. Focus groups were developed for each area and meetings for each focus area commenced in November 2022 and is ongoing.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On April 19, 2022, the Guam Education Board (GEB) approved the Guam Department of Education (GDOE) State Strategic Plan (SSP), “I </w:t>
      </w:r>
      <w:proofErr w:type="spellStart"/>
      <w:r w:rsidRPr="00781112">
        <w:rPr>
          <w:rFonts w:cs="Arial"/>
          <w:color w:val="000000" w:themeColor="text1"/>
          <w:szCs w:val="16"/>
        </w:rPr>
        <w:t>CHalån</w:t>
      </w:r>
      <w:proofErr w:type="spellEnd"/>
      <w:r w:rsidRPr="00781112">
        <w:rPr>
          <w:rFonts w:cs="Arial"/>
          <w:color w:val="000000" w:themeColor="text1"/>
          <w:szCs w:val="16"/>
        </w:rPr>
        <w:t xml:space="preserve">-ta </w:t>
      </w:r>
      <w:proofErr w:type="spellStart"/>
      <w:r w:rsidRPr="00781112">
        <w:rPr>
          <w:rFonts w:cs="Arial"/>
          <w:color w:val="000000" w:themeColor="text1"/>
          <w:szCs w:val="16"/>
        </w:rPr>
        <w:t>Mo’na</w:t>
      </w:r>
      <w:proofErr w:type="spellEnd"/>
      <w:r w:rsidRPr="00781112">
        <w:rPr>
          <w:rFonts w:cs="Arial"/>
          <w:color w:val="000000" w:themeColor="text1"/>
          <w:szCs w:val="16"/>
        </w:rPr>
        <w:t>.” With input and support of stakeholders, the SSP is focused on seven strategic priorities: Leadership, Curriculum &amp; Instruction, Parent Engagement, Student Discipline and Safety, Facilities and Maintenance, Finance and Administrative Services, and Data.</w:t>
      </w:r>
      <w:r w:rsidRPr="00781112">
        <w:rPr>
          <w:rFonts w:cs="Arial"/>
          <w:color w:val="000000" w:themeColor="text1"/>
          <w:szCs w:val="16"/>
        </w:rPr>
        <w:br/>
      </w:r>
      <w:r w:rsidRPr="00781112">
        <w:rPr>
          <w:rFonts w:cs="Arial"/>
          <w:color w:val="000000" w:themeColor="text1"/>
          <w:szCs w:val="16"/>
        </w:rPr>
        <w:br/>
        <w:t xml:space="preserve">The goals of the strategic plan are to promote the professional learning of teachers, administrators and instructional staff to improve the quality of instruction in all classrooms; support the establishment of collaborative structures in schools and school systems to allow for identification, sharing, development and dissemination of best practices through the district; support the diverse curricular programs and multiple pathways to success such as career academies, career and technical education, academic plans, and job certification programs; support the incorporation of literacy strategies in all content areas; support the multiple data sources to determine and monitor student achievement, along with the training of staff to utilize the data; and support the alignment of district and school policies and practices towards key strategies meant to support student achievement at all levels. </w:t>
      </w:r>
      <w:r w:rsidRPr="00781112">
        <w:rPr>
          <w:rFonts w:cs="Arial"/>
          <w:color w:val="000000" w:themeColor="text1"/>
          <w:szCs w:val="16"/>
        </w:rPr>
        <w:br/>
      </w:r>
      <w:r w:rsidRPr="00781112">
        <w:rPr>
          <w:rFonts w:cs="Arial"/>
          <w:color w:val="000000" w:themeColor="text1"/>
          <w:szCs w:val="16"/>
        </w:rPr>
        <w:br/>
        <w:t xml:space="preserve">In addition, Guam Part B also has a technical assistance delivery system that includes on-site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teams </w:t>
      </w:r>
      <w:r w:rsidRPr="00781112">
        <w:rPr>
          <w:rFonts w:cs="Arial"/>
          <w:color w:val="000000" w:themeColor="text1"/>
          <w:szCs w:val="16"/>
        </w:rPr>
        <w:lastRenderedPageBreak/>
        <w:t xml:space="preserve">responsible for delivering services to students with disabilities and personnel from the Division. The delivery system is comprised of SPED Coaches and Program Coordinators from the Division’s Leadership Team. Based on the level of support needed by school teams, Coaches and/or Program Coordinators provide training in all aspects of the delivery of services to issues stemming from IEP stipulated services and training on topics identified through onsite and off-site compliance reviews. </w:t>
      </w:r>
      <w:r w:rsidRPr="00781112">
        <w:rPr>
          <w:rFonts w:cs="Arial"/>
          <w:color w:val="000000" w:themeColor="text1"/>
          <w:szCs w:val="16"/>
        </w:rPr>
        <w:br/>
      </w:r>
      <w:r w:rsidRPr="00781112">
        <w:rPr>
          <w:rFonts w:cs="Arial"/>
          <w:color w:val="000000" w:themeColor="text1"/>
          <w:szCs w:val="16"/>
        </w:rPr>
        <w:br/>
        <w:t>There are also mechanisms in place to evaluate the effectiveness of the technical assistance, training, and support provided. Some ways in which impact measures are assessed are through the review of data compiled from the training evaluations, observations at the school sites to determine if there is any evidence of change in practices, file folder reviews, and ensuring the completion of activities described in any individual school action plans or improvement plans.</w:t>
      </w:r>
      <w:r w:rsidRPr="00781112">
        <w:rPr>
          <w:rFonts w:cs="Arial"/>
          <w:color w:val="000000" w:themeColor="text1"/>
          <w:szCs w:val="16"/>
        </w:rPr>
        <w:br/>
      </w:r>
      <w:r w:rsidRPr="00781112">
        <w:rPr>
          <w:rFonts w:cs="Arial"/>
          <w:color w:val="000000" w:themeColor="text1"/>
          <w:szCs w:val="16"/>
        </w:rPr>
        <w:br/>
        <w:t xml:space="preserve">Furthermore, Guam Part B received technical assistance and support for the development of Guam’s FFY 2021 State Performance Plan and Annual Performance Report through OSEP-funded TA Centers and Resources such as the NCSI, NCII, NCEO, </w:t>
      </w:r>
      <w:proofErr w:type="spellStart"/>
      <w:r w:rsidRPr="00781112">
        <w:rPr>
          <w:rFonts w:cs="Arial"/>
          <w:color w:val="000000" w:themeColor="text1"/>
          <w:szCs w:val="16"/>
        </w:rPr>
        <w:t>DaSY</w:t>
      </w:r>
      <w:proofErr w:type="spellEnd"/>
      <w:r w:rsidRPr="00781112">
        <w:rPr>
          <w:rFonts w:cs="Arial"/>
          <w:color w:val="000000" w:themeColor="text1"/>
          <w:szCs w:val="16"/>
        </w:rPr>
        <w:t xml:space="preserve"> Center, IDC, ECTAC, NTACT, WINTACT, the Progress Center, and the </w:t>
      </w:r>
      <w:proofErr w:type="spellStart"/>
      <w:r w:rsidRPr="00781112">
        <w:rPr>
          <w:rFonts w:cs="Arial"/>
          <w:color w:val="000000" w:themeColor="text1"/>
          <w:szCs w:val="16"/>
        </w:rPr>
        <w:t>EDFActs</w:t>
      </w:r>
      <w:proofErr w:type="spellEnd"/>
      <w:r w:rsidRPr="00781112">
        <w:rPr>
          <w:rFonts w:cs="Arial"/>
          <w:color w:val="000000" w:themeColor="text1"/>
          <w:szCs w:val="16"/>
        </w:rPr>
        <w:t xml:space="preserve"> Partner Support Center for the required IDEA 618 data submissions to EDEN/EDFacts. Guam Part B also partners with and receives technical assistance and support from the University of Guam Center for Excellence in Developmental Disabilities Education, Research, and Service (Guam CEDDERS).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As part of Guam DOE’s State Strategic Plan, one of the major components is the Professional Learning Communities (PLC) and Collaborative Teams at each school. The PLCs and Collaborative Teams are structures for teachers, administrators, instructional, and support staff to come together on a regular basis to review curriculum content, share effective instructional strategies, and analyze student assessment data to monitor student progress and determine needed interventions. As a management strategy, the Collaborative Teams structure helps establish a protocol for effective communication between Divisions and groups, as well as establish goals and action steps.</w:t>
      </w:r>
      <w:r w:rsidRPr="00781112">
        <w:rPr>
          <w:rFonts w:cs="Arial"/>
          <w:color w:val="000000" w:themeColor="text1"/>
          <w:szCs w:val="16"/>
        </w:rPr>
        <w:br/>
      </w:r>
      <w:r w:rsidRPr="00781112">
        <w:rPr>
          <w:rFonts w:cs="Arial"/>
          <w:color w:val="000000" w:themeColor="text1"/>
          <w:szCs w:val="16"/>
        </w:rPr>
        <w:br/>
        <w:t xml:space="preserve">Additionally, with GDOE’s mission statement: “Every student: responsible, respectful, and ready for life,” several goals were developed to improve educational outcomes for all students. Under the strategic priority of curriculum, instruction, and assessment, the goal is </w:t>
      </w:r>
      <w:proofErr w:type="gramStart"/>
      <w:r w:rsidRPr="00781112">
        <w:rPr>
          <w:rFonts w:cs="Arial"/>
          <w:color w:val="000000" w:themeColor="text1"/>
          <w:szCs w:val="16"/>
        </w:rPr>
        <w:t>have</w:t>
      </w:r>
      <w:proofErr w:type="gramEnd"/>
      <w:r w:rsidRPr="00781112">
        <w:rPr>
          <w:rFonts w:cs="Arial"/>
          <w:color w:val="000000" w:themeColor="text1"/>
          <w:szCs w:val="16"/>
        </w:rPr>
        <w:t xml:space="preserve"> all GDOE students graduate from high school prepared to engage in life-long learning and enter the economy with work ready skills necessary to thrive in 21st Century society.  To achieve this, steps are taken to strengthen and diversify the curriculum at all levels, along with continuous provision of research and evidence-based professional learning opportunities, resources and implementation supports given to teachers, administrators, and instructional staff to improve the quality of the curriculum, classroom instruction, assessment systems and interventions.  The mechanism in which this occurs is through the eight (8) professional development days in the GDOE School Calendar: all eight (8) days are Full-Day professional days and are designated specifically to the state-wide initiatives to support the goals in the GDOE SSP.</w:t>
      </w:r>
      <w:r w:rsidRPr="00781112">
        <w:rPr>
          <w:rFonts w:cs="Arial"/>
          <w:color w:val="000000" w:themeColor="text1"/>
          <w:szCs w:val="16"/>
        </w:rPr>
        <w:br/>
      </w:r>
      <w:r w:rsidRPr="00781112">
        <w:rPr>
          <w:rFonts w:cs="Arial"/>
          <w:color w:val="000000" w:themeColor="text1"/>
          <w:szCs w:val="16"/>
        </w:rPr>
        <w:br/>
        <w:t>In addition to these designated professional development days, there are also training days identified to focus on IEP-specific related training and support and program level needs such as Safe Crisis Management, the implementation of discipline procedures for students with disabilities, the IEP Process (initial referrals, reevaluations, eligibility, developing IEPs, transition plans, common core state standards and students with disabilities), training specific to CCSS and Alternate Assessments based on Alternate Achievement Standards for students with significant cognitive disabilities, training for early childhood special education staff and Head Start staff on instructional strategies and practices that are research and evidence-based to improve the outcomes for children, most especially to promote children’s’ social-emotional skills, understanding their problem behaviors and use of positive approaches to help them learn appropriate behaviors. Monthly meetings are also held within each of the Program Units in the Division of Special Education that are focused on the programmatic needs of each Unit.</w:t>
      </w:r>
      <w:r w:rsidRPr="00781112">
        <w:rPr>
          <w:rFonts w:cs="Arial"/>
          <w:color w:val="000000" w:themeColor="text1"/>
          <w:szCs w:val="16"/>
        </w:rPr>
        <w:br/>
      </w:r>
      <w:r w:rsidRPr="00781112">
        <w:rPr>
          <w:rFonts w:cs="Arial"/>
          <w:color w:val="000000" w:themeColor="text1"/>
          <w:szCs w:val="16"/>
        </w:rPr>
        <w:br/>
        <w:t>The professional development system employed by Guam ensures that service providers have the skills to effectively provide services that improve results for students with disabilities.</w:t>
      </w:r>
      <w:r w:rsidRPr="00781112">
        <w:rPr>
          <w:rFonts w:cs="Arial"/>
          <w:color w:val="000000" w:themeColor="text1"/>
          <w:szCs w:val="16"/>
        </w:rPr>
        <w:br/>
      </w:r>
      <w:r w:rsidRPr="00781112">
        <w:rPr>
          <w:rFonts w:cs="Arial"/>
          <w:color w:val="000000" w:themeColor="text1"/>
          <w:szCs w:val="16"/>
        </w:rPr>
        <w:br/>
        <w:t xml:space="preserve">In FFY 2020, GDOE was awarded a 5-year OSEP State Personnel Development Grant (SPDG): Project </w:t>
      </w:r>
      <w:proofErr w:type="spellStart"/>
      <w:r w:rsidRPr="00781112">
        <w:rPr>
          <w:rFonts w:cs="Arial"/>
          <w:color w:val="000000" w:themeColor="text1"/>
          <w:szCs w:val="16"/>
        </w:rPr>
        <w:t>Hita</w:t>
      </w:r>
      <w:proofErr w:type="spellEnd"/>
      <w:r w:rsidRPr="00781112">
        <w:rPr>
          <w:rFonts w:cs="Arial"/>
          <w:color w:val="000000" w:themeColor="text1"/>
          <w:szCs w:val="16"/>
        </w:rPr>
        <w:t xml:space="preserve"> Para </w:t>
      </w:r>
      <w:proofErr w:type="spellStart"/>
      <w:r w:rsidRPr="00781112">
        <w:rPr>
          <w:rFonts w:cs="Arial"/>
          <w:color w:val="000000" w:themeColor="text1"/>
          <w:szCs w:val="16"/>
        </w:rPr>
        <w:t>Mo'na</w:t>
      </w:r>
      <w:proofErr w:type="spellEnd"/>
      <w:r w:rsidRPr="00781112">
        <w:rPr>
          <w:rFonts w:cs="Arial"/>
          <w:color w:val="000000" w:themeColor="text1"/>
          <w:szCs w:val="16"/>
        </w:rPr>
        <w:t>. This project is designed to assist GDOE in developing and implementing effective professional development for improving functional outcomes and educational results for children with disabilities, with a focus on children with autism spectrum disorder (ASD).</w:t>
      </w:r>
      <w:r w:rsidRPr="00781112">
        <w:rPr>
          <w:rFonts w:cs="Arial"/>
          <w:color w:val="000000" w:themeColor="text1"/>
          <w:szCs w:val="16"/>
        </w:rPr>
        <w:br/>
      </w:r>
      <w:r w:rsidRPr="00781112">
        <w:rPr>
          <w:rFonts w:cs="Arial"/>
          <w:color w:val="000000" w:themeColor="text1"/>
          <w:szCs w:val="16"/>
        </w:rPr>
        <w:br/>
        <w:t xml:space="preserve">Today’s unprecedented new normal resulting from the global public health crisis caused by the 2019 novel coronavirus (COVID-19) requires families and providers to come together to develop a new playbook for how known evidence-based practices can be effectively implemented in unknown environments from maintaining social distancing to virtual learning. This playbook will be developed with all stakeholders, especially families of children with disabilities, to ensure meaningful application of the knowns into the unknowns of today. </w:t>
      </w:r>
      <w:r w:rsidRPr="00781112">
        <w:rPr>
          <w:rFonts w:cs="Arial"/>
          <w:color w:val="000000" w:themeColor="text1"/>
          <w:szCs w:val="16"/>
        </w:rPr>
        <w:br/>
      </w:r>
      <w:r w:rsidRPr="00781112">
        <w:rPr>
          <w:rFonts w:cs="Arial"/>
          <w:color w:val="000000" w:themeColor="text1"/>
          <w:szCs w:val="16"/>
        </w:rPr>
        <w:br/>
        <w:t xml:space="preserve">To ensure the applicability of Project </w:t>
      </w:r>
      <w:proofErr w:type="spellStart"/>
      <w:r w:rsidRPr="00781112">
        <w:rPr>
          <w:rFonts w:cs="Arial"/>
          <w:color w:val="000000" w:themeColor="text1"/>
          <w:szCs w:val="16"/>
        </w:rPr>
        <w:t>Hita</w:t>
      </w:r>
      <w:proofErr w:type="spellEnd"/>
      <w:r w:rsidRPr="00781112">
        <w:rPr>
          <w:rFonts w:cs="Arial"/>
          <w:color w:val="000000" w:themeColor="text1"/>
          <w:szCs w:val="16"/>
        </w:rPr>
        <w:t xml:space="preserve"> Para </w:t>
      </w:r>
      <w:proofErr w:type="spellStart"/>
      <w:r w:rsidRPr="00781112">
        <w:rPr>
          <w:rFonts w:cs="Arial"/>
          <w:color w:val="000000" w:themeColor="text1"/>
          <w:szCs w:val="16"/>
        </w:rPr>
        <w:t>Mo'na</w:t>
      </w:r>
      <w:proofErr w:type="spellEnd"/>
      <w:r w:rsidRPr="00781112">
        <w:rPr>
          <w:rFonts w:cs="Arial"/>
          <w:color w:val="000000" w:themeColor="text1"/>
          <w:szCs w:val="16"/>
        </w:rPr>
        <w:t xml:space="preserve"> within the GDOE professional development system, GDOE established key partnerships to support the authentic stakeholder engagement through the use of the Leading by Convening framework for improvement: Autism Community Together (ACT), Guam’s local non-profit organization of families and supporters of individuals with ASD; University of Guam (UOG) Center for Excellence in Developmental Disabilities Education, Research, and Service and School of Education, Guam’s local institution of higher education; and the National Association of State Directors of Special Education (NASDSE), the national organization for leaders in special education.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52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For each of the </w:t>
      </w:r>
      <w:proofErr w:type="gramStart"/>
      <w:r w:rsidRPr="00781112">
        <w:rPr>
          <w:color w:val="000000" w:themeColor="text1"/>
          <w:szCs w:val="16"/>
        </w:rPr>
        <w:t>Indicators</w:t>
      </w:r>
      <w:proofErr w:type="gramEnd"/>
      <w:r w:rsidRPr="00781112">
        <w:rPr>
          <w:color w:val="000000" w:themeColor="text1"/>
          <w:szCs w:val="16"/>
        </w:rPr>
        <w:t xml:space="preserve">, historical and current data was presented to show “trends” and “patterns” of performance beginning with FFY 2016 through FFY 2021. By doing this, stakeholders could see the growth or change from year to year with each of the Indicators. This was done so stakeholders could analyze the data </w:t>
      </w:r>
      <w:proofErr w:type="gramStart"/>
      <w:r w:rsidRPr="00781112">
        <w:rPr>
          <w:color w:val="000000" w:themeColor="text1"/>
          <w:szCs w:val="16"/>
        </w:rPr>
        <w:t>in order to</w:t>
      </w:r>
      <w:proofErr w:type="gramEnd"/>
      <w:r w:rsidRPr="00781112">
        <w:rPr>
          <w:color w:val="000000" w:themeColor="text1"/>
          <w:szCs w:val="16"/>
        </w:rPr>
        <w:t xml:space="preserve"> view progress or slippage towards meeting the targets. </w:t>
      </w:r>
      <w:r w:rsidRPr="00781112">
        <w:rPr>
          <w:color w:val="000000" w:themeColor="text1"/>
          <w:szCs w:val="16"/>
        </w:rPr>
        <w:br/>
      </w:r>
      <w:r w:rsidRPr="00781112">
        <w:rPr>
          <w:color w:val="000000" w:themeColor="text1"/>
          <w:szCs w:val="16"/>
        </w:rPr>
        <w:br/>
        <w:t xml:space="preserve">A discussion of previous improvement strategies employed for </w:t>
      </w:r>
      <w:proofErr w:type="gramStart"/>
      <w:r w:rsidRPr="00781112">
        <w:rPr>
          <w:color w:val="000000" w:themeColor="text1"/>
          <w:szCs w:val="16"/>
        </w:rPr>
        <w:t>particular Indicators</w:t>
      </w:r>
      <w:proofErr w:type="gramEnd"/>
      <w:r w:rsidRPr="00781112">
        <w:rPr>
          <w:color w:val="000000" w:themeColor="text1"/>
          <w:szCs w:val="16"/>
        </w:rPr>
        <w:t xml:space="preserve">, such as Indicators 11 and 13 were also discussed because of the issues with noncompliance. Division personnel conducted drill down exercises to get to the root causes of the noncompliance and for those Indicators </w:t>
      </w:r>
      <w:r w:rsidRPr="00781112">
        <w:rPr>
          <w:color w:val="000000" w:themeColor="text1"/>
          <w:szCs w:val="16"/>
        </w:rPr>
        <w:lastRenderedPageBreak/>
        <w:t>that had slippage. These results were shared with the parent stakeholders to get their feedback. For Indicator 11, parents agreed that the designation of an “Indicator 11 Monitor,” who will track the completion of evaluations, will increase the compliance with the 60-Day Timeline. For Indicator 13, parents felt that the weekly monitoring of IEPs needs to be aggressively monitored so that schools could increase their performance and thereby, improve results for youth with IEPs. Parent members appreciated the drill down data for both the compliance and results Indicators so they could better understand the possible causes of the slippage and reasons for not meeting the targets.</w:t>
      </w:r>
      <w:r w:rsidRPr="00781112">
        <w:rPr>
          <w:color w:val="000000" w:themeColor="text1"/>
          <w:szCs w:val="16"/>
        </w:rPr>
        <w:br/>
      </w:r>
      <w:r w:rsidRPr="00781112">
        <w:rPr>
          <w:color w:val="000000" w:themeColor="text1"/>
          <w:szCs w:val="16"/>
        </w:rPr>
        <w:br/>
        <w:t>During the discussion surrounding Indicator 14A, the student with a disability who attended the in-person stakeholder meeting, asked what could be done for students wanting to attend higher education after graduating from high school. This student wanted to know who in the school students could speak with about their aspirations. Parent members from GAPSD who were present at this same meeting and personnel from the GDOE Division of Special Education, provided information, along with tips and strategies students and parents should take to advocate for themselves during high school and after graduating from high school.</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SPP/APR is an extremely technical report and may be difficult to understand. </w:t>
      </w:r>
      <w:proofErr w:type="gramStart"/>
      <w:r w:rsidRPr="00781112">
        <w:rPr>
          <w:color w:val="000000" w:themeColor="text1"/>
          <w:szCs w:val="16"/>
        </w:rPr>
        <w:t>With this in mind, parent</w:t>
      </w:r>
      <w:proofErr w:type="gramEnd"/>
      <w:r w:rsidRPr="00781112">
        <w:rPr>
          <w:color w:val="000000" w:themeColor="text1"/>
          <w:szCs w:val="16"/>
        </w:rPr>
        <w:t xml:space="preserve"> stakeholders agreed that having smaller focus group sessions to discuss Indicators in clusters is the best method to review the SPP/APR. This way, parents could attend the cluster meetings or focus group sessions they are highly interested in attending or that are most pertinent to their child.</w:t>
      </w:r>
      <w:r w:rsidRPr="00781112">
        <w:rPr>
          <w:color w:val="000000" w:themeColor="text1"/>
          <w:szCs w:val="16"/>
        </w:rPr>
        <w:br/>
      </w:r>
      <w:r w:rsidRPr="00781112">
        <w:rPr>
          <w:color w:val="000000" w:themeColor="text1"/>
          <w:szCs w:val="16"/>
        </w:rPr>
        <w:br/>
        <w:t xml:space="preserve">Although there were some meetings that were held in-person, </w:t>
      </w:r>
      <w:proofErr w:type="gramStart"/>
      <w:r w:rsidRPr="00781112">
        <w:rPr>
          <w:color w:val="000000" w:themeColor="text1"/>
          <w:szCs w:val="16"/>
        </w:rPr>
        <w:t>the majority of</w:t>
      </w:r>
      <w:proofErr w:type="gramEnd"/>
      <w:r w:rsidRPr="00781112">
        <w:rPr>
          <w:color w:val="000000" w:themeColor="text1"/>
          <w:szCs w:val="16"/>
        </w:rPr>
        <w:t xml:space="preserve"> the focus group meetings were held virtually. Information and handouts were provided to the participants beforehand so they would have an easier time following along with the discussions.</w:t>
      </w:r>
      <w:r w:rsidRPr="00781112">
        <w:rPr>
          <w:color w:val="000000" w:themeColor="text1"/>
          <w:szCs w:val="16"/>
        </w:rPr>
        <w:br/>
      </w:r>
      <w:r w:rsidRPr="00781112">
        <w:rPr>
          <w:color w:val="000000" w:themeColor="text1"/>
          <w:szCs w:val="16"/>
        </w:rPr>
        <w:br/>
        <w:t xml:space="preserve">Flyers were </w:t>
      </w:r>
      <w:proofErr w:type="gramStart"/>
      <w:r w:rsidRPr="00781112">
        <w:rPr>
          <w:color w:val="000000" w:themeColor="text1"/>
          <w:szCs w:val="16"/>
        </w:rPr>
        <w:t>distributed</w:t>
      </w:r>
      <w:proofErr w:type="gramEnd"/>
      <w:r w:rsidRPr="00781112">
        <w:rPr>
          <w:color w:val="000000" w:themeColor="text1"/>
          <w:szCs w:val="16"/>
        </w:rPr>
        <w:t xml:space="preserve"> and emails were sent out announcing the sessions so parents could participate either in-person or virtually. Incentives in the form of gas cards or coupons were provided and issued to parents who attended any of the sessions.</w:t>
      </w:r>
      <w:r w:rsidRPr="00781112">
        <w:rPr>
          <w:color w:val="000000" w:themeColor="text1"/>
          <w:szCs w:val="16"/>
        </w:rPr>
        <w:br/>
      </w:r>
      <w:r w:rsidRPr="00781112">
        <w:rPr>
          <w:color w:val="000000" w:themeColor="text1"/>
          <w:szCs w:val="16"/>
        </w:rPr>
        <w:br/>
        <w:t>Two sessions were held to discuss the FFY 2021 SPP/APR in its entirety, inclusive of the SSIP.  One session was held virtually, while the other session was held both in-person and available to families via Zoom.</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Stakeholders agreed that the mechanism for soliciting public input for setting targets, analyzing data, developing improvement strategies and evaluating progress on each of the </w:t>
      </w:r>
      <w:proofErr w:type="gramStart"/>
      <w:r w:rsidRPr="00781112">
        <w:rPr>
          <w:color w:val="000000" w:themeColor="text1"/>
          <w:szCs w:val="16"/>
        </w:rPr>
        <w:t>Indicators</w:t>
      </w:r>
      <w:proofErr w:type="gramEnd"/>
      <w:r w:rsidRPr="00781112">
        <w:rPr>
          <w:color w:val="000000" w:themeColor="text1"/>
          <w:szCs w:val="16"/>
        </w:rPr>
        <w:t xml:space="preserve"> would be done through all means: small group in-person sessions, virtual sessions for both small groups and large groups, and email correspondence. </w:t>
      </w:r>
      <w:r w:rsidRPr="00781112">
        <w:rPr>
          <w:color w:val="000000" w:themeColor="text1"/>
          <w:szCs w:val="16"/>
        </w:rPr>
        <w:br/>
      </w:r>
      <w:r w:rsidRPr="00781112">
        <w:rPr>
          <w:color w:val="000000" w:themeColor="text1"/>
          <w:szCs w:val="16"/>
        </w:rPr>
        <w:br/>
        <w:t xml:space="preserve">Copies of the DRAFT SPP/APR were also distributed electronically and through hard copy. </w:t>
      </w:r>
      <w:r w:rsidRPr="00781112">
        <w:rPr>
          <w:color w:val="000000" w:themeColor="text1"/>
          <w:szCs w:val="16"/>
        </w:rPr>
        <w:br/>
      </w:r>
      <w:r w:rsidRPr="00781112">
        <w:rPr>
          <w:color w:val="000000" w:themeColor="text1"/>
          <w:szCs w:val="16"/>
        </w:rPr>
        <w:br/>
        <w:t xml:space="preserve">Stakeholders provided their input, ideas, and recommendations vocally, if they attended sessions in-person or virtually, and through email. The timeline for soliciting stakeholder input was set for Monday, January 30, 2023.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mechanisms and timelines for making the results of the target setting, data analysis, development of the improvement strategies, and evaluation was done through the distribution of flyers at the schools and through email announcements, through placement on the district's website, and through announcements on social media. </w:t>
      </w:r>
      <w:r w:rsidRPr="00781112">
        <w:rPr>
          <w:color w:val="000000" w:themeColor="text1"/>
          <w:szCs w:val="16"/>
        </w:rPr>
        <w:br/>
      </w:r>
      <w:r w:rsidRPr="00781112">
        <w:rPr>
          <w:color w:val="000000" w:themeColor="text1"/>
          <w:szCs w:val="16"/>
        </w:rPr>
        <w:br/>
        <w:t xml:space="preserve">The timeline for making the results of the target setting, data analysis, development of the improvement strategies and evaluations were made available to the public by January 30, </w:t>
      </w:r>
      <w:proofErr w:type="gramStart"/>
      <w:r w:rsidRPr="00781112">
        <w:rPr>
          <w:color w:val="000000" w:themeColor="text1"/>
          <w:szCs w:val="16"/>
        </w:rPr>
        <w:t>2023</w:t>
      </w:r>
      <w:proofErr w:type="gramEnd"/>
      <w:r w:rsidRPr="00781112">
        <w:rPr>
          <w:color w:val="000000" w:themeColor="text1"/>
          <w:szCs w:val="16"/>
        </w:rPr>
        <w:t xml:space="preserve"> via email. Throughout the entire stakeholder process and presentation of the SPP/APR, stakeholders were apprised of the progress in each of the </w:t>
      </w:r>
      <w:proofErr w:type="gramStart"/>
      <w:r w:rsidRPr="00781112">
        <w:rPr>
          <w:color w:val="000000" w:themeColor="text1"/>
          <w:szCs w:val="16"/>
        </w:rPr>
        <w:t>Indicators</w:t>
      </w:r>
      <w:proofErr w:type="gramEnd"/>
      <w:r w:rsidRPr="00781112">
        <w:rPr>
          <w:color w:val="000000" w:themeColor="text1"/>
          <w:szCs w:val="16"/>
        </w:rPr>
        <w:t>. By February 1, 2023, the first submission of the FFY 2021 SPP/APR will be provided to GAPSD members, with the understanding that revisions may be made upon OSEP’s review and recommendation for clarification during the week or period of clarification anticipated in April 2023.</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Guam Department of Education is a unitary system and does not have LEAs. As required, Guam’s Part B Program will report annually to the public as soon as practicable, but no later than 120 days following Guam’s submission of the APR. Guam will post the generated SPP/APR pdf version for public posting and the OSEP Determination Letter and Response Table on the GDOE website at www.gdoe.net (select “GDOE Links,” under Division Links, select “Special Education,” under Grants and Reports, click on “Guam Part B State Performance Plan and Annual Performance Report”), including any revisions if Guam has revised its SPP. Guam posts its complete SPP and all APRs on the GDOE website. </w:t>
      </w:r>
      <w:r w:rsidRPr="00781112">
        <w:rPr>
          <w:rFonts w:cs="Arial"/>
          <w:color w:val="000000" w:themeColor="text1"/>
          <w:szCs w:val="16"/>
        </w:rPr>
        <w:br/>
      </w:r>
      <w:r w:rsidRPr="00781112">
        <w:rPr>
          <w:rFonts w:cs="Arial"/>
          <w:color w:val="000000" w:themeColor="text1"/>
          <w:szCs w:val="16"/>
        </w:rPr>
        <w:br/>
        <w:t>The link to the site is as follows: https://www.gdoe.net/District/Department/2-Special%20Education/1874-State-Performance-Plan-and-Annual-Performance-Report.html</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Guam's IDEA Part B determination for both 2021 and 2022 is Needs Assistance. In Guam's 2022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Guam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The Department directed Guam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Guam must report, with its FFY 2021 SPP/APR submission, due February 1, 2023, on: (1) the technical assistance sources from which the State received assistance; and (2) the actions the State took as a result of that technical assistance.</w:t>
      </w:r>
      <w:r w:rsidRPr="00781112">
        <w:rPr>
          <w:rFonts w:cs="Arial"/>
          <w:color w:val="000000" w:themeColor="text1"/>
          <w:szCs w:val="16"/>
        </w:rPr>
        <w:br/>
      </w:r>
      <w:r w:rsidRPr="00781112">
        <w:rPr>
          <w:rFonts w:cs="Arial"/>
          <w:color w:val="000000" w:themeColor="text1"/>
          <w:szCs w:val="16"/>
        </w:rPr>
        <w:br/>
        <w:t>Guam's determination for 2022 reported a score of zero ("0") for the "long standing noncompliance" indicator in the 2022 Compliance Matrix for Guam Part B's grant special conditions and uncorrected identified noncompliance. Guam, therefore, provides the following information related to the technical assistance received and actions taken related to Guam's Part B grant special condition:</w:t>
      </w:r>
      <w:r w:rsidRPr="00781112">
        <w:rPr>
          <w:rFonts w:cs="Arial"/>
          <w:color w:val="000000" w:themeColor="text1"/>
          <w:szCs w:val="16"/>
        </w:rPr>
        <w:br/>
      </w:r>
      <w:r w:rsidRPr="00781112">
        <w:rPr>
          <w:rFonts w:cs="Arial"/>
          <w:color w:val="000000" w:themeColor="text1"/>
          <w:szCs w:val="16"/>
        </w:rPr>
        <w:br/>
        <w:t>(1) The technical assistance sources from which Guam received assistance: Guam continues to work with the Department's Risk Management Service (RMS) to address Guam Department of Education's (GDOE's) Special Conditions. The GDOE Comprehensive Corrective Action Plan (CCAP) describes the required activities - Letters from RMS and GDOE CCAP reports can be found on the GDOE website: http://gdoe.net; and</w:t>
      </w:r>
      <w:r w:rsidRPr="00781112">
        <w:rPr>
          <w:rFonts w:cs="Arial"/>
          <w:color w:val="000000" w:themeColor="text1"/>
          <w:szCs w:val="16"/>
        </w:rPr>
        <w:br/>
      </w:r>
      <w:r w:rsidRPr="00781112">
        <w:rPr>
          <w:rFonts w:cs="Arial"/>
          <w:color w:val="000000" w:themeColor="text1"/>
          <w:szCs w:val="16"/>
        </w:rPr>
        <w:br/>
        <w:t>(2) The actions Guam took as a result of the technical assistance: Guam provides quarterly reports to RMS demonstrating progress towards addressing the Special Conditions.</w:t>
      </w:r>
      <w:r w:rsidRPr="00781112">
        <w:rPr>
          <w:rFonts w:cs="Arial"/>
          <w:color w:val="000000" w:themeColor="text1"/>
          <w:szCs w:val="16"/>
        </w:rPr>
        <w:br/>
      </w:r>
      <w:r w:rsidRPr="00781112">
        <w:rPr>
          <w:rFonts w:cs="Arial"/>
          <w:color w:val="000000" w:themeColor="text1"/>
          <w:szCs w:val="16"/>
        </w:rPr>
        <w:br/>
        <w:t>Additionally, to address the uncorrected identified noncompliance and to improve results performance, Guam Part B availed itself of the technical assistance and resources from the following OSEP-funded technical assistance centers such as the IDEA Data Center (IDC), the National Center for Systemic Improvement (NCSI), the National Center for Educational Outcomes (NCEO), the National Center for Intensive Intervention (NCII), the Center for IDEA Early Childhood Data Systems (</w:t>
      </w:r>
      <w:proofErr w:type="spellStart"/>
      <w:r w:rsidRPr="00781112">
        <w:rPr>
          <w:rFonts w:cs="Arial"/>
          <w:color w:val="000000" w:themeColor="text1"/>
          <w:szCs w:val="16"/>
        </w:rPr>
        <w:t>DaSY</w:t>
      </w:r>
      <w:proofErr w:type="spellEnd"/>
      <w:r w:rsidRPr="00781112">
        <w:rPr>
          <w:rFonts w:cs="Arial"/>
          <w:color w:val="000000" w:themeColor="text1"/>
          <w:szCs w:val="16"/>
        </w:rPr>
        <w:t>), the Early Childhood Technical Assistance Center (ECTA), the National Technical Assistance Center on Transition (NTACT), the Workforce Innovation Technical Assistance Center (WINTAC), the Progress Center; and the Partner Support Center (PSC) for the required IDEA 618 data submissions to EDEN/EDFacts; and through the University of Guam Center for Excellence in Developmental Disabilities, Education, Research, and Service (Guam CEDDERS).</w:t>
      </w:r>
      <w:r w:rsidRPr="00781112">
        <w:rPr>
          <w:rFonts w:cs="Arial"/>
          <w:color w:val="000000" w:themeColor="text1"/>
          <w:szCs w:val="16"/>
        </w:rPr>
        <w:br/>
      </w:r>
      <w:r w:rsidRPr="00781112">
        <w:rPr>
          <w:rFonts w:cs="Arial"/>
          <w:color w:val="000000" w:themeColor="text1"/>
          <w:szCs w:val="16"/>
        </w:rPr>
        <w:br/>
        <w:t xml:space="preserve">Furthermore, in October 2020, GDOE was awarded an OSEP State Personnel Development Grant (SPDG): Project </w:t>
      </w:r>
      <w:proofErr w:type="spellStart"/>
      <w:r w:rsidRPr="00781112">
        <w:rPr>
          <w:rFonts w:cs="Arial"/>
          <w:color w:val="000000" w:themeColor="text1"/>
          <w:szCs w:val="16"/>
        </w:rPr>
        <w:t>Hita</w:t>
      </w:r>
      <w:proofErr w:type="spellEnd"/>
      <w:r w:rsidRPr="00781112">
        <w:rPr>
          <w:rFonts w:cs="Arial"/>
          <w:color w:val="000000" w:themeColor="text1"/>
          <w:szCs w:val="16"/>
        </w:rPr>
        <w:t xml:space="preserve"> Para </w:t>
      </w:r>
      <w:proofErr w:type="spellStart"/>
      <w:r w:rsidRPr="00781112">
        <w:rPr>
          <w:rFonts w:cs="Arial"/>
          <w:color w:val="000000" w:themeColor="text1"/>
          <w:szCs w:val="16"/>
        </w:rPr>
        <w:t>Mo'na</w:t>
      </w:r>
      <w:proofErr w:type="spellEnd"/>
      <w:r w:rsidRPr="00781112">
        <w:rPr>
          <w:rFonts w:cs="Arial"/>
          <w:color w:val="000000" w:themeColor="text1"/>
          <w:szCs w:val="16"/>
        </w:rPr>
        <w:t xml:space="preserve"> to support its system's professional development improvements, especially during these uncertain times and the impact of the COVID-19 pandemic. Technical assistance for the implementation of Project </w:t>
      </w:r>
      <w:proofErr w:type="spellStart"/>
      <w:r w:rsidRPr="00781112">
        <w:rPr>
          <w:rFonts w:cs="Arial"/>
          <w:color w:val="000000" w:themeColor="text1"/>
          <w:szCs w:val="16"/>
        </w:rPr>
        <w:t>Hita</w:t>
      </w:r>
      <w:proofErr w:type="spellEnd"/>
      <w:r w:rsidRPr="00781112">
        <w:rPr>
          <w:rFonts w:cs="Arial"/>
          <w:color w:val="000000" w:themeColor="text1"/>
          <w:szCs w:val="16"/>
        </w:rPr>
        <w:t xml:space="preserve"> Para </w:t>
      </w:r>
      <w:proofErr w:type="spellStart"/>
      <w:r w:rsidRPr="00781112">
        <w:rPr>
          <w:rFonts w:cs="Arial"/>
          <w:color w:val="000000" w:themeColor="text1"/>
          <w:szCs w:val="16"/>
        </w:rPr>
        <w:t>Mo'na</w:t>
      </w:r>
      <w:proofErr w:type="spellEnd"/>
      <w:r w:rsidRPr="00781112">
        <w:rPr>
          <w:rFonts w:cs="Arial"/>
          <w:color w:val="000000" w:themeColor="text1"/>
          <w:szCs w:val="16"/>
        </w:rPr>
        <w:t xml:space="preserve"> is through the partnership established with one of Guam's local parent organizations, Autism Community Together (ACT); Guam's higher education technical assistance provider and preservice program, University of Guam CEDDERS and School of Education; and the national special education leadership organization, the National Association of State Directors of Special Education (NASDSE).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Guam's determinations for both 2021 and 2022 were Needs Assistance. Pursuant to section 616(e)(1) of the IDEA and 34 C.F.R. § 300.604(a), OSEP's June 24, 2022 determination letter informed Guam that it must report with its FFY 2021 SPP/APR submission, due February 1, 2023, on: (1) the technical assistance sources from which Guam received assistance; and (2) the actions Guam took as a result of that technical assistance. Guam provided the required information.</w:t>
      </w:r>
      <w:r w:rsidRPr="00781112">
        <w:rPr>
          <w:rFonts w:cs="Arial"/>
          <w:color w:val="000000" w:themeColor="text1"/>
          <w:szCs w:val="16"/>
        </w:rPr>
        <w:br/>
      </w:r>
      <w:r w:rsidRPr="00781112">
        <w:rPr>
          <w:rFonts w:cs="Arial"/>
          <w:color w:val="000000" w:themeColor="text1"/>
          <w:szCs w:val="16"/>
        </w:rPr>
        <w:br/>
        <w:t>The Department imposed Specific Conditions on Guam's IDEA Part B grant awards for the last three or more years. Those conditions are in effect at the time of the Department’s 2023 determination.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Guam's IDEA Part B determination for both 2022 and 2023 is Needs Assistance. In Guam's 2023 determination letter, the Department advised Guam of available sources of technical assistance, including OSEP-funded technical assistance centers, and required Guam to work with appropriate entities. The Department directed Guam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Guam must report, with its FFY 2022 SPP/APR submission, due February 1, 2024, on: (1) the technical assistance sources from which Guam received assistance; and (2) the actions Guam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85.00%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90.76%</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85.42%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85.81%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83.33%</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86.00%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89.00%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4</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112</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96.55%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GDOE Board Policy #351.4 (11/27/00) states that a graduate must have a minimum of 24 credits for a high school diploma from a Guam public high school. The Exiting section of the Handbook for the Delivery of Special Education Services states that graduates are students who meet the same standards for graduation as students without disabilities. Although there is no GDOE board policy governing the requirements for students with disabilities who are parentally placed in private high schools, all private high school students must graduate with a minimum of 24 credits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receive a high school diploma from the private school they are attending.</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5"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6" w:name="_Hlk21352084"/>
      <w:r w:rsidRPr="00781112">
        <w:t xml:space="preserve">1 - </w:t>
      </w:r>
      <w:bookmarkEnd w:id="6"/>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7"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5"/>
      <w:bookmarkEnd w:id="7"/>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8"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9"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9"/>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8"/>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0844FA90" w:rsidR="00907A35" w:rsidRPr="00781112" w:rsidRDefault="00907A35" w:rsidP="004369B2">
      <w:pPr>
        <w:rPr>
          <w:b/>
          <w:color w:val="000000" w:themeColor="text1"/>
        </w:rPr>
      </w:pPr>
      <w:r w:rsidRPr="00781112">
        <w:rPr>
          <w:b/>
          <w:color w:val="000000" w:themeColor="text1"/>
        </w:rPr>
        <w:t>Historical Data</w:t>
      </w:r>
      <w:r w:rsidR="00D263A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14.17%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1.19%</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1.15%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14.17%</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3.24%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3.62%</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3.58%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2.50%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14.17%</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13.50%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13.00%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12.50%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4</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lastRenderedPageBreak/>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14.17%</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3.45%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Guam Part B has met the target set for Indicator 2 for this FFY 2021 reporting year.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GDOE Board Policy 375: Definition of Dropout states the following:</w:t>
      </w:r>
      <w:r w:rsidRPr="00781112">
        <w:rPr>
          <w:rFonts w:cs="Arial"/>
          <w:color w:val="000000" w:themeColor="text1"/>
          <w:szCs w:val="16"/>
          <w:shd w:val="clear" w:color="auto" w:fill="FFFFFF"/>
        </w:rPr>
        <w:br/>
        <w:t>A dropout is a person who was enrolled in a GDOE high school sometime during a given year; and after enrollment, stopped attending school without having been transferred to another school or to a high school equivalency education program recognized by the department; or incapacitated to the extent that enrollment in school or participation in an alternative high school program was possible; or graduated from high school or completed an alternative high school program recognized by the Department, within six years of the first day of enrollment in 9th grade; or expelled; or removed by law enforcement authorities and confined, thereby prohibiting the continuation of schooling.</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55.06%</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44.75%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32.18%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54.02%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45.36%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32.57%</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70.00%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90.00%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70.00%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40.00%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50.00%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60.00%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80.00%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47C59CB3" w:rsidR="00480083" w:rsidRPr="009B3E7D" w:rsidRDefault="00480083" w:rsidP="009B3E7D">
      <w:pPr>
        <w:spacing w:before="0" w:after="200" w:line="276" w:lineRule="auto"/>
        <w:rPr>
          <w:b/>
          <w:color w:val="000000" w:themeColor="text1"/>
        </w:rPr>
      </w:pPr>
      <w:r w:rsidRPr="00781112">
        <w:rPr>
          <w:b/>
          <w:color w:val="000000" w:themeColor="text1"/>
        </w:rPr>
        <w:t xml:space="preserve">Targets: Description of Stakeholder Input </w:t>
      </w:r>
      <w:r w:rsidR="009B3E7D">
        <w:rPr>
          <w:b/>
          <w:color w:val="000000" w:themeColor="text1"/>
        </w:rPr>
        <w:br/>
      </w: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lastRenderedPageBreak/>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7CE0A06C" w14:textId="77777777" w:rsidR="009B3E7D" w:rsidRPr="00781112" w:rsidRDefault="009B3E7D"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3D066E0D" w:rsidR="00DD7CEF" w:rsidRPr="00781112" w:rsidRDefault="007A01EA" w:rsidP="00314767">
            <w:pPr>
              <w:jc w:val="center"/>
              <w:rPr>
                <w:rFonts w:cs="Arial"/>
                <w:color w:val="000000" w:themeColor="text1"/>
                <w:szCs w:val="16"/>
              </w:rPr>
            </w:pPr>
            <w:r>
              <w:rPr>
                <w:rFonts w:cs="Arial"/>
                <w:color w:val="000000" w:themeColor="text1"/>
                <w:szCs w:val="16"/>
              </w:rPr>
              <w:t>x</w:t>
            </w:r>
            <w:bookmarkStart w:id="14" w:name="_Ref141096692"/>
            <w:r>
              <w:rPr>
                <w:rStyle w:val="FootnoteReference"/>
                <w:rFonts w:cs="Arial"/>
                <w:color w:val="000000" w:themeColor="text1"/>
                <w:szCs w:val="16"/>
              </w:rPr>
              <w:footnoteReference w:id="3"/>
            </w:r>
            <w:bookmarkEnd w:id="14"/>
          </w:p>
        </w:tc>
        <w:tc>
          <w:tcPr>
            <w:tcW w:w="1153" w:type="pct"/>
            <w:shd w:val="clear" w:color="auto" w:fill="auto"/>
            <w:vAlign w:val="center"/>
          </w:tcPr>
          <w:p w14:paraId="35D7BA3B" w14:textId="77423746" w:rsidR="00DD7CEF" w:rsidRPr="00781112" w:rsidRDefault="007A01EA" w:rsidP="00360DD6">
            <w:pPr>
              <w:jc w:val="center"/>
              <w:rPr>
                <w:rFonts w:cs="Arial"/>
                <w:color w:val="000000" w:themeColor="text1"/>
                <w:szCs w:val="16"/>
              </w:rPr>
            </w:pPr>
            <w:r>
              <w:rPr>
                <w:rFonts w:cs="Arial"/>
                <w:color w:val="000000" w:themeColor="text1"/>
                <w:szCs w:val="16"/>
              </w:rPr>
              <w:t>x</w:t>
            </w:r>
            <w:r w:rsidR="003B7A84">
              <w:rPr>
                <w:rFonts w:cs="Arial"/>
                <w:color w:val="000000" w:themeColor="text1"/>
                <w:szCs w:val="16"/>
              </w:rPr>
              <w:fldChar w:fldCharType="begin"/>
            </w:r>
            <w:r w:rsidR="003B7A84">
              <w:rPr>
                <w:rFonts w:cs="Arial"/>
                <w:color w:val="000000" w:themeColor="text1"/>
                <w:szCs w:val="16"/>
              </w:rPr>
              <w:instrText xml:space="preserve"> NOTEREF _Ref141096692 \f \h </w:instrText>
            </w:r>
            <w:r w:rsidR="003B7A84">
              <w:rPr>
                <w:rFonts w:cs="Arial"/>
                <w:color w:val="000000" w:themeColor="text1"/>
                <w:szCs w:val="16"/>
              </w:rPr>
            </w:r>
            <w:r w:rsidR="003B7A84">
              <w:rPr>
                <w:rFonts w:cs="Arial"/>
                <w:color w:val="000000" w:themeColor="text1"/>
                <w:szCs w:val="16"/>
              </w:rPr>
              <w:fldChar w:fldCharType="separate"/>
            </w:r>
            <w:r w:rsidR="00E37776" w:rsidRPr="00E37776">
              <w:rPr>
                <w:rStyle w:val="FootnoteReference"/>
              </w:rPr>
              <w:t>2</w:t>
            </w:r>
            <w:r w:rsidR="003B7A84">
              <w:rPr>
                <w:rFonts w:cs="Arial"/>
                <w:color w:val="000000" w:themeColor="text1"/>
                <w:szCs w:val="16"/>
              </w:rPr>
              <w:fldChar w:fldCharType="end"/>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234</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7B165027" w:rsidR="00DD7CEF" w:rsidRPr="00781112" w:rsidRDefault="003B7A8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58E61FB0" w14:textId="07091F55" w:rsidR="00DD7CEF" w:rsidRPr="00781112" w:rsidRDefault="003B7A8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75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118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14</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0C57A28E" w14:textId="77777777" w:rsidR="009B3E7D" w:rsidRPr="00781112" w:rsidRDefault="009B3E7D"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1F5780F6" w:rsidR="00BA0CFF" w:rsidRPr="00781112" w:rsidRDefault="003B7A8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758EF16C" w14:textId="1114AE5A" w:rsidR="00BA0CFF" w:rsidRPr="00781112" w:rsidRDefault="003B7A84"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234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5A0CCDC1" w:rsidR="003A67B1" w:rsidRPr="00781112" w:rsidRDefault="003B7A84"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48D18899" w14:textId="48101C28" w:rsidR="003A67B1" w:rsidRPr="00781112" w:rsidRDefault="003B7A84" w:rsidP="003A67B1">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74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118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114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14</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19B4896E"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918" w:type="pct"/>
            <w:shd w:val="clear" w:color="auto" w:fill="auto"/>
            <w:vAlign w:val="center"/>
          </w:tcPr>
          <w:p w14:paraId="703303A1" w14:textId="789BFE19"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55.06%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60.00%</w:t>
            </w:r>
          </w:p>
        </w:tc>
        <w:tc>
          <w:tcPr>
            <w:tcW w:w="467" w:type="pct"/>
            <w:shd w:val="clear" w:color="auto" w:fill="auto"/>
            <w:vAlign w:val="center"/>
          </w:tcPr>
          <w:p w14:paraId="70549BEB" w14:textId="4A3A2245"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725B7065"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918" w:type="pct"/>
            <w:shd w:val="clear" w:color="auto" w:fill="auto"/>
            <w:vAlign w:val="center"/>
          </w:tcPr>
          <w:p w14:paraId="4F6EDDAF" w14:textId="78DAFBCE"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44.75%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50.00%</w:t>
            </w:r>
          </w:p>
        </w:tc>
        <w:tc>
          <w:tcPr>
            <w:tcW w:w="467" w:type="pct"/>
            <w:shd w:val="clear" w:color="auto" w:fill="auto"/>
            <w:vAlign w:val="center"/>
          </w:tcPr>
          <w:p w14:paraId="20759612" w14:textId="513C889E" w:rsidR="00892DD7" w:rsidRPr="00781112" w:rsidRDefault="003B7A84" w:rsidP="00892DD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234</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32.18%</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40.00%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53.42%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562853C0"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908" w:type="pct"/>
            <w:shd w:val="clear" w:color="auto" w:fill="auto"/>
            <w:vAlign w:val="center"/>
          </w:tcPr>
          <w:p w14:paraId="039C7994" w14:textId="018CA0D9"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54.02%</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60.00%</w:t>
            </w:r>
          </w:p>
        </w:tc>
        <w:tc>
          <w:tcPr>
            <w:tcW w:w="468" w:type="pct"/>
            <w:shd w:val="clear" w:color="auto" w:fill="auto"/>
            <w:vAlign w:val="center"/>
          </w:tcPr>
          <w:p w14:paraId="0C38B251" w14:textId="1879D63B"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7BB0F705"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908" w:type="pct"/>
            <w:shd w:val="clear" w:color="auto" w:fill="auto"/>
            <w:vAlign w:val="center"/>
          </w:tcPr>
          <w:p w14:paraId="7F2CECC4" w14:textId="07C0A61E"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45.36%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50.00%</w:t>
            </w:r>
          </w:p>
        </w:tc>
        <w:tc>
          <w:tcPr>
            <w:tcW w:w="468" w:type="pct"/>
            <w:shd w:val="clear" w:color="auto" w:fill="auto"/>
            <w:vAlign w:val="center"/>
          </w:tcPr>
          <w:p w14:paraId="3542B9F1" w14:textId="2B11F7F8" w:rsidR="002C43CF" w:rsidRPr="00781112" w:rsidRDefault="003B7A84" w:rsidP="002C43CF">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_Ref141096692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2</w:t>
            </w:r>
            <w:r>
              <w:rPr>
                <w:rFonts w:cs="Arial"/>
                <w:color w:val="000000" w:themeColor="text1"/>
                <w:szCs w:val="16"/>
              </w:rPr>
              <w:fldChar w:fldCharType="end"/>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234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32.57%</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40.00%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53.85%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links listed below are where public reports of assessment results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the Guam Department of Education (GDOE) website. The first link is for the Annual State of Public Education Report (ASPER). The second link is for the individual school report cards.</w:t>
      </w:r>
      <w:r w:rsidRPr="00781112">
        <w:rPr>
          <w:rFonts w:cs="Arial"/>
          <w:color w:val="000000" w:themeColor="text1"/>
          <w:szCs w:val="16"/>
        </w:rPr>
        <w:br/>
      </w:r>
      <w:r w:rsidRPr="00781112">
        <w:rPr>
          <w:rFonts w:cs="Arial"/>
          <w:color w:val="000000" w:themeColor="text1"/>
          <w:szCs w:val="16"/>
        </w:rPr>
        <w:br/>
        <w:t>1. https://www.gdoe.net/District/Department/8-Research-Planning-and-Evaluation/Portal/annual-state-of-public-education-report</w:t>
      </w:r>
      <w:r w:rsidRPr="00781112">
        <w:rPr>
          <w:rFonts w:cs="Arial"/>
          <w:color w:val="000000" w:themeColor="text1"/>
          <w:szCs w:val="16"/>
        </w:rPr>
        <w:br/>
      </w:r>
      <w:r w:rsidRPr="00781112">
        <w:rPr>
          <w:rFonts w:cs="Arial"/>
          <w:color w:val="000000" w:themeColor="text1"/>
          <w:szCs w:val="16"/>
        </w:rPr>
        <w:br/>
        <w:t>2. https://www.gdoe.net/District/Department/2-Special-Education/1868-SPED-School-Report-Cards.html</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Default="00A14AEA" w:rsidP="002621F6">
      <w:pPr>
        <w:rPr>
          <w:rFonts w:cs="Arial"/>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47EA80F" w14:textId="77777777" w:rsidR="009B3E7D" w:rsidRPr="00781112" w:rsidRDefault="009B3E7D" w:rsidP="002621F6">
      <w:pPr>
        <w:rPr>
          <w:rFonts w:cs="Arial"/>
          <w:color w:val="000000" w:themeColor="text1"/>
          <w:szCs w:val="16"/>
        </w:rPr>
      </w:pP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5"/>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0.00%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1.79%</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0.00%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1.75%</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1FB25F0" w14:textId="3AEB2A6D" w:rsidR="009B3E7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6"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50C0AEAA" w14:textId="77777777" w:rsidR="009B3E7D" w:rsidRPr="00781112" w:rsidRDefault="009B3E7D" w:rsidP="00552927">
      <w:pPr>
        <w:rPr>
          <w:rFonts w:cs="Arial"/>
          <w:color w:val="000000" w:themeColor="text1"/>
          <w:szCs w:val="16"/>
        </w:rPr>
      </w:pPr>
    </w:p>
    <w:p w14:paraId="7DDF43CF" w14:textId="77777777" w:rsidR="009B3E7D" w:rsidRDefault="009B3E7D">
      <w:pPr>
        <w:spacing w:before="0" w:after="200" w:line="276" w:lineRule="auto"/>
        <w:rPr>
          <w:b/>
          <w:color w:val="000000" w:themeColor="text1"/>
        </w:rPr>
      </w:pPr>
      <w:r>
        <w:rPr>
          <w:b/>
          <w:color w:val="000000" w:themeColor="text1"/>
        </w:rPr>
        <w:br w:type="page"/>
      </w:r>
    </w:p>
    <w:p w14:paraId="59BC6B2E" w14:textId="6AC760F3"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77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1C93F8EB" w:rsidR="003B0C91" w:rsidRPr="00781112" w:rsidRDefault="00775CD9" w:rsidP="00360DD6">
            <w:pPr>
              <w:jc w:val="center"/>
              <w:rPr>
                <w:rFonts w:cs="Arial"/>
                <w:color w:val="000000" w:themeColor="text1"/>
                <w:szCs w:val="16"/>
              </w:rPr>
            </w:pPr>
            <w:r>
              <w:rPr>
                <w:rFonts w:cs="Arial"/>
                <w:color w:val="000000" w:themeColor="text1"/>
                <w:szCs w:val="16"/>
              </w:rPr>
              <w:t>x</w:t>
            </w:r>
            <w:bookmarkStart w:id="17" w:name="_Ref141249426"/>
            <w:r w:rsidR="00855B43">
              <w:rPr>
                <w:rStyle w:val="FootnoteReference"/>
                <w:rFonts w:cs="Arial"/>
                <w:color w:val="000000" w:themeColor="text1"/>
                <w:szCs w:val="16"/>
              </w:rPr>
              <w:footnoteReference w:id="4"/>
            </w:r>
            <w:bookmarkEnd w:id="17"/>
          </w:p>
        </w:tc>
        <w:tc>
          <w:tcPr>
            <w:tcW w:w="1292" w:type="pct"/>
            <w:shd w:val="clear" w:color="auto" w:fill="auto"/>
            <w:vAlign w:val="center"/>
          </w:tcPr>
          <w:p w14:paraId="74B7B6E9" w14:textId="661871C9" w:rsidR="003B0C91"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1292" w:type="pct"/>
            <w:shd w:val="clear" w:color="auto" w:fill="auto"/>
            <w:vAlign w:val="center"/>
          </w:tcPr>
          <w:p w14:paraId="46F10147" w14:textId="6364BEF9" w:rsidR="003B0C91"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1D9BA660" w:rsidR="003B0C91"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59F768C9" w14:textId="7DC76D8B" w:rsidR="003B0C91"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76</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120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A36D1F3" w:rsidR="00EB6900"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1292" w:type="pct"/>
            <w:shd w:val="clear" w:color="auto" w:fill="auto"/>
            <w:vAlign w:val="center"/>
          </w:tcPr>
          <w:p w14:paraId="0501C27C" w14:textId="77FBC25A" w:rsidR="00EB6900"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1292" w:type="pct"/>
            <w:shd w:val="clear" w:color="auto" w:fill="auto"/>
            <w:vAlign w:val="center"/>
          </w:tcPr>
          <w:p w14:paraId="2F8ECC6A" w14:textId="32E509AF" w:rsidR="00EB6900"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09C4CA3E" w:rsidR="00EB6900"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5</w:t>
            </w:r>
          </w:p>
        </w:tc>
        <w:tc>
          <w:tcPr>
            <w:tcW w:w="1292" w:type="pct"/>
            <w:shd w:val="clear" w:color="auto" w:fill="auto"/>
            <w:vAlign w:val="center"/>
          </w:tcPr>
          <w:p w14:paraId="56D05BB3" w14:textId="628D78B6" w:rsidR="00EB6900" w:rsidRPr="00781112" w:rsidRDefault="00855B43"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r>
      <w:bookmarkEnd w:id="16"/>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498292BC"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77</w:t>
            </w:r>
          </w:p>
        </w:tc>
        <w:tc>
          <w:tcPr>
            <w:tcW w:w="503" w:type="pct"/>
            <w:shd w:val="clear" w:color="auto" w:fill="auto"/>
            <w:vAlign w:val="center"/>
          </w:tcPr>
          <w:p w14:paraId="69FD37B5" w14:textId="1AB045F3"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3.00%</w:t>
            </w:r>
          </w:p>
        </w:tc>
        <w:tc>
          <w:tcPr>
            <w:tcW w:w="503" w:type="pct"/>
            <w:shd w:val="clear" w:color="auto" w:fill="auto"/>
            <w:vAlign w:val="center"/>
          </w:tcPr>
          <w:p w14:paraId="120D94C1" w14:textId="5C246B90"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26D83C4D"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119</w:t>
            </w:r>
          </w:p>
        </w:tc>
        <w:tc>
          <w:tcPr>
            <w:tcW w:w="503" w:type="pct"/>
            <w:shd w:val="clear" w:color="auto" w:fill="auto"/>
            <w:vAlign w:val="center"/>
          </w:tcPr>
          <w:p w14:paraId="3FB80D14" w14:textId="79AA91C8"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3.00%</w:t>
            </w:r>
          </w:p>
        </w:tc>
        <w:tc>
          <w:tcPr>
            <w:tcW w:w="503" w:type="pct"/>
            <w:shd w:val="clear" w:color="auto" w:fill="auto"/>
            <w:vAlign w:val="center"/>
          </w:tcPr>
          <w:p w14:paraId="65C7EB9E" w14:textId="7F2AE84D"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34F63F95"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119</w:t>
            </w:r>
          </w:p>
        </w:tc>
        <w:tc>
          <w:tcPr>
            <w:tcW w:w="503" w:type="pct"/>
            <w:shd w:val="clear" w:color="auto" w:fill="auto"/>
            <w:vAlign w:val="center"/>
          </w:tcPr>
          <w:p w14:paraId="039885F2" w14:textId="104005C3"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3.00%</w:t>
            </w:r>
          </w:p>
        </w:tc>
        <w:tc>
          <w:tcPr>
            <w:tcW w:w="503" w:type="pct"/>
            <w:shd w:val="clear" w:color="auto" w:fill="auto"/>
            <w:vAlign w:val="center"/>
          </w:tcPr>
          <w:p w14:paraId="68757684" w14:textId="76A657AF" w:rsidR="00AD0E97" w:rsidRPr="00781112" w:rsidRDefault="00855B43" w:rsidP="00AD0E97">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_Ref141249426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3</w:t>
            </w:r>
            <w:r>
              <w:rPr>
                <w:rFonts w:cs="Arial"/>
                <w:color w:val="000000" w:themeColor="text1"/>
                <w:szCs w:val="16"/>
              </w:rPr>
              <w:fldChar w:fldCharType="end"/>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reasons for slippage in Indicator 3B Reading for HS Grade are as follows: Beginning November 29, 2021, GDOE opened its doors for students to receive in-person learning five days weekly. Not all GDOE students returned to school full force, however. There were parents who were still hesitant to have their children return to school in-person. As a result, GDOE continued to provide -- on a small scale -- online learning. </w:t>
      </w:r>
      <w:r w:rsidRPr="00781112">
        <w:rPr>
          <w:rFonts w:cs="Arial"/>
          <w:color w:val="000000" w:themeColor="text1"/>
          <w:szCs w:val="16"/>
        </w:rPr>
        <w:br/>
      </w:r>
      <w:r w:rsidRPr="00781112">
        <w:rPr>
          <w:rFonts w:cs="Arial"/>
          <w:color w:val="000000" w:themeColor="text1"/>
          <w:szCs w:val="16"/>
        </w:rPr>
        <w:br/>
        <w:t xml:space="preserve">Five months later in April 2022, the district-wide assessment was administered to GDOE students who were receiving in-person instruction. </w:t>
      </w:r>
      <w:r w:rsidRPr="00781112">
        <w:rPr>
          <w:rFonts w:cs="Arial"/>
          <w:color w:val="000000" w:themeColor="text1"/>
          <w:szCs w:val="16"/>
        </w:rPr>
        <w:br/>
      </w:r>
      <w:r w:rsidRPr="00781112">
        <w:rPr>
          <w:rFonts w:cs="Arial"/>
          <w:color w:val="000000" w:themeColor="text1"/>
          <w:szCs w:val="16"/>
        </w:rPr>
        <w:br/>
        <w:t xml:space="preserve">These factors impacted and manifested itself in the low performance of all students with disabilities in the district-wide assessment for this reporting </w:t>
      </w:r>
      <w:r w:rsidRPr="00781112">
        <w:rPr>
          <w:rFonts w:cs="Arial"/>
          <w:color w:val="000000" w:themeColor="text1"/>
          <w:szCs w:val="16"/>
        </w:rPr>
        <w:lastRenderedPageBreak/>
        <w:t>period. The participation rate of students with disabilities taking the assessment is lower than normal, with only 80% to 87% participating in the assessment; and the low proficiency scores in all grades were indicative of the four full months of instruction.</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065A6938" w:rsidR="00242D8A" w:rsidRPr="00781112" w:rsidRDefault="00855B43" w:rsidP="00242D8A">
            <w:pPr>
              <w:jc w:val="center"/>
              <w:rPr>
                <w:rFonts w:cs="Arial"/>
                <w:color w:val="000000" w:themeColor="text1"/>
                <w:szCs w:val="16"/>
              </w:rPr>
            </w:pPr>
            <w:r>
              <w:rPr>
                <w:rFonts w:cs="Arial"/>
                <w:color w:val="000000" w:themeColor="text1"/>
                <w:szCs w:val="16"/>
              </w:rPr>
              <w:t>x</w:t>
            </w:r>
            <w:bookmarkStart w:id="18" w:name="_Ref141249523"/>
            <w:r>
              <w:rPr>
                <w:rStyle w:val="FootnoteReference"/>
                <w:rFonts w:cs="Arial"/>
                <w:color w:val="000000" w:themeColor="text1"/>
                <w:szCs w:val="16"/>
              </w:rPr>
              <w:footnoteReference w:id="5"/>
            </w:r>
            <w:bookmarkEnd w:id="18"/>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76</w:t>
            </w:r>
          </w:p>
        </w:tc>
        <w:tc>
          <w:tcPr>
            <w:tcW w:w="500" w:type="pct"/>
            <w:shd w:val="clear" w:color="auto" w:fill="auto"/>
            <w:vAlign w:val="center"/>
          </w:tcPr>
          <w:p w14:paraId="044B076F" w14:textId="2B31597C"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3.00%</w:t>
            </w:r>
          </w:p>
        </w:tc>
        <w:tc>
          <w:tcPr>
            <w:tcW w:w="500" w:type="pct"/>
            <w:shd w:val="clear" w:color="auto" w:fill="auto"/>
            <w:vAlign w:val="center"/>
          </w:tcPr>
          <w:p w14:paraId="4C5100F6" w14:textId="5B70BA87"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FB6FDD"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119</w:t>
            </w:r>
          </w:p>
        </w:tc>
        <w:tc>
          <w:tcPr>
            <w:tcW w:w="500" w:type="pct"/>
            <w:shd w:val="clear" w:color="auto" w:fill="auto"/>
            <w:vAlign w:val="center"/>
          </w:tcPr>
          <w:p w14:paraId="272455FD" w14:textId="591A45FF"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3.00%</w:t>
            </w:r>
          </w:p>
        </w:tc>
        <w:tc>
          <w:tcPr>
            <w:tcW w:w="500" w:type="pct"/>
            <w:shd w:val="clear" w:color="auto" w:fill="auto"/>
            <w:vAlign w:val="center"/>
          </w:tcPr>
          <w:p w14:paraId="7DB4B85A" w14:textId="66DF3404"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4BAA67A5"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120</w:t>
            </w:r>
          </w:p>
        </w:tc>
        <w:tc>
          <w:tcPr>
            <w:tcW w:w="500" w:type="pct"/>
            <w:shd w:val="clear" w:color="auto" w:fill="auto"/>
            <w:vAlign w:val="center"/>
          </w:tcPr>
          <w:p w14:paraId="2250005A" w14:textId="1E788DCD"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3.00%</w:t>
            </w:r>
          </w:p>
        </w:tc>
        <w:tc>
          <w:tcPr>
            <w:tcW w:w="500" w:type="pct"/>
            <w:shd w:val="clear" w:color="auto" w:fill="auto"/>
            <w:vAlign w:val="center"/>
          </w:tcPr>
          <w:p w14:paraId="581F32CD" w14:textId="0D5C1BA6" w:rsidR="00242D8A" w:rsidRPr="00781112" w:rsidRDefault="00855B43"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_Ref141249523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4</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The reasons for slippage remain the same as what was reported for Group C for Reading: students with and without disabilities have not had the opportunity of a full year of instruction, whether the instruction was delivered online or in-person. This shortened period of instruction, along with the method of the delivery of instruction, has manifested itself in low performing scores for students with disabilities in all grades in the district-wide assessment reported for FFY 2021.</w:t>
      </w:r>
    </w:p>
    <w:p w14:paraId="197C30C8" w14:textId="77777777" w:rsidR="00CF57A2" w:rsidRPr="00781112" w:rsidRDefault="00CF57A2" w:rsidP="00580134">
      <w:pPr>
        <w:rPr>
          <w:rFonts w:cs="Arial"/>
          <w:iCs/>
          <w:color w:val="000000" w:themeColor="text1"/>
          <w:szCs w:val="16"/>
        </w:rPr>
      </w:pPr>
    </w:p>
    <w:p w14:paraId="3C6B4961" w14:textId="766EA470" w:rsidR="00497DE4" w:rsidRPr="009B3E7D" w:rsidRDefault="00497DE4" w:rsidP="009B3E7D">
      <w:pPr>
        <w:spacing w:before="0" w:after="200" w:line="276" w:lineRule="auto"/>
        <w:rPr>
          <w:color w:val="000000" w:themeColor="text1"/>
        </w:rPr>
      </w:pPr>
      <w:r w:rsidRPr="00781112">
        <w:rPr>
          <w:b/>
          <w:color w:val="000000" w:themeColor="text1"/>
        </w:rPr>
        <w:t>Regulatory Information</w:t>
      </w:r>
      <w:r w:rsidR="009B3E7D">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links listed below are where public reports of assessment results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the Guam Department of Education (GDOE) website. The first link is for the Annual State of Public Education Report (ASPER). The second link is for the individual school report cards.</w:t>
      </w:r>
      <w:r w:rsidRPr="00781112">
        <w:rPr>
          <w:rFonts w:cs="Arial"/>
          <w:color w:val="000000" w:themeColor="text1"/>
          <w:szCs w:val="16"/>
        </w:rPr>
        <w:br/>
      </w:r>
      <w:r w:rsidRPr="00781112">
        <w:rPr>
          <w:rFonts w:cs="Arial"/>
          <w:color w:val="000000" w:themeColor="text1"/>
          <w:szCs w:val="16"/>
        </w:rPr>
        <w:br/>
        <w:t>1. https://www.gdoe.net/District/Department/8-Research-Planning-and-Evaluation/Portal/annual-state-of-public-education-report</w:t>
      </w:r>
      <w:r w:rsidRPr="00781112">
        <w:rPr>
          <w:rFonts w:cs="Arial"/>
          <w:color w:val="000000" w:themeColor="text1"/>
          <w:szCs w:val="16"/>
        </w:rPr>
        <w:br/>
      </w:r>
      <w:r w:rsidRPr="00781112">
        <w:rPr>
          <w:rFonts w:cs="Arial"/>
          <w:color w:val="000000" w:themeColor="text1"/>
          <w:szCs w:val="16"/>
        </w:rPr>
        <w:br/>
        <w:t>2. https://www.gdoe.net/District/Department/2-Special-Education/1868-SPED-School-Report-Cards.html</w:t>
      </w:r>
    </w:p>
    <w:p w14:paraId="2BE473B4" w14:textId="77777777" w:rsidR="00053391" w:rsidRPr="00781112" w:rsidRDefault="00053391" w:rsidP="004369B2">
      <w:pPr>
        <w:rPr>
          <w:b/>
          <w:color w:val="000000" w:themeColor="text1"/>
        </w:rPr>
      </w:pPr>
      <w:bookmarkStart w:id="19" w:name="_Toc382082367"/>
      <w:bookmarkStart w:id="20"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9"/>
      <w:bookmarkEnd w:id="20"/>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1" w:name="_Toc384383330"/>
      <w:bookmarkStart w:id="22" w:name="_Toc392159282"/>
      <w:bookmarkStart w:id="23"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5C7646">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56A1D3AB" w:rsidR="00537221" w:rsidRPr="00781112" w:rsidRDefault="005C7646" w:rsidP="005C7646">
            <w:pPr>
              <w:spacing w:before="0" w:after="0"/>
              <w:jc w:val="center"/>
              <w:rPr>
                <w:color w:val="000000" w:themeColor="text1"/>
              </w:rPr>
            </w:pPr>
            <w:r>
              <w:rPr>
                <w:color w:val="000000" w:themeColor="text1"/>
              </w:rPr>
              <w:t>x</w:t>
            </w:r>
            <w:bookmarkStart w:id="24" w:name="_Ref141172895"/>
            <w:r>
              <w:rPr>
                <w:rStyle w:val="FootnoteReference"/>
                <w:color w:val="000000" w:themeColor="text1"/>
              </w:rPr>
              <w:footnoteReference w:id="6"/>
            </w:r>
            <w:bookmarkEnd w:id="24"/>
          </w:p>
        </w:tc>
      </w:tr>
      <w:tr w:rsidR="005C7646" w:rsidRPr="00781112" w14:paraId="1C24E702" w14:textId="77777777" w:rsidTr="005C7646">
        <w:trPr>
          <w:trHeight w:val="368"/>
        </w:trPr>
        <w:tc>
          <w:tcPr>
            <w:tcW w:w="736" w:type="pct"/>
            <w:vAlign w:val="center"/>
          </w:tcPr>
          <w:p w14:paraId="678970EB" w14:textId="77777777" w:rsidR="005C7646" w:rsidRPr="00781112" w:rsidRDefault="005C7646" w:rsidP="005C7646">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C7646" w:rsidRPr="00781112" w:rsidRDefault="005C7646" w:rsidP="005C7646">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C7646" w:rsidRPr="00781112" w:rsidRDefault="005C7646" w:rsidP="005C7646">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C7646" w:rsidRPr="00781112" w:rsidRDefault="005C7646" w:rsidP="005C764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2E987C2F" w:rsidR="005C7646" w:rsidRPr="00781112" w:rsidRDefault="005C7646" w:rsidP="005C7646">
            <w:pPr>
              <w:spacing w:before="0" w:after="0"/>
              <w:jc w:val="center"/>
              <w:rPr>
                <w:rFonts w:cs="Arial"/>
                <w:color w:val="000000" w:themeColor="text1"/>
                <w:szCs w:val="16"/>
              </w:rPr>
            </w:pPr>
            <w:r w:rsidRPr="00FE5142">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r>
      <w:tr w:rsidR="005C7646" w:rsidRPr="00781112" w14:paraId="59B71803" w14:textId="77777777" w:rsidTr="005C7646">
        <w:trPr>
          <w:trHeight w:val="368"/>
        </w:trPr>
        <w:tc>
          <w:tcPr>
            <w:tcW w:w="736" w:type="pct"/>
            <w:vAlign w:val="center"/>
          </w:tcPr>
          <w:p w14:paraId="4EBEF59E" w14:textId="77777777" w:rsidR="005C7646" w:rsidRPr="00781112" w:rsidRDefault="005C7646" w:rsidP="005C7646">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C7646" w:rsidRPr="00781112" w:rsidRDefault="005C7646" w:rsidP="005C7646">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C7646" w:rsidRPr="00781112" w:rsidRDefault="005C7646" w:rsidP="005C7646">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C7646" w:rsidRPr="00781112" w:rsidRDefault="005C7646" w:rsidP="005C764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E0C2649" w:rsidR="005C7646" w:rsidRPr="00781112" w:rsidRDefault="005C7646" w:rsidP="005C7646">
            <w:pPr>
              <w:spacing w:before="0" w:after="0"/>
              <w:jc w:val="center"/>
              <w:rPr>
                <w:rFonts w:cs="Arial"/>
                <w:color w:val="000000" w:themeColor="text1"/>
                <w:szCs w:val="16"/>
              </w:rPr>
            </w:pPr>
            <w:r w:rsidRPr="00FE5142">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r>
      <w:tr w:rsidR="005C7646" w:rsidRPr="00781112" w14:paraId="05A06BC9" w14:textId="77777777" w:rsidTr="005C7646">
        <w:trPr>
          <w:trHeight w:val="368"/>
        </w:trPr>
        <w:tc>
          <w:tcPr>
            <w:tcW w:w="736" w:type="pct"/>
            <w:vAlign w:val="center"/>
          </w:tcPr>
          <w:p w14:paraId="6020FFAF" w14:textId="77777777" w:rsidR="005C7646" w:rsidRPr="00781112" w:rsidRDefault="005C7646" w:rsidP="005C7646">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C7646" w:rsidRPr="00781112" w:rsidRDefault="005C7646" w:rsidP="005C7646">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C7646" w:rsidRPr="00781112" w:rsidRDefault="005C7646" w:rsidP="005C7646">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C7646" w:rsidRPr="00781112" w:rsidRDefault="005C7646" w:rsidP="005C764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4DB5BF44" w:rsidR="005C7646" w:rsidRPr="00781112" w:rsidRDefault="005C7646" w:rsidP="005C7646">
            <w:pPr>
              <w:spacing w:before="0" w:after="0"/>
              <w:jc w:val="center"/>
              <w:rPr>
                <w:rFonts w:cs="Arial"/>
                <w:color w:val="000000" w:themeColor="text1"/>
                <w:szCs w:val="16"/>
              </w:rPr>
            </w:pPr>
            <w:r w:rsidRPr="00FE5142">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r>
      <w:tr w:rsidR="00537221" w:rsidRPr="00781112" w14:paraId="086B388C" w14:textId="77777777" w:rsidTr="005C7646">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5C7646">
            <w:pPr>
              <w:spacing w:before="0" w:after="0"/>
              <w:jc w:val="center"/>
              <w:rPr>
                <w:rFonts w:cs="Arial"/>
                <w:color w:val="000000" w:themeColor="text1"/>
                <w:szCs w:val="16"/>
              </w:rPr>
            </w:pPr>
            <w:r w:rsidRPr="00781112">
              <w:rPr>
                <w:rFonts w:cs="Arial"/>
                <w:color w:val="000000" w:themeColor="text1"/>
                <w:szCs w:val="16"/>
              </w:rPr>
              <w:t>38.46%</w:t>
            </w:r>
          </w:p>
        </w:tc>
      </w:tr>
      <w:tr w:rsidR="00537221" w:rsidRPr="00781112" w14:paraId="43D0DD14" w14:textId="77777777" w:rsidTr="005C7646">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1230A4F9" w:rsidR="00537221" w:rsidRPr="00781112" w:rsidRDefault="005C7646" w:rsidP="005C7646">
            <w:pPr>
              <w:spacing w:before="0" w:after="0"/>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8.00%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8.50%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9.00%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9.50%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10.00%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78BE9EB7" w:rsidR="00B14519" w:rsidRPr="00781112" w:rsidRDefault="005C7646" w:rsidP="00D13592">
            <w:pPr>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35.00%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36.00%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12.00%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13.00%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14.00%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21.00%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11.00%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12.00%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13.00%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14.00%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5FDB7B9A" w:rsidR="00B14519" w:rsidRPr="00781112" w:rsidRDefault="005C7646" w:rsidP="00D13592">
            <w:pPr>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_Ref141172895 \f \h  \* MERGEFORMAT </w:instrText>
            </w:r>
            <w:r>
              <w:rPr>
                <w:color w:val="000000" w:themeColor="text1"/>
              </w:rPr>
            </w:r>
            <w:r>
              <w:rPr>
                <w:color w:val="000000" w:themeColor="text1"/>
              </w:rPr>
              <w:fldChar w:fldCharType="separate"/>
            </w:r>
            <w:r w:rsidR="00E37776" w:rsidRPr="00E37776">
              <w:rPr>
                <w:rStyle w:val="FootnoteReference"/>
              </w:rPr>
              <w:t>5</w:t>
            </w:r>
            <w:r>
              <w:rPr>
                <w:color w:val="000000" w:themeColor="text1"/>
              </w:rPr>
              <w:fldChar w:fldCharType="end"/>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34.00%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35.00%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36.00%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37.00%</w:t>
            </w:r>
          </w:p>
        </w:tc>
      </w:tr>
    </w:tbl>
    <w:p w14:paraId="17A84693" w14:textId="77777777" w:rsidR="009B3E7D" w:rsidRDefault="009B3E7D" w:rsidP="009B3E7D">
      <w:pPr>
        <w:spacing w:before="0" w:after="200" w:line="276" w:lineRule="auto"/>
        <w:rPr>
          <w:b/>
          <w:color w:val="000000" w:themeColor="text1"/>
        </w:rPr>
      </w:pPr>
    </w:p>
    <w:p w14:paraId="08B1A70A" w14:textId="27DEA9C8" w:rsidR="002D145D" w:rsidRPr="009B3E7D" w:rsidRDefault="002D145D" w:rsidP="009B3E7D">
      <w:pPr>
        <w:spacing w:before="0" w:after="200" w:line="276" w:lineRule="auto"/>
        <w:rPr>
          <w:b/>
          <w:color w:val="000000" w:themeColor="text1"/>
        </w:rPr>
      </w:pPr>
      <w:r w:rsidRPr="00781112">
        <w:rPr>
          <w:b/>
          <w:color w:val="000000" w:themeColor="text1"/>
        </w:rPr>
        <w:t xml:space="preserve">Targets: Description of Stakeholder Input </w:t>
      </w:r>
      <w:r w:rsidR="009B3E7D">
        <w:rPr>
          <w:b/>
          <w:color w:val="000000" w:themeColor="text1"/>
        </w:rPr>
        <w:br/>
      </w:r>
      <w:r w:rsidR="002B7490"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002B7490" w:rsidRPr="00781112">
        <w:rPr>
          <w:rFonts w:cs="Arial"/>
          <w:color w:val="000000" w:themeColor="text1"/>
          <w:szCs w:val="16"/>
        </w:rPr>
        <w:br/>
      </w:r>
      <w:r w:rsidR="002B7490" w:rsidRPr="00781112">
        <w:rPr>
          <w:rFonts w:cs="Arial"/>
          <w:color w:val="000000" w:themeColor="text1"/>
          <w:szCs w:val="16"/>
        </w:rPr>
        <w:br/>
        <w:t>- Flyers and emails were sent out to parents and all interested stakeholders announcing focus group forum sessions and large stakeholder sessions.</w:t>
      </w:r>
      <w:r w:rsidR="002B7490" w:rsidRPr="00781112">
        <w:rPr>
          <w:rFonts w:cs="Arial"/>
          <w:color w:val="000000" w:themeColor="text1"/>
          <w:szCs w:val="16"/>
        </w:rPr>
        <w:br/>
      </w:r>
      <w:r w:rsidR="002B7490" w:rsidRPr="00781112">
        <w:rPr>
          <w:rFonts w:cs="Arial"/>
          <w:color w:val="000000" w:themeColor="text1"/>
          <w:szCs w:val="16"/>
        </w:rPr>
        <w:br/>
        <w:t xml:space="preserve">- Several in-person and virtual meetings were held for smaller focus groups to discuss Indicator “clusters,” such as Secondary Clusters (Indicators 1, 2, </w:t>
      </w:r>
      <w:r w:rsidR="002B7490" w:rsidRPr="00781112">
        <w:rPr>
          <w:rFonts w:cs="Arial"/>
          <w:color w:val="000000" w:themeColor="text1"/>
          <w:szCs w:val="16"/>
        </w:rPr>
        <w:lastRenderedPageBreak/>
        <w:t>13, and 14); Early Childhood Preschool Clusters and Parent Involvement (Indicators 6, 7, and 12; and Indicator 8); School Age Clusters (Indicators 3, 4, 5 and 11); and the SSIP (Indicator 17).</w:t>
      </w:r>
      <w:r w:rsidR="002B7490" w:rsidRPr="00781112">
        <w:rPr>
          <w:rFonts w:cs="Arial"/>
          <w:color w:val="000000" w:themeColor="text1"/>
          <w:szCs w:val="16"/>
        </w:rPr>
        <w:br/>
      </w:r>
      <w:r w:rsidR="002B7490"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002B7490" w:rsidRPr="00781112">
        <w:rPr>
          <w:rFonts w:cs="Arial"/>
          <w:color w:val="000000" w:themeColor="text1"/>
          <w:szCs w:val="16"/>
        </w:rPr>
        <w:br/>
      </w:r>
      <w:r w:rsidR="002B7490" w:rsidRPr="00781112">
        <w:rPr>
          <w:rFonts w:cs="Arial"/>
          <w:color w:val="000000" w:themeColor="text1"/>
          <w:szCs w:val="16"/>
        </w:rPr>
        <w:br/>
        <w:t>- Electronic and hard copies of the SPP/APR and PPT presentation were provided to all participants.</w:t>
      </w:r>
      <w:r w:rsidR="002B7490" w:rsidRPr="00781112">
        <w:rPr>
          <w:rFonts w:cs="Arial"/>
          <w:color w:val="000000" w:themeColor="text1"/>
          <w:szCs w:val="16"/>
        </w:rPr>
        <w:br/>
      </w:r>
      <w:r w:rsidR="002B7490" w:rsidRPr="00781112">
        <w:rPr>
          <w:rFonts w:cs="Arial"/>
          <w:color w:val="000000" w:themeColor="text1"/>
          <w:szCs w:val="16"/>
        </w:rPr>
        <w:br/>
        <w:t>- Survey questions were posed to parents during the parent forum sessions conducted virtually and in-person for Indicator 8.</w:t>
      </w:r>
      <w:r w:rsidR="002B7490" w:rsidRPr="00781112">
        <w:rPr>
          <w:rFonts w:cs="Arial"/>
          <w:color w:val="000000" w:themeColor="text1"/>
          <w:szCs w:val="16"/>
        </w:rPr>
        <w:br/>
      </w:r>
      <w:r w:rsidR="002B7490"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002B7490" w:rsidRPr="00781112">
        <w:rPr>
          <w:rFonts w:cs="Arial"/>
          <w:color w:val="000000" w:themeColor="text1"/>
          <w:szCs w:val="16"/>
        </w:rPr>
        <w:t>FaceBook</w:t>
      </w:r>
      <w:proofErr w:type="spellEnd"/>
      <w:r w:rsidR="002B7490" w:rsidRPr="00781112">
        <w:rPr>
          <w:rFonts w:cs="Arial"/>
          <w:color w:val="000000" w:themeColor="text1"/>
          <w:szCs w:val="16"/>
        </w:rPr>
        <w:t xml:space="preserve"> and </w:t>
      </w:r>
      <w:proofErr w:type="spellStart"/>
      <w:r w:rsidR="002B7490" w:rsidRPr="00781112">
        <w:rPr>
          <w:rFonts w:cs="Arial"/>
          <w:color w:val="000000" w:themeColor="text1"/>
          <w:szCs w:val="16"/>
        </w:rPr>
        <w:t>InstaGram</w:t>
      </w:r>
      <w:proofErr w:type="spellEnd"/>
      <w:r w:rsidR="002B7490" w:rsidRPr="00781112">
        <w:rPr>
          <w:rFonts w:cs="Arial"/>
          <w:color w:val="000000" w:themeColor="text1"/>
          <w:szCs w:val="16"/>
        </w:rPr>
        <w:t xml:space="preserve"> for Indicator 14.</w:t>
      </w:r>
      <w:r w:rsidR="002B7490" w:rsidRPr="00781112">
        <w:rPr>
          <w:rFonts w:cs="Arial"/>
          <w:color w:val="000000" w:themeColor="text1"/>
          <w:szCs w:val="16"/>
        </w:rPr>
        <w:br/>
      </w:r>
      <w:r w:rsidR="002B7490" w:rsidRPr="00781112">
        <w:rPr>
          <w:rFonts w:cs="Arial"/>
          <w:color w:val="000000" w:themeColor="text1"/>
          <w:szCs w:val="16"/>
        </w:rPr>
        <w:br/>
        <w:t>- Phone call surveys were conducted with parents of children with disabilities enrolled in the four SSIP schools.</w:t>
      </w:r>
      <w:r w:rsidR="002B7490" w:rsidRPr="00781112">
        <w:rPr>
          <w:rFonts w:cs="Arial"/>
          <w:color w:val="000000" w:themeColor="text1"/>
          <w:szCs w:val="16"/>
        </w:rPr>
        <w:br/>
      </w:r>
      <w:r w:rsidR="002B7490"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002B7490" w:rsidRPr="00781112">
        <w:rPr>
          <w:rFonts w:cs="Arial"/>
          <w:color w:val="000000" w:themeColor="text1"/>
          <w:szCs w:val="16"/>
        </w:rPr>
        <w:br/>
      </w:r>
      <w:r w:rsidR="002B7490" w:rsidRPr="00781112">
        <w:rPr>
          <w:rFonts w:cs="Arial"/>
          <w:color w:val="000000" w:themeColor="text1"/>
          <w:szCs w:val="16"/>
        </w:rPr>
        <w:br/>
        <w:t>Additional information provided below include the dates when sessions were conducted:</w:t>
      </w:r>
      <w:r w:rsidR="002B7490" w:rsidRPr="00781112">
        <w:rPr>
          <w:rFonts w:cs="Arial"/>
          <w:color w:val="000000" w:themeColor="text1"/>
          <w:szCs w:val="16"/>
        </w:rPr>
        <w:br/>
      </w:r>
      <w:r w:rsidR="002B7490"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002B7490" w:rsidRPr="00781112">
        <w:rPr>
          <w:rFonts w:cs="Arial"/>
          <w:color w:val="000000" w:themeColor="text1"/>
          <w:szCs w:val="16"/>
        </w:rPr>
        <w:br/>
      </w:r>
      <w:r w:rsidR="002B7490"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002B7490" w:rsidRPr="00781112">
        <w:rPr>
          <w:rFonts w:cs="Arial"/>
          <w:color w:val="000000" w:themeColor="text1"/>
          <w:szCs w:val="16"/>
        </w:rPr>
        <w:br/>
      </w:r>
      <w:r w:rsidR="002B7490"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002B7490" w:rsidRPr="00781112">
        <w:rPr>
          <w:rFonts w:cs="Arial"/>
          <w:color w:val="000000" w:themeColor="text1"/>
          <w:szCs w:val="16"/>
        </w:rPr>
        <w:br/>
      </w:r>
      <w:r w:rsidR="002B7490"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002B7490" w:rsidRPr="00781112">
        <w:rPr>
          <w:rFonts w:cs="Arial"/>
          <w:color w:val="000000" w:themeColor="text1"/>
          <w:szCs w:val="16"/>
        </w:rPr>
        <w:br/>
      </w:r>
      <w:r w:rsidR="002B7490"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002B7490" w:rsidRPr="00781112">
        <w:rPr>
          <w:rFonts w:cs="Arial"/>
          <w:color w:val="000000" w:themeColor="text1"/>
          <w:szCs w:val="16"/>
        </w:rPr>
        <w:t>training</w:t>
      </w:r>
      <w:proofErr w:type="gramEnd"/>
      <w:r w:rsidR="002B7490"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002B7490" w:rsidRPr="00781112">
        <w:rPr>
          <w:rFonts w:cs="Arial"/>
          <w:color w:val="000000" w:themeColor="text1"/>
          <w:szCs w:val="16"/>
        </w:rPr>
        <w:br/>
      </w:r>
      <w:r w:rsidR="002B7490"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002B7490" w:rsidRPr="00781112">
        <w:rPr>
          <w:rFonts w:cs="Arial"/>
          <w:color w:val="000000" w:themeColor="text1"/>
          <w:szCs w:val="16"/>
        </w:rPr>
        <w:br/>
      </w:r>
      <w:r w:rsidR="002B7490" w:rsidRPr="00781112">
        <w:rPr>
          <w:rFonts w:cs="Arial"/>
          <w:color w:val="000000" w:themeColor="text1"/>
          <w:szCs w:val="16"/>
        </w:rPr>
        <w:br/>
        <w:t xml:space="preserve">January 18 &amp; 28, 2023: The full SPP/APR for FFY 2021 was presented to stakeholders on both these dates. January 18, </w:t>
      </w:r>
      <w:proofErr w:type="gramStart"/>
      <w:r w:rsidR="002B7490" w:rsidRPr="00781112">
        <w:rPr>
          <w:rFonts w:cs="Arial"/>
          <w:color w:val="000000" w:themeColor="text1"/>
          <w:szCs w:val="16"/>
        </w:rPr>
        <w:t>2023</w:t>
      </w:r>
      <w:proofErr w:type="gramEnd"/>
      <w:r w:rsidR="002B7490"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002B7490" w:rsidRPr="00781112">
        <w:rPr>
          <w:rFonts w:cs="Arial"/>
          <w:color w:val="000000" w:themeColor="text1"/>
          <w:szCs w:val="16"/>
        </w:rPr>
        <w:t>school teachers</w:t>
      </w:r>
      <w:proofErr w:type="gramEnd"/>
      <w:r w:rsidR="002B7490"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002B7490" w:rsidRPr="00781112">
        <w:rPr>
          <w:rFonts w:cs="Arial"/>
          <w:color w:val="000000" w:themeColor="text1"/>
          <w:szCs w:val="16"/>
        </w:rPr>
        <w:br/>
      </w:r>
      <w:r w:rsidR="002B7490"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002B7490" w:rsidRPr="00781112">
        <w:rPr>
          <w:rFonts w:cs="Arial"/>
          <w:color w:val="000000" w:themeColor="text1"/>
          <w:szCs w:val="16"/>
        </w:rPr>
        <w:br/>
      </w:r>
      <w:r w:rsidR="002B7490"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002B7490" w:rsidRPr="00781112">
        <w:rPr>
          <w:rFonts w:cs="Arial"/>
          <w:color w:val="000000" w:themeColor="text1"/>
          <w:szCs w:val="16"/>
        </w:rPr>
        <w:t>aimswebPlus</w:t>
      </w:r>
      <w:proofErr w:type="spellEnd"/>
      <w:r w:rsidR="002B7490"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002B7490" w:rsidRPr="00781112">
        <w:rPr>
          <w:rFonts w:cs="Arial"/>
          <w:color w:val="000000" w:themeColor="text1"/>
          <w:szCs w:val="16"/>
        </w:rPr>
        <w:t>2022</w:t>
      </w:r>
      <w:proofErr w:type="gramEnd"/>
      <w:r w:rsidR="002B7490"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5C7646">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5C7646">
            <w:pPr>
              <w:jc w:val="center"/>
              <w:rPr>
                <w:b/>
                <w:color w:val="000000" w:themeColor="text1"/>
              </w:rPr>
            </w:pPr>
            <w:r w:rsidRPr="00781112">
              <w:rPr>
                <w:color w:val="000000" w:themeColor="text1"/>
              </w:rPr>
              <w:t>22</w:t>
            </w:r>
          </w:p>
        </w:tc>
        <w:tc>
          <w:tcPr>
            <w:tcW w:w="2700" w:type="dxa"/>
            <w:shd w:val="clear" w:color="auto" w:fill="auto"/>
            <w:vAlign w:val="center"/>
          </w:tcPr>
          <w:p w14:paraId="1DFC3C40" w14:textId="5833F145" w:rsidR="005A486A" w:rsidRPr="00781112" w:rsidRDefault="005A486A" w:rsidP="005C7646">
            <w:pPr>
              <w:jc w:val="center"/>
              <w:rPr>
                <w:b/>
                <w:color w:val="000000" w:themeColor="text1"/>
              </w:rPr>
            </w:pPr>
            <w:r w:rsidRPr="00781112">
              <w:rPr>
                <w:color w:val="000000" w:themeColor="text1"/>
              </w:rPr>
              <w:t>14</w:t>
            </w:r>
          </w:p>
        </w:tc>
        <w:tc>
          <w:tcPr>
            <w:tcW w:w="2700" w:type="dxa"/>
            <w:shd w:val="clear" w:color="auto" w:fill="auto"/>
            <w:vAlign w:val="center"/>
          </w:tcPr>
          <w:p w14:paraId="70A0184C" w14:textId="4D57349B" w:rsidR="005A486A" w:rsidRPr="00781112" w:rsidRDefault="005A486A" w:rsidP="005C7646">
            <w:pPr>
              <w:jc w:val="center"/>
              <w:rPr>
                <w:b/>
                <w:color w:val="000000" w:themeColor="text1"/>
              </w:rPr>
            </w:pPr>
            <w:r w:rsidRPr="00781112">
              <w:rPr>
                <w:color w:val="000000" w:themeColor="text1"/>
              </w:rPr>
              <w:t>6</w:t>
            </w:r>
          </w:p>
        </w:tc>
      </w:tr>
      <w:tr w:rsidR="005C7646" w:rsidRPr="00781112" w14:paraId="3BE009FE" w14:textId="48A19AF7" w:rsidTr="005C7646">
        <w:tc>
          <w:tcPr>
            <w:tcW w:w="2695" w:type="dxa"/>
            <w:shd w:val="clear" w:color="auto" w:fill="auto"/>
          </w:tcPr>
          <w:p w14:paraId="3D43994F" w14:textId="3B46415A" w:rsidR="005C7646" w:rsidRPr="00781112" w:rsidRDefault="005C7646" w:rsidP="005C7646">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5F794168" w:rsidR="005C7646" w:rsidRPr="00781112" w:rsidRDefault="005C7646" w:rsidP="005C7646">
            <w:pPr>
              <w:jc w:val="center"/>
              <w:rPr>
                <w:b/>
                <w:color w:val="000000" w:themeColor="text1"/>
              </w:rPr>
            </w:pPr>
            <w:r w:rsidRPr="00043072">
              <w:rPr>
                <w:color w:val="000000" w:themeColor="text1"/>
              </w:rPr>
              <w:t>x</w:t>
            </w:r>
            <w:bookmarkStart w:id="25" w:name="_Ref141172957"/>
            <w:r>
              <w:rPr>
                <w:rStyle w:val="FootnoteReference"/>
                <w:color w:val="000000" w:themeColor="text1"/>
              </w:rPr>
              <w:footnoteReference w:id="7"/>
            </w:r>
            <w:bookmarkEnd w:id="25"/>
          </w:p>
        </w:tc>
        <w:tc>
          <w:tcPr>
            <w:tcW w:w="2700" w:type="dxa"/>
            <w:shd w:val="clear" w:color="auto" w:fill="auto"/>
            <w:vAlign w:val="center"/>
          </w:tcPr>
          <w:p w14:paraId="47E25E0D" w14:textId="5E57BEE3" w:rsidR="005C7646" w:rsidRPr="00781112" w:rsidRDefault="005C7646" w:rsidP="005C7646">
            <w:pPr>
              <w:jc w:val="center"/>
              <w:rPr>
                <w:b/>
                <w:color w:val="000000" w:themeColor="text1"/>
              </w:rPr>
            </w:pPr>
            <w:r w:rsidRPr="00043072">
              <w:rPr>
                <w:color w:val="000000" w:themeColor="text1"/>
              </w:rPr>
              <w:t>x</w:t>
            </w:r>
            <w:r>
              <w:rPr>
                <w:color w:val="000000" w:themeColor="text1"/>
              </w:rPr>
              <w:fldChar w:fldCharType="begin"/>
            </w:r>
            <w:r>
              <w:rPr>
                <w:color w:val="000000" w:themeColor="text1"/>
              </w:rPr>
              <w:instrText xml:space="preserve"> NOTEREF _Ref141172957 \f \h  \* MERGEFORMAT </w:instrText>
            </w:r>
            <w:r>
              <w:rPr>
                <w:color w:val="000000" w:themeColor="text1"/>
              </w:rPr>
            </w:r>
            <w:r>
              <w:rPr>
                <w:color w:val="000000" w:themeColor="text1"/>
              </w:rPr>
              <w:fldChar w:fldCharType="separate"/>
            </w:r>
            <w:r w:rsidR="00E37776" w:rsidRPr="00E37776">
              <w:rPr>
                <w:rStyle w:val="FootnoteReference"/>
              </w:rPr>
              <w:t>6</w:t>
            </w:r>
            <w:r>
              <w:rPr>
                <w:color w:val="000000" w:themeColor="text1"/>
              </w:rPr>
              <w:fldChar w:fldCharType="end"/>
            </w:r>
          </w:p>
        </w:tc>
        <w:tc>
          <w:tcPr>
            <w:tcW w:w="2700" w:type="dxa"/>
            <w:shd w:val="clear" w:color="auto" w:fill="auto"/>
            <w:vAlign w:val="center"/>
          </w:tcPr>
          <w:p w14:paraId="523F025F" w14:textId="10EC1716" w:rsidR="005C7646" w:rsidRPr="00781112" w:rsidRDefault="005C7646" w:rsidP="005C7646">
            <w:pPr>
              <w:jc w:val="center"/>
              <w:rPr>
                <w:b/>
                <w:color w:val="000000" w:themeColor="text1"/>
              </w:rPr>
            </w:pPr>
            <w:r w:rsidRPr="00043072">
              <w:rPr>
                <w:color w:val="000000" w:themeColor="text1"/>
              </w:rPr>
              <w:t>x</w:t>
            </w:r>
            <w:r>
              <w:rPr>
                <w:color w:val="000000" w:themeColor="text1"/>
              </w:rPr>
              <w:fldChar w:fldCharType="begin"/>
            </w:r>
            <w:r>
              <w:rPr>
                <w:color w:val="000000" w:themeColor="text1"/>
              </w:rPr>
              <w:instrText xml:space="preserve"> NOTEREF _Ref141172957 \f \h  \* MERGEFORMAT </w:instrText>
            </w:r>
            <w:r>
              <w:rPr>
                <w:color w:val="000000" w:themeColor="text1"/>
              </w:rPr>
            </w:r>
            <w:r>
              <w:rPr>
                <w:color w:val="000000" w:themeColor="text1"/>
              </w:rPr>
              <w:fldChar w:fldCharType="separate"/>
            </w:r>
            <w:r w:rsidR="00E37776" w:rsidRPr="00E37776">
              <w:rPr>
                <w:rStyle w:val="FootnoteReference"/>
              </w:rPr>
              <w:t>6</w:t>
            </w:r>
            <w:r>
              <w:rPr>
                <w:color w:val="000000" w:themeColor="text1"/>
              </w:rPr>
              <w:fldChar w:fldCharType="end"/>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5C7646">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5C7646">
            <w:pPr>
              <w:jc w:val="center"/>
              <w:rPr>
                <w:b/>
                <w:color w:val="000000" w:themeColor="text1"/>
              </w:rPr>
            </w:pPr>
            <w:r w:rsidRPr="00781112">
              <w:rPr>
                <w:color w:val="000000" w:themeColor="text1"/>
              </w:rPr>
              <w:t>21</w:t>
            </w:r>
          </w:p>
        </w:tc>
        <w:tc>
          <w:tcPr>
            <w:tcW w:w="2700" w:type="dxa"/>
            <w:shd w:val="clear" w:color="auto" w:fill="auto"/>
            <w:vAlign w:val="center"/>
          </w:tcPr>
          <w:p w14:paraId="07947D7E" w14:textId="50342908" w:rsidR="00660173" w:rsidRPr="00781112" w:rsidRDefault="00660173" w:rsidP="005C7646">
            <w:pPr>
              <w:jc w:val="center"/>
              <w:rPr>
                <w:b/>
                <w:color w:val="000000" w:themeColor="text1"/>
              </w:rPr>
            </w:pPr>
            <w:r w:rsidRPr="00781112">
              <w:rPr>
                <w:color w:val="000000" w:themeColor="text1"/>
              </w:rPr>
              <w:t>14</w:t>
            </w:r>
          </w:p>
        </w:tc>
        <w:tc>
          <w:tcPr>
            <w:tcW w:w="2700" w:type="dxa"/>
            <w:shd w:val="clear" w:color="auto" w:fill="auto"/>
            <w:vAlign w:val="center"/>
          </w:tcPr>
          <w:p w14:paraId="669EEFA3" w14:textId="194786E9" w:rsidR="00660173" w:rsidRPr="00781112" w:rsidRDefault="00660173" w:rsidP="005C7646">
            <w:pPr>
              <w:jc w:val="center"/>
              <w:rPr>
                <w:b/>
                <w:color w:val="000000" w:themeColor="text1"/>
              </w:rPr>
            </w:pPr>
            <w:r w:rsidRPr="00781112">
              <w:rPr>
                <w:color w:val="000000" w:themeColor="text1"/>
              </w:rPr>
              <w:t>6</w:t>
            </w:r>
          </w:p>
        </w:tc>
      </w:tr>
      <w:tr w:rsidR="005C7646" w:rsidRPr="00781112" w14:paraId="7E58498F" w14:textId="77777777" w:rsidTr="005C7646">
        <w:tc>
          <w:tcPr>
            <w:tcW w:w="2695" w:type="dxa"/>
            <w:shd w:val="clear" w:color="auto" w:fill="auto"/>
          </w:tcPr>
          <w:p w14:paraId="4F32E0BC" w14:textId="3249207F" w:rsidR="005C7646" w:rsidRPr="00781112" w:rsidRDefault="005C7646" w:rsidP="005C7646">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5C7646" w:rsidRPr="00781112" w:rsidRDefault="005C7646" w:rsidP="005C7646">
            <w:pPr>
              <w:jc w:val="center"/>
              <w:rPr>
                <w:b/>
                <w:color w:val="000000" w:themeColor="text1"/>
              </w:rPr>
            </w:pPr>
            <w:r w:rsidRPr="00781112">
              <w:rPr>
                <w:color w:val="000000" w:themeColor="text1"/>
              </w:rPr>
              <w:t>6</w:t>
            </w:r>
          </w:p>
        </w:tc>
        <w:tc>
          <w:tcPr>
            <w:tcW w:w="2700" w:type="dxa"/>
            <w:shd w:val="clear" w:color="auto" w:fill="auto"/>
            <w:vAlign w:val="center"/>
          </w:tcPr>
          <w:p w14:paraId="6F4311F8" w14:textId="0EE2421D" w:rsidR="005C7646" w:rsidRPr="00781112" w:rsidRDefault="005C7646" w:rsidP="005C7646">
            <w:pPr>
              <w:jc w:val="center"/>
              <w:rPr>
                <w:b/>
                <w:color w:val="000000" w:themeColor="text1"/>
              </w:rPr>
            </w:pPr>
            <w:r w:rsidRPr="00FD0AA9">
              <w:rPr>
                <w:color w:val="000000" w:themeColor="text1"/>
              </w:rPr>
              <w:t>x</w:t>
            </w:r>
            <w:r w:rsidRPr="00FD0AA9">
              <w:rPr>
                <w:color w:val="000000" w:themeColor="text1"/>
              </w:rPr>
              <w:fldChar w:fldCharType="begin"/>
            </w:r>
            <w:r w:rsidRPr="00FD0AA9">
              <w:rPr>
                <w:color w:val="000000" w:themeColor="text1"/>
              </w:rPr>
              <w:instrText xml:space="preserve"> NOTEREF _Ref141172957 \f \h </w:instrText>
            </w:r>
            <w:r>
              <w:rPr>
                <w:color w:val="000000" w:themeColor="text1"/>
              </w:rPr>
              <w:instrText xml:space="preserve"> \* MERGEFORMAT </w:instrText>
            </w:r>
            <w:r w:rsidRPr="00FD0AA9">
              <w:rPr>
                <w:color w:val="000000" w:themeColor="text1"/>
              </w:rPr>
            </w:r>
            <w:r w:rsidRPr="00FD0AA9">
              <w:rPr>
                <w:color w:val="000000" w:themeColor="text1"/>
              </w:rPr>
              <w:fldChar w:fldCharType="separate"/>
            </w:r>
            <w:r w:rsidR="00E37776" w:rsidRPr="00E37776">
              <w:rPr>
                <w:rStyle w:val="FootnoteReference"/>
              </w:rPr>
              <w:t>6</w:t>
            </w:r>
            <w:r w:rsidRPr="00FD0AA9">
              <w:rPr>
                <w:color w:val="000000" w:themeColor="text1"/>
              </w:rPr>
              <w:fldChar w:fldCharType="end"/>
            </w:r>
          </w:p>
        </w:tc>
        <w:tc>
          <w:tcPr>
            <w:tcW w:w="2700" w:type="dxa"/>
            <w:shd w:val="clear" w:color="auto" w:fill="auto"/>
            <w:vAlign w:val="center"/>
          </w:tcPr>
          <w:p w14:paraId="7B154B01" w14:textId="726BDB7B" w:rsidR="005C7646" w:rsidRPr="00781112" w:rsidRDefault="005C7646" w:rsidP="005C7646">
            <w:pPr>
              <w:jc w:val="center"/>
              <w:rPr>
                <w:b/>
                <w:color w:val="000000" w:themeColor="text1"/>
              </w:rPr>
            </w:pPr>
            <w:r w:rsidRPr="00FD0AA9">
              <w:rPr>
                <w:color w:val="000000" w:themeColor="text1"/>
              </w:rPr>
              <w:t>x</w:t>
            </w:r>
            <w:r w:rsidRPr="00FD0AA9">
              <w:rPr>
                <w:color w:val="000000" w:themeColor="text1"/>
              </w:rPr>
              <w:fldChar w:fldCharType="begin"/>
            </w:r>
            <w:r w:rsidRPr="00FD0AA9">
              <w:rPr>
                <w:color w:val="000000" w:themeColor="text1"/>
              </w:rPr>
              <w:instrText xml:space="preserve"> NOTEREF _Ref141172957 \f \h </w:instrText>
            </w:r>
            <w:r>
              <w:rPr>
                <w:color w:val="000000" w:themeColor="text1"/>
              </w:rPr>
              <w:instrText xml:space="preserve"> \* MERGEFORMAT </w:instrText>
            </w:r>
            <w:r w:rsidRPr="00FD0AA9">
              <w:rPr>
                <w:color w:val="000000" w:themeColor="text1"/>
              </w:rPr>
            </w:r>
            <w:r w:rsidRPr="00FD0AA9">
              <w:rPr>
                <w:color w:val="000000" w:themeColor="text1"/>
              </w:rPr>
              <w:fldChar w:fldCharType="separate"/>
            </w:r>
            <w:r w:rsidR="00E37776" w:rsidRPr="00E37776">
              <w:rPr>
                <w:rStyle w:val="FootnoteReference"/>
              </w:rPr>
              <w:t>6</w:t>
            </w:r>
            <w:r w:rsidRPr="00FD0AA9">
              <w:rPr>
                <w:color w:val="000000" w:themeColor="text1"/>
              </w:rPr>
              <w:fldChar w:fldCharType="end"/>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5C7646">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3"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C7646" w:rsidRPr="00781112" w14:paraId="318B8AAD" w14:textId="77777777" w:rsidTr="005C7646">
        <w:tc>
          <w:tcPr>
            <w:tcW w:w="323" w:type="pct"/>
            <w:shd w:val="clear" w:color="auto" w:fill="auto"/>
            <w:vAlign w:val="center"/>
          </w:tcPr>
          <w:p w14:paraId="4BD3A1A0" w14:textId="77777777" w:rsidR="005C7646" w:rsidRPr="00781112" w:rsidRDefault="005C7646" w:rsidP="005C7646">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5C7646" w:rsidRPr="00781112" w:rsidDel="00DE5045" w:rsidRDefault="005C7646" w:rsidP="005C7646">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0EC608D" w14:textId="7A4C163A" w:rsidR="005C7646" w:rsidRPr="00781112" w:rsidRDefault="005C7646" w:rsidP="005C7646">
            <w:pPr>
              <w:jc w:val="center"/>
              <w:rPr>
                <w:rFonts w:cs="Arial"/>
                <w:color w:val="000000" w:themeColor="text1"/>
                <w:szCs w:val="16"/>
              </w:rPr>
            </w:pPr>
            <w:r w:rsidRPr="000942AF">
              <w:rPr>
                <w:color w:val="000000" w:themeColor="text1"/>
              </w:rPr>
              <w:t>x</w:t>
            </w:r>
            <w:r w:rsidRPr="000942AF">
              <w:rPr>
                <w:color w:val="000000" w:themeColor="text1"/>
              </w:rPr>
              <w:fldChar w:fldCharType="begin"/>
            </w:r>
            <w:r w:rsidRPr="000942AF">
              <w:rPr>
                <w:color w:val="000000" w:themeColor="text1"/>
              </w:rPr>
              <w:instrText xml:space="preserve"> NOTEREF _Ref141172957 \f \h </w:instrText>
            </w:r>
            <w:r>
              <w:rPr>
                <w:color w:val="000000" w:themeColor="text1"/>
              </w:rPr>
              <w:instrText xml:space="preserve"> \* MERGEFORMAT </w:instrText>
            </w:r>
            <w:r w:rsidRPr="000942AF">
              <w:rPr>
                <w:color w:val="000000" w:themeColor="text1"/>
              </w:rPr>
            </w:r>
            <w:r w:rsidRPr="000942AF">
              <w:rPr>
                <w:color w:val="000000" w:themeColor="text1"/>
              </w:rPr>
              <w:fldChar w:fldCharType="separate"/>
            </w:r>
            <w:r w:rsidR="00E37776" w:rsidRPr="00E37776">
              <w:rPr>
                <w:rStyle w:val="FootnoteReference"/>
              </w:rPr>
              <w:t>6</w:t>
            </w:r>
            <w:r w:rsidRPr="000942AF">
              <w:rPr>
                <w:color w:val="000000" w:themeColor="text1"/>
              </w:rPr>
              <w:fldChar w:fldCharType="end"/>
            </w:r>
          </w:p>
        </w:tc>
        <w:tc>
          <w:tcPr>
            <w:tcW w:w="636" w:type="pct"/>
            <w:shd w:val="clear" w:color="auto" w:fill="auto"/>
            <w:vAlign w:val="center"/>
          </w:tcPr>
          <w:p w14:paraId="5740CA80" w14:textId="7FBF02A9" w:rsidR="005C7646" w:rsidRPr="00781112" w:rsidRDefault="005C7646" w:rsidP="005C7646">
            <w:pPr>
              <w:jc w:val="center"/>
              <w:rPr>
                <w:rFonts w:cs="Arial"/>
                <w:color w:val="000000" w:themeColor="text1"/>
                <w:szCs w:val="16"/>
              </w:rPr>
            </w:pPr>
            <w:r>
              <w:rPr>
                <w:rFonts w:cs="Arial"/>
                <w:color w:val="000000"/>
                <w:szCs w:val="16"/>
              </w:rPr>
              <w:t>22</w:t>
            </w:r>
          </w:p>
        </w:tc>
        <w:tc>
          <w:tcPr>
            <w:tcW w:w="528" w:type="pct"/>
            <w:shd w:val="clear" w:color="auto" w:fill="auto"/>
            <w:vAlign w:val="center"/>
          </w:tcPr>
          <w:p w14:paraId="6BA58310" w14:textId="47E62ED5" w:rsidR="005C7646" w:rsidRPr="00781112" w:rsidRDefault="005C7646" w:rsidP="005C7646">
            <w:pPr>
              <w:jc w:val="center"/>
              <w:rPr>
                <w:rFonts w:cs="Arial"/>
                <w:color w:val="000000" w:themeColor="text1"/>
                <w:szCs w:val="16"/>
              </w:rPr>
            </w:pPr>
            <w:r w:rsidRPr="009232A0">
              <w:rPr>
                <w:color w:val="000000" w:themeColor="text1"/>
              </w:rPr>
              <w:t>x</w:t>
            </w:r>
            <w:r w:rsidRPr="009232A0">
              <w:rPr>
                <w:color w:val="000000" w:themeColor="text1"/>
              </w:rPr>
              <w:fldChar w:fldCharType="begin"/>
            </w:r>
            <w:r w:rsidRPr="009232A0">
              <w:rPr>
                <w:color w:val="000000" w:themeColor="text1"/>
              </w:rPr>
              <w:instrText xml:space="preserve"> NOTEREF _Ref141172957 \f \h </w:instrText>
            </w:r>
            <w:r>
              <w:rPr>
                <w:color w:val="000000" w:themeColor="text1"/>
              </w:rPr>
              <w:instrText xml:space="preserve"> \* MERGEFORMAT </w:instrText>
            </w:r>
            <w:r w:rsidRPr="009232A0">
              <w:rPr>
                <w:color w:val="000000" w:themeColor="text1"/>
              </w:rPr>
            </w:r>
            <w:r w:rsidRPr="009232A0">
              <w:rPr>
                <w:color w:val="000000" w:themeColor="text1"/>
              </w:rPr>
              <w:fldChar w:fldCharType="separate"/>
            </w:r>
            <w:r w:rsidR="00E37776" w:rsidRPr="00E37776">
              <w:rPr>
                <w:rStyle w:val="FootnoteReference"/>
              </w:rPr>
              <w:t>6</w:t>
            </w:r>
            <w:r w:rsidRPr="009232A0">
              <w:rPr>
                <w:color w:val="000000" w:themeColor="text1"/>
              </w:rPr>
              <w:fldChar w:fldCharType="end"/>
            </w:r>
          </w:p>
        </w:tc>
        <w:tc>
          <w:tcPr>
            <w:tcW w:w="741" w:type="pct"/>
            <w:shd w:val="clear" w:color="auto" w:fill="auto"/>
            <w:vAlign w:val="center"/>
          </w:tcPr>
          <w:p w14:paraId="47A1F29A" w14:textId="0E923F64" w:rsidR="005C7646" w:rsidRPr="00781112" w:rsidRDefault="005C7646" w:rsidP="005C7646">
            <w:pPr>
              <w:jc w:val="center"/>
              <w:rPr>
                <w:rFonts w:cs="Arial"/>
                <w:color w:val="000000" w:themeColor="text1"/>
                <w:szCs w:val="16"/>
              </w:rPr>
            </w:pPr>
            <w:r w:rsidRPr="00781112">
              <w:rPr>
                <w:rFonts w:cs="Arial"/>
                <w:color w:val="000000" w:themeColor="text1"/>
                <w:szCs w:val="16"/>
              </w:rPr>
              <w:t>2.00%</w:t>
            </w:r>
          </w:p>
        </w:tc>
        <w:tc>
          <w:tcPr>
            <w:tcW w:w="487" w:type="pct"/>
            <w:shd w:val="clear" w:color="auto" w:fill="auto"/>
            <w:vAlign w:val="center"/>
          </w:tcPr>
          <w:p w14:paraId="2AE4C61A" w14:textId="552D062E" w:rsidR="005C7646" w:rsidRPr="00781112" w:rsidRDefault="005C7646" w:rsidP="005C7646">
            <w:pPr>
              <w:jc w:val="center"/>
              <w:rPr>
                <w:rFonts w:cs="Arial"/>
                <w:color w:val="000000" w:themeColor="text1"/>
                <w:szCs w:val="16"/>
              </w:rPr>
            </w:pPr>
            <w:r w:rsidRPr="001A0422">
              <w:rPr>
                <w:color w:val="000000" w:themeColor="text1"/>
              </w:rPr>
              <w:t>x</w:t>
            </w:r>
            <w:r w:rsidRPr="001A0422">
              <w:rPr>
                <w:color w:val="000000" w:themeColor="text1"/>
              </w:rPr>
              <w:fldChar w:fldCharType="begin"/>
            </w:r>
            <w:r w:rsidRPr="001A0422">
              <w:rPr>
                <w:color w:val="000000" w:themeColor="text1"/>
              </w:rPr>
              <w:instrText xml:space="preserve"> NOTEREF _Ref141172957 \f \h </w:instrText>
            </w:r>
            <w:r>
              <w:rPr>
                <w:color w:val="000000" w:themeColor="text1"/>
              </w:rPr>
              <w:instrText xml:space="preserve"> \* MERGEFORMAT </w:instrText>
            </w:r>
            <w:r w:rsidRPr="001A0422">
              <w:rPr>
                <w:color w:val="000000" w:themeColor="text1"/>
              </w:rPr>
            </w:r>
            <w:r w:rsidRPr="001A0422">
              <w:rPr>
                <w:color w:val="000000" w:themeColor="text1"/>
              </w:rPr>
              <w:fldChar w:fldCharType="separate"/>
            </w:r>
            <w:r w:rsidR="00E37776" w:rsidRPr="00E37776">
              <w:rPr>
                <w:rStyle w:val="FootnoteReference"/>
              </w:rPr>
              <w:t>6</w:t>
            </w:r>
            <w:r w:rsidRPr="001A0422">
              <w:rPr>
                <w:color w:val="000000" w:themeColor="text1"/>
              </w:rPr>
              <w:fldChar w:fldCharType="end"/>
            </w:r>
          </w:p>
        </w:tc>
        <w:tc>
          <w:tcPr>
            <w:tcW w:w="589" w:type="pct"/>
            <w:shd w:val="clear" w:color="auto" w:fill="auto"/>
          </w:tcPr>
          <w:p w14:paraId="2590AA37" w14:textId="2B2E3DAE" w:rsidR="005C7646" w:rsidRPr="00781112" w:rsidRDefault="005C7646" w:rsidP="005C7646">
            <w:pPr>
              <w:jc w:val="center"/>
              <w:rPr>
                <w:rFonts w:cs="Arial"/>
                <w:color w:val="000000" w:themeColor="text1"/>
                <w:szCs w:val="16"/>
              </w:rPr>
            </w:pPr>
            <w:r w:rsidRPr="00781112">
              <w:rPr>
                <w:rFonts w:cs="Arial"/>
                <w:color w:val="000000" w:themeColor="text1"/>
                <w:szCs w:val="16"/>
              </w:rPr>
              <w:t>Met target</w:t>
            </w:r>
          </w:p>
        </w:tc>
        <w:tc>
          <w:tcPr>
            <w:tcW w:w="573" w:type="pct"/>
            <w:shd w:val="clear" w:color="auto" w:fill="auto"/>
          </w:tcPr>
          <w:p w14:paraId="39DEC07F" w14:textId="70B28667" w:rsidR="005C7646" w:rsidRPr="00781112" w:rsidRDefault="005C7646" w:rsidP="005C7646">
            <w:pPr>
              <w:jc w:val="center"/>
              <w:rPr>
                <w:rFonts w:cs="Arial"/>
                <w:color w:val="000000" w:themeColor="text1"/>
                <w:szCs w:val="16"/>
              </w:rPr>
            </w:pPr>
            <w:r w:rsidRPr="00781112">
              <w:rPr>
                <w:rFonts w:cs="Arial"/>
                <w:color w:val="000000" w:themeColor="text1"/>
                <w:szCs w:val="16"/>
              </w:rPr>
              <w:t>No Slippage</w:t>
            </w:r>
          </w:p>
        </w:tc>
      </w:tr>
      <w:tr w:rsidR="005C7646" w:rsidRPr="00781112" w14:paraId="52B173E5" w14:textId="77777777" w:rsidTr="005C7646">
        <w:tc>
          <w:tcPr>
            <w:tcW w:w="323" w:type="pct"/>
            <w:shd w:val="clear" w:color="auto" w:fill="auto"/>
            <w:vAlign w:val="center"/>
          </w:tcPr>
          <w:p w14:paraId="5153CDB6" w14:textId="77777777" w:rsidR="005C7646" w:rsidRPr="00781112" w:rsidRDefault="005C7646" w:rsidP="005C7646">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5C7646" w:rsidRPr="00781112" w:rsidDel="00DE5045" w:rsidRDefault="005C7646" w:rsidP="005C7646">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vAlign w:val="center"/>
          </w:tcPr>
          <w:p w14:paraId="1707A82B" w14:textId="770791DE" w:rsidR="005C7646" w:rsidRPr="00781112" w:rsidRDefault="005C7646" w:rsidP="005C7646">
            <w:pPr>
              <w:jc w:val="center"/>
              <w:rPr>
                <w:rFonts w:cs="Arial"/>
                <w:color w:val="000000" w:themeColor="text1"/>
                <w:szCs w:val="16"/>
              </w:rPr>
            </w:pPr>
            <w:r w:rsidRPr="000942AF">
              <w:rPr>
                <w:color w:val="000000" w:themeColor="text1"/>
              </w:rPr>
              <w:t>x</w:t>
            </w:r>
            <w:r w:rsidRPr="000942AF">
              <w:rPr>
                <w:color w:val="000000" w:themeColor="text1"/>
              </w:rPr>
              <w:fldChar w:fldCharType="begin"/>
            </w:r>
            <w:r w:rsidRPr="000942AF">
              <w:rPr>
                <w:color w:val="000000" w:themeColor="text1"/>
              </w:rPr>
              <w:instrText xml:space="preserve"> NOTEREF _Ref141172957 \f \h </w:instrText>
            </w:r>
            <w:r>
              <w:rPr>
                <w:color w:val="000000" w:themeColor="text1"/>
              </w:rPr>
              <w:instrText xml:space="preserve"> \* MERGEFORMAT </w:instrText>
            </w:r>
            <w:r w:rsidRPr="000942AF">
              <w:rPr>
                <w:color w:val="000000" w:themeColor="text1"/>
              </w:rPr>
            </w:r>
            <w:r w:rsidRPr="000942AF">
              <w:rPr>
                <w:color w:val="000000" w:themeColor="text1"/>
              </w:rPr>
              <w:fldChar w:fldCharType="separate"/>
            </w:r>
            <w:r w:rsidR="00E37776" w:rsidRPr="00E37776">
              <w:rPr>
                <w:rStyle w:val="FootnoteReference"/>
              </w:rPr>
              <w:t>6</w:t>
            </w:r>
            <w:r w:rsidRPr="000942AF">
              <w:rPr>
                <w:color w:val="000000" w:themeColor="text1"/>
              </w:rPr>
              <w:fldChar w:fldCharType="end"/>
            </w:r>
          </w:p>
        </w:tc>
        <w:tc>
          <w:tcPr>
            <w:tcW w:w="636" w:type="pct"/>
            <w:shd w:val="clear" w:color="auto" w:fill="auto"/>
            <w:vAlign w:val="center"/>
          </w:tcPr>
          <w:p w14:paraId="1BCB466D" w14:textId="5DD60E0B" w:rsidR="005C7646" w:rsidRPr="00781112" w:rsidRDefault="005C7646" w:rsidP="005C7646">
            <w:pPr>
              <w:jc w:val="center"/>
              <w:rPr>
                <w:rFonts w:cs="Arial"/>
                <w:color w:val="000000" w:themeColor="text1"/>
                <w:szCs w:val="16"/>
              </w:rPr>
            </w:pPr>
            <w:r>
              <w:rPr>
                <w:rFonts w:cs="Arial"/>
                <w:color w:val="000000"/>
                <w:szCs w:val="16"/>
              </w:rPr>
              <w:t>14</w:t>
            </w:r>
          </w:p>
        </w:tc>
        <w:tc>
          <w:tcPr>
            <w:tcW w:w="528" w:type="pct"/>
            <w:shd w:val="clear" w:color="auto" w:fill="auto"/>
            <w:vAlign w:val="center"/>
          </w:tcPr>
          <w:p w14:paraId="60597E0A" w14:textId="0FF5CDD8" w:rsidR="005C7646" w:rsidRPr="00781112" w:rsidRDefault="005C7646" w:rsidP="005C7646">
            <w:pPr>
              <w:jc w:val="center"/>
              <w:rPr>
                <w:rFonts w:cs="Arial"/>
                <w:color w:val="000000" w:themeColor="text1"/>
                <w:szCs w:val="16"/>
              </w:rPr>
            </w:pPr>
            <w:r w:rsidRPr="009232A0">
              <w:rPr>
                <w:color w:val="000000" w:themeColor="text1"/>
              </w:rPr>
              <w:t>x</w:t>
            </w:r>
            <w:r w:rsidRPr="009232A0">
              <w:rPr>
                <w:color w:val="000000" w:themeColor="text1"/>
              </w:rPr>
              <w:fldChar w:fldCharType="begin"/>
            </w:r>
            <w:r w:rsidRPr="009232A0">
              <w:rPr>
                <w:color w:val="000000" w:themeColor="text1"/>
              </w:rPr>
              <w:instrText xml:space="preserve"> NOTEREF _Ref141172957 \f \h </w:instrText>
            </w:r>
            <w:r>
              <w:rPr>
                <w:color w:val="000000" w:themeColor="text1"/>
              </w:rPr>
              <w:instrText xml:space="preserve"> \* MERGEFORMAT </w:instrText>
            </w:r>
            <w:r w:rsidRPr="009232A0">
              <w:rPr>
                <w:color w:val="000000" w:themeColor="text1"/>
              </w:rPr>
            </w:r>
            <w:r w:rsidRPr="009232A0">
              <w:rPr>
                <w:color w:val="000000" w:themeColor="text1"/>
              </w:rPr>
              <w:fldChar w:fldCharType="separate"/>
            </w:r>
            <w:r w:rsidR="00E37776" w:rsidRPr="00E37776">
              <w:rPr>
                <w:rStyle w:val="FootnoteReference"/>
              </w:rPr>
              <w:t>6</w:t>
            </w:r>
            <w:r w:rsidRPr="009232A0">
              <w:rPr>
                <w:color w:val="000000" w:themeColor="text1"/>
              </w:rPr>
              <w:fldChar w:fldCharType="end"/>
            </w:r>
          </w:p>
        </w:tc>
        <w:tc>
          <w:tcPr>
            <w:tcW w:w="741" w:type="pct"/>
            <w:shd w:val="clear" w:color="auto" w:fill="auto"/>
            <w:vAlign w:val="center"/>
          </w:tcPr>
          <w:p w14:paraId="6445398C" w14:textId="393A6DFD" w:rsidR="005C7646" w:rsidRPr="00781112" w:rsidRDefault="005C7646" w:rsidP="005C7646">
            <w:pPr>
              <w:jc w:val="center"/>
              <w:rPr>
                <w:rFonts w:cs="Arial"/>
                <w:color w:val="000000" w:themeColor="text1"/>
                <w:szCs w:val="16"/>
              </w:rPr>
            </w:pPr>
            <w:r w:rsidRPr="00781112">
              <w:rPr>
                <w:rFonts w:cs="Arial"/>
                <w:color w:val="000000" w:themeColor="text1"/>
                <w:szCs w:val="16"/>
              </w:rPr>
              <w:t>8.00%</w:t>
            </w:r>
          </w:p>
        </w:tc>
        <w:tc>
          <w:tcPr>
            <w:tcW w:w="487" w:type="pct"/>
            <w:shd w:val="clear" w:color="auto" w:fill="auto"/>
            <w:vAlign w:val="center"/>
          </w:tcPr>
          <w:p w14:paraId="4EBD899F" w14:textId="1F0E3059" w:rsidR="005C7646" w:rsidRPr="00781112" w:rsidRDefault="005C7646" w:rsidP="005C7646">
            <w:pPr>
              <w:jc w:val="center"/>
              <w:rPr>
                <w:rFonts w:cs="Arial"/>
                <w:color w:val="000000" w:themeColor="text1"/>
                <w:szCs w:val="16"/>
              </w:rPr>
            </w:pPr>
            <w:r w:rsidRPr="001A0422">
              <w:rPr>
                <w:color w:val="000000" w:themeColor="text1"/>
              </w:rPr>
              <w:t>x</w:t>
            </w:r>
            <w:r w:rsidRPr="001A0422">
              <w:rPr>
                <w:color w:val="000000" w:themeColor="text1"/>
              </w:rPr>
              <w:fldChar w:fldCharType="begin"/>
            </w:r>
            <w:r w:rsidRPr="001A0422">
              <w:rPr>
                <w:color w:val="000000" w:themeColor="text1"/>
              </w:rPr>
              <w:instrText xml:space="preserve"> NOTEREF _Ref141172957 \f \h </w:instrText>
            </w:r>
            <w:r>
              <w:rPr>
                <w:color w:val="000000" w:themeColor="text1"/>
              </w:rPr>
              <w:instrText xml:space="preserve"> \* MERGEFORMAT </w:instrText>
            </w:r>
            <w:r w:rsidRPr="001A0422">
              <w:rPr>
                <w:color w:val="000000" w:themeColor="text1"/>
              </w:rPr>
            </w:r>
            <w:r w:rsidRPr="001A0422">
              <w:rPr>
                <w:color w:val="000000" w:themeColor="text1"/>
              </w:rPr>
              <w:fldChar w:fldCharType="separate"/>
            </w:r>
            <w:r w:rsidR="00E37776" w:rsidRPr="00E37776">
              <w:rPr>
                <w:rStyle w:val="FootnoteReference"/>
              </w:rPr>
              <w:t>6</w:t>
            </w:r>
            <w:r w:rsidRPr="001A0422">
              <w:rPr>
                <w:color w:val="000000" w:themeColor="text1"/>
              </w:rPr>
              <w:fldChar w:fldCharType="end"/>
            </w:r>
          </w:p>
        </w:tc>
        <w:tc>
          <w:tcPr>
            <w:tcW w:w="589" w:type="pct"/>
            <w:shd w:val="clear" w:color="auto" w:fill="auto"/>
          </w:tcPr>
          <w:p w14:paraId="585589D4" w14:textId="6C3ED8A0" w:rsidR="005C7646" w:rsidRPr="00781112" w:rsidRDefault="005C7646" w:rsidP="005C7646">
            <w:pPr>
              <w:jc w:val="center"/>
              <w:rPr>
                <w:rFonts w:cs="Arial"/>
                <w:color w:val="000000" w:themeColor="text1"/>
                <w:szCs w:val="16"/>
              </w:rPr>
            </w:pPr>
            <w:r w:rsidRPr="00781112">
              <w:rPr>
                <w:rFonts w:cs="Arial"/>
                <w:color w:val="000000" w:themeColor="text1"/>
                <w:szCs w:val="16"/>
              </w:rPr>
              <w:t>Did not meet target</w:t>
            </w:r>
          </w:p>
        </w:tc>
        <w:tc>
          <w:tcPr>
            <w:tcW w:w="573" w:type="pct"/>
            <w:shd w:val="clear" w:color="auto" w:fill="auto"/>
          </w:tcPr>
          <w:p w14:paraId="64956786" w14:textId="4047CECE" w:rsidR="005C7646" w:rsidRPr="00781112" w:rsidRDefault="005C7646" w:rsidP="005C7646">
            <w:pPr>
              <w:jc w:val="center"/>
              <w:rPr>
                <w:rFonts w:cs="Arial"/>
                <w:color w:val="000000" w:themeColor="text1"/>
                <w:szCs w:val="16"/>
              </w:rPr>
            </w:pPr>
            <w:r w:rsidRPr="00781112">
              <w:rPr>
                <w:rFonts w:cs="Arial"/>
                <w:color w:val="000000" w:themeColor="text1"/>
                <w:szCs w:val="16"/>
              </w:rPr>
              <w:t>Slippage</w:t>
            </w:r>
          </w:p>
        </w:tc>
      </w:tr>
      <w:tr w:rsidR="005C7646" w:rsidRPr="00781112" w14:paraId="3EA2EA1E" w14:textId="77777777" w:rsidTr="005C7646">
        <w:tc>
          <w:tcPr>
            <w:tcW w:w="323" w:type="pct"/>
            <w:shd w:val="clear" w:color="auto" w:fill="auto"/>
            <w:vAlign w:val="center"/>
          </w:tcPr>
          <w:p w14:paraId="7CB7E776" w14:textId="77777777" w:rsidR="005C7646" w:rsidRPr="00781112" w:rsidRDefault="005C7646" w:rsidP="005C7646">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5C7646" w:rsidRPr="00781112" w:rsidDel="00DE5045" w:rsidRDefault="005C7646" w:rsidP="005C7646">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vAlign w:val="center"/>
          </w:tcPr>
          <w:p w14:paraId="3637A0D0" w14:textId="7C628DAE" w:rsidR="005C7646" w:rsidRPr="00781112" w:rsidRDefault="005C7646" w:rsidP="005C7646">
            <w:pPr>
              <w:jc w:val="center"/>
              <w:rPr>
                <w:rFonts w:cs="Arial"/>
                <w:color w:val="000000" w:themeColor="text1"/>
                <w:szCs w:val="16"/>
              </w:rPr>
            </w:pPr>
            <w:r w:rsidRPr="000942AF">
              <w:rPr>
                <w:color w:val="000000" w:themeColor="text1"/>
              </w:rPr>
              <w:t>x</w:t>
            </w:r>
            <w:r w:rsidRPr="000942AF">
              <w:rPr>
                <w:color w:val="000000" w:themeColor="text1"/>
              </w:rPr>
              <w:fldChar w:fldCharType="begin"/>
            </w:r>
            <w:r w:rsidRPr="000942AF">
              <w:rPr>
                <w:color w:val="000000" w:themeColor="text1"/>
              </w:rPr>
              <w:instrText xml:space="preserve"> NOTEREF _Ref141172957 \f \h </w:instrText>
            </w:r>
            <w:r>
              <w:rPr>
                <w:color w:val="000000" w:themeColor="text1"/>
              </w:rPr>
              <w:instrText xml:space="preserve"> \* MERGEFORMAT </w:instrText>
            </w:r>
            <w:r w:rsidRPr="000942AF">
              <w:rPr>
                <w:color w:val="000000" w:themeColor="text1"/>
              </w:rPr>
            </w:r>
            <w:r w:rsidRPr="000942AF">
              <w:rPr>
                <w:color w:val="000000" w:themeColor="text1"/>
              </w:rPr>
              <w:fldChar w:fldCharType="separate"/>
            </w:r>
            <w:r w:rsidR="00E37776" w:rsidRPr="00E37776">
              <w:rPr>
                <w:rStyle w:val="FootnoteReference"/>
              </w:rPr>
              <w:t>6</w:t>
            </w:r>
            <w:r w:rsidRPr="000942AF">
              <w:rPr>
                <w:color w:val="000000" w:themeColor="text1"/>
              </w:rPr>
              <w:fldChar w:fldCharType="end"/>
            </w:r>
          </w:p>
        </w:tc>
        <w:tc>
          <w:tcPr>
            <w:tcW w:w="636" w:type="pct"/>
            <w:shd w:val="clear" w:color="auto" w:fill="auto"/>
            <w:vAlign w:val="center"/>
          </w:tcPr>
          <w:p w14:paraId="0F212AA6" w14:textId="77E5B78D" w:rsidR="005C7646" w:rsidRPr="00781112" w:rsidRDefault="005C7646" w:rsidP="005C7646">
            <w:pPr>
              <w:jc w:val="center"/>
              <w:rPr>
                <w:rFonts w:cs="Arial"/>
                <w:color w:val="000000" w:themeColor="text1"/>
                <w:szCs w:val="16"/>
              </w:rPr>
            </w:pPr>
            <w:r>
              <w:rPr>
                <w:rFonts w:cs="Arial"/>
                <w:color w:val="000000"/>
                <w:szCs w:val="16"/>
              </w:rPr>
              <w:t>6</w:t>
            </w:r>
          </w:p>
        </w:tc>
        <w:tc>
          <w:tcPr>
            <w:tcW w:w="528" w:type="pct"/>
            <w:shd w:val="clear" w:color="auto" w:fill="auto"/>
            <w:vAlign w:val="center"/>
          </w:tcPr>
          <w:p w14:paraId="066DE90A" w14:textId="60AEF1E1" w:rsidR="005C7646" w:rsidRPr="00781112" w:rsidRDefault="005C7646" w:rsidP="005C7646">
            <w:pPr>
              <w:jc w:val="center"/>
              <w:rPr>
                <w:rFonts w:cs="Arial"/>
                <w:color w:val="000000" w:themeColor="text1"/>
                <w:szCs w:val="16"/>
              </w:rPr>
            </w:pPr>
            <w:r w:rsidRPr="009232A0">
              <w:rPr>
                <w:color w:val="000000" w:themeColor="text1"/>
              </w:rPr>
              <w:t>x</w:t>
            </w:r>
            <w:r w:rsidRPr="009232A0">
              <w:rPr>
                <w:color w:val="000000" w:themeColor="text1"/>
              </w:rPr>
              <w:fldChar w:fldCharType="begin"/>
            </w:r>
            <w:r w:rsidRPr="009232A0">
              <w:rPr>
                <w:color w:val="000000" w:themeColor="text1"/>
              </w:rPr>
              <w:instrText xml:space="preserve"> NOTEREF _Ref141172957 \f \h </w:instrText>
            </w:r>
            <w:r>
              <w:rPr>
                <w:color w:val="000000" w:themeColor="text1"/>
              </w:rPr>
              <w:instrText xml:space="preserve"> \* MERGEFORMAT </w:instrText>
            </w:r>
            <w:r w:rsidRPr="009232A0">
              <w:rPr>
                <w:color w:val="000000" w:themeColor="text1"/>
              </w:rPr>
            </w:r>
            <w:r w:rsidRPr="009232A0">
              <w:rPr>
                <w:color w:val="000000" w:themeColor="text1"/>
              </w:rPr>
              <w:fldChar w:fldCharType="separate"/>
            </w:r>
            <w:r w:rsidR="00E37776" w:rsidRPr="00E37776">
              <w:rPr>
                <w:rStyle w:val="FootnoteReference"/>
              </w:rPr>
              <w:t>6</w:t>
            </w:r>
            <w:r w:rsidRPr="009232A0">
              <w:rPr>
                <w:color w:val="000000" w:themeColor="text1"/>
              </w:rPr>
              <w:fldChar w:fldCharType="end"/>
            </w:r>
          </w:p>
        </w:tc>
        <w:tc>
          <w:tcPr>
            <w:tcW w:w="741" w:type="pct"/>
            <w:shd w:val="clear" w:color="auto" w:fill="auto"/>
            <w:vAlign w:val="center"/>
          </w:tcPr>
          <w:p w14:paraId="4191EA17" w14:textId="45715EB6" w:rsidR="005C7646" w:rsidRPr="00781112" w:rsidRDefault="005C7646" w:rsidP="005C7646">
            <w:pPr>
              <w:jc w:val="center"/>
              <w:rPr>
                <w:rFonts w:cs="Arial"/>
                <w:color w:val="000000" w:themeColor="text1"/>
                <w:szCs w:val="16"/>
              </w:rPr>
            </w:pPr>
            <w:r w:rsidRPr="00244CF8">
              <w:rPr>
                <w:color w:val="000000" w:themeColor="text1"/>
              </w:rPr>
              <w:t>x</w:t>
            </w:r>
            <w:r w:rsidRPr="00244CF8">
              <w:rPr>
                <w:color w:val="000000" w:themeColor="text1"/>
              </w:rPr>
              <w:fldChar w:fldCharType="begin"/>
            </w:r>
            <w:r w:rsidRPr="00244CF8">
              <w:rPr>
                <w:color w:val="000000" w:themeColor="text1"/>
              </w:rPr>
              <w:instrText xml:space="preserve"> NOTEREF _Ref141172957 \f \h </w:instrText>
            </w:r>
            <w:r>
              <w:rPr>
                <w:color w:val="000000" w:themeColor="text1"/>
              </w:rPr>
              <w:instrText xml:space="preserve"> \* MERGEFORMAT </w:instrText>
            </w:r>
            <w:r w:rsidRPr="00244CF8">
              <w:rPr>
                <w:color w:val="000000" w:themeColor="text1"/>
              </w:rPr>
            </w:r>
            <w:r w:rsidRPr="00244CF8">
              <w:rPr>
                <w:color w:val="000000" w:themeColor="text1"/>
              </w:rPr>
              <w:fldChar w:fldCharType="separate"/>
            </w:r>
            <w:r w:rsidR="00E37776" w:rsidRPr="00E37776">
              <w:rPr>
                <w:rStyle w:val="FootnoteReference"/>
              </w:rPr>
              <w:t>6</w:t>
            </w:r>
            <w:r w:rsidRPr="00244CF8">
              <w:rPr>
                <w:color w:val="000000" w:themeColor="text1"/>
              </w:rPr>
              <w:fldChar w:fldCharType="end"/>
            </w:r>
          </w:p>
        </w:tc>
        <w:tc>
          <w:tcPr>
            <w:tcW w:w="487" w:type="pct"/>
            <w:shd w:val="clear" w:color="auto" w:fill="auto"/>
            <w:vAlign w:val="center"/>
          </w:tcPr>
          <w:p w14:paraId="15CE5CCF" w14:textId="4A17BF09" w:rsidR="005C7646" w:rsidRPr="00781112" w:rsidRDefault="005C7646" w:rsidP="005C7646">
            <w:pPr>
              <w:jc w:val="center"/>
              <w:rPr>
                <w:rFonts w:cs="Arial"/>
                <w:color w:val="000000" w:themeColor="text1"/>
                <w:szCs w:val="16"/>
              </w:rPr>
            </w:pPr>
            <w:r w:rsidRPr="00244CF8">
              <w:rPr>
                <w:color w:val="000000" w:themeColor="text1"/>
              </w:rPr>
              <w:t>x</w:t>
            </w:r>
            <w:r w:rsidRPr="00244CF8">
              <w:rPr>
                <w:color w:val="000000" w:themeColor="text1"/>
              </w:rPr>
              <w:fldChar w:fldCharType="begin"/>
            </w:r>
            <w:r w:rsidRPr="00244CF8">
              <w:rPr>
                <w:color w:val="000000" w:themeColor="text1"/>
              </w:rPr>
              <w:instrText xml:space="preserve"> NOTEREF _Ref141172957 \f \h </w:instrText>
            </w:r>
            <w:r>
              <w:rPr>
                <w:color w:val="000000" w:themeColor="text1"/>
              </w:rPr>
              <w:instrText xml:space="preserve"> \* MERGEFORMAT </w:instrText>
            </w:r>
            <w:r w:rsidRPr="00244CF8">
              <w:rPr>
                <w:color w:val="000000" w:themeColor="text1"/>
              </w:rPr>
            </w:r>
            <w:r w:rsidRPr="00244CF8">
              <w:rPr>
                <w:color w:val="000000" w:themeColor="text1"/>
              </w:rPr>
              <w:fldChar w:fldCharType="separate"/>
            </w:r>
            <w:r w:rsidR="00E37776" w:rsidRPr="00E37776">
              <w:rPr>
                <w:rStyle w:val="FootnoteReference"/>
              </w:rPr>
              <w:t>6</w:t>
            </w:r>
            <w:r w:rsidRPr="00244CF8">
              <w:rPr>
                <w:color w:val="000000" w:themeColor="text1"/>
              </w:rPr>
              <w:fldChar w:fldCharType="end"/>
            </w:r>
          </w:p>
        </w:tc>
        <w:tc>
          <w:tcPr>
            <w:tcW w:w="589" w:type="pct"/>
            <w:shd w:val="clear" w:color="auto" w:fill="auto"/>
          </w:tcPr>
          <w:p w14:paraId="28CB2C9E" w14:textId="4F0EF91A" w:rsidR="005C7646" w:rsidRPr="00781112" w:rsidRDefault="005C7646" w:rsidP="005C7646">
            <w:pPr>
              <w:jc w:val="center"/>
              <w:rPr>
                <w:rFonts w:cs="Arial"/>
                <w:color w:val="000000" w:themeColor="text1"/>
                <w:szCs w:val="16"/>
              </w:rPr>
            </w:pPr>
            <w:r w:rsidRPr="00781112">
              <w:rPr>
                <w:rFonts w:cs="Arial"/>
                <w:color w:val="000000" w:themeColor="text1"/>
                <w:szCs w:val="16"/>
              </w:rPr>
              <w:t>N/A</w:t>
            </w:r>
          </w:p>
        </w:tc>
        <w:tc>
          <w:tcPr>
            <w:tcW w:w="573" w:type="pct"/>
            <w:shd w:val="clear" w:color="auto" w:fill="auto"/>
          </w:tcPr>
          <w:p w14:paraId="157B84D0" w14:textId="0B58E631" w:rsidR="005C7646" w:rsidRPr="00781112" w:rsidRDefault="005C7646" w:rsidP="005C7646">
            <w:pPr>
              <w:jc w:val="center"/>
              <w:rPr>
                <w:rFonts w:cs="Arial"/>
                <w:color w:val="000000" w:themeColor="text1"/>
                <w:szCs w:val="16"/>
              </w:rPr>
            </w:pPr>
            <w:r w:rsidRPr="00781112">
              <w:rPr>
                <w:rFonts w:cs="Arial"/>
                <w:color w:val="000000" w:themeColor="text1"/>
                <w:szCs w:val="16"/>
              </w:rPr>
              <w:t>N/A</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reasons for slippage in Indicator 3C Group B for Reading are as follows: Beginning November 29, 2021, GDOE opened its doors for students to receive in-person learning five days weekly. Not all GDOE students returned to school full force, however. There were parents who were still hesitant to have their children return to school in-person. As a result, GDOE continued to provide -- on a small scale -- online learning. </w:t>
      </w:r>
      <w:r w:rsidRPr="00781112">
        <w:rPr>
          <w:rFonts w:cs="Arial"/>
          <w:color w:val="000000" w:themeColor="text1"/>
          <w:szCs w:val="16"/>
        </w:rPr>
        <w:br/>
      </w:r>
      <w:r w:rsidRPr="00781112">
        <w:rPr>
          <w:rFonts w:cs="Arial"/>
          <w:color w:val="000000" w:themeColor="text1"/>
          <w:szCs w:val="16"/>
        </w:rPr>
        <w:br/>
        <w:t xml:space="preserve">Four months later in April 2022, the district-wide assessment was administered to GDOE students who were receiving in-person instruction. Students who were receiving their instruction online were asked and encouraged to come to their school campuses so they could be assessed in-person. </w:t>
      </w:r>
      <w:r w:rsidRPr="00781112">
        <w:rPr>
          <w:rFonts w:cs="Arial"/>
          <w:color w:val="000000" w:themeColor="text1"/>
          <w:szCs w:val="16"/>
        </w:rPr>
        <w:br/>
      </w:r>
      <w:r w:rsidRPr="00781112">
        <w:rPr>
          <w:rFonts w:cs="Arial"/>
          <w:color w:val="000000" w:themeColor="text1"/>
          <w:szCs w:val="16"/>
        </w:rPr>
        <w:br/>
        <w:t>These factors impacted and manifested itself in the low performance of students with disabilities in the district-wide assessment for this reporting period. The participation rate of students with disabilities taking the assessment is lower than normal, with only 80% to 87% participating in the assessment; and the low proficiency scores were indicative of the four full months of instruction.</w:t>
      </w:r>
    </w:p>
    <w:p w14:paraId="493A373E" w14:textId="77777777" w:rsidR="00445640" w:rsidRPr="00781112" w:rsidRDefault="00445640" w:rsidP="000C3A20">
      <w:pPr>
        <w:rPr>
          <w:color w:val="000000" w:themeColor="text1"/>
        </w:rPr>
      </w:pPr>
    </w:p>
    <w:p w14:paraId="1A6F4BF6" w14:textId="77777777" w:rsidR="009B3E7D" w:rsidRDefault="009B3E7D">
      <w:pPr>
        <w:spacing w:before="0" w:after="200" w:line="276" w:lineRule="auto"/>
        <w:rPr>
          <w:b/>
          <w:color w:val="000000" w:themeColor="text1"/>
        </w:rPr>
      </w:pPr>
      <w:r>
        <w:rPr>
          <w:b/>
          <w:color w:val="000000" w:themeColor="text1"/>
        </w:rPr>
        <w:lastRenderedPageBreak/>
        <w:br w:type="page"/>
      </w:r>
    </w:p>
    <w:p w14:paraId="73E73F7F" w14:textId="24242A16"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8"/>
        <w:gridCol w:w="1187"/>
        <w:gridCol w:w="1245"/>
        <w:gridCol w:w="1370"/>
        <w:gridCol w:w="1139"/>
        <w:gridCol w:w="1595"/>
        <w:gridCol w:w="1051"/>
        <w:gridCol w:w="1271"/>
        <w:gridCol w:w="1234"/>
      </w:tblGrid>
      <w:tr w:rsidR="00FA33C9" w:rsidRPr="00781112" w14:paraId="2361B602" w14:textId="77777777" w:rsidTr="005C7646">
        <w:trPr>
          <w:tblHeader/>
        </w:trPr>
        <w:tc>
          <w:tcPr>
            <w:tcW w:w="323"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50"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5"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39"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72"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5C7646">
        <w:tc>
          <w:tcPr>
            <w:tcW w:w="323"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50"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w:t>
            </w:r>
          </w:p>
        </w:tc>
        <w:tc>
          <w:tcPr>
            <w:tcW w:w="635"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21</w:t>
            </w:r>
          </w:p>
        </w:tc>
        <w:tc>
          <w:tcPr>
            <w:tcW w:w="528" w:type="pct"/>
            <w:shd w:val="clear" w:color="auto" w:fill="auto"/>
            <w:vAlign w:val="center"/>
          </w:tcPr>
          <w:p w14:paraId="3DFEF3CC" w14:textId="5B4ABF10" w:rsidR="00A31E8A" w:rsidRPr="00781112" w:rsidRDefault="005C7646" w:rsidP="00A31E8A">
            <w:pPr>
              <w:jc w:val="center"/>
              <w:rPr>
                <w:rFonts w:cs="Arial"/>
                <w:color w:val="000000" w:themeColor="text1"/>
                <w:szCs w:val="16"/>
              </w:rPr>
            </w:pPr>
            <w:r>
              <w:rPr>
                <w:color w:val="000000" w:themeColor="text1"/>
              </w:rPr>
              <w:t>x</w:t>
            </w:r>
            <w:bookmarkStart w:id="26" w:name="_Ref141173055"/>
            <w:r>
              <w:rPr>
                <w:rStyle w:val="FootnoteReference"/>
                <w:color w:val="000000" w:themeColor="text1"/>
              </w:rPr>
              <w:footnoteReference w:id="8"/>
            </w:r>
            <w:bookmarkEnd w:id="26"/>
          </w:p>
        </w:tc>
        <w:tc>
          <w:tcPr>
            <w:tcW w:w="739"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11.00%</w:t>
            </w:r>
          </w:p>
        </w:tc>
        <w:tc>
          <w:tcPr>
            <w:tcW w:w="487"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28.57%</w:t>
            </w:r>
          </w:p>
        </w:tc>
        <w:tc>
          <w:tcPr>
            <w:tcW w:w="589"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5C7646" w:rsidRPr="00781112" w14:paraId="5E0D5724" w14:textId="77777777" w:rsidTr="005C7646">
        <w:tc>
          <w:tcPr>
            <w:tcW w:w="323" w:type="pct"/>
            <w:shd w:val="clear" w:color="auto" w:fill="auto"/>
            <w:vAlign w:val="center"/>
          </w:tcPr>
          <w:p w14:paraId="2202EBA2" w14:textId="77777777" w:rsidR="005C7646" w:rsidRPr="00781112" w:rsidRDefault="005C7646" w:rsidP="005C7646">
            <w:pPr>
              <w:pStyle w:val="Default"/>
              <w:jc w:val="center"/>
              <w:rPr>
                <w:b/>
                <w:color w:val="000000" w:themeColor="text1"/>
                <w:sz w:val="16"/>
                <w:szCs w:val="16"/>
              </w:rPr>
            </w:pPr>
            <w:r w:rsidRPr="00781112">
              <w:rPr>
                <w:b/>
                <w:color w:val="000000" w:themeColor="text1"/>
                <w:sz w:val="16"/>
                <w:szCs w:val="16"/>
              </w:rPr>
              <w:t>B</w:t>
            </w:r>
          </w:p>
        </w:tc>
        <w:tc>
          <w:tcPr>
            <w:tcW w:w="550" w:type="pct"/>
            <w:shd w:val="clear" w:color="auto" w:fill="auto"/>
            <w:vAlign w:val="center"/>
          </w:tcPr>
          <w:p w14:paraId="2BE28CC3" w14:textId="5462148F" w:rsidR="005C7646" w:rsidRPr="00781112" w:rsidDel="00DE5045" w:rsidRDefault="005C7646" w:rsidP="005C7646">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65165B6C" w14:textId="3FA48B28" w:rsidR="005C7646" w:rsidRPr="00781112" w:rsidRDefault="005C7646" w:rsidP="005C7646">
            <w:pPr>
              <w:jc w:val="center"/>
              <w:rPr>
                <w:rFonts w:cs="Arial"/>
                <w:color w:val="000000" w:themeColor="text1"/>
                <w:szCs w:val="16"/>
              </w:rPr>
            </w:pPr>
            <w:r w:rsidRPr="00D87246">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635" w:type="pct"/>
            <w:shd w:val="clear" w:color="auto" w:fill="auto"/>
          </w:tcPr>
          <w:p w14:paraId="25BE3991" w14:textId="52B3E29B" w:rsidR="005C7646" w:rsidRPr="00781112" w:rsidRDefault="005C7646" w:rsidP="005C7646">
            <w:pPr>
              <w:jc w:val="center"/>
              <w:rPr>
                <w:rFonts w:cs="Arial"/>
                <w:color w:val="000000" w:themeColor="text1"/>
                <w:szCs w:val="16"/>
              </w:rPr>
            </w:pPr>
            <w:r>
              <w:rPr>
                <w:rFonts w:cs="Arial"/>
                <w:color w:val="000000"/>
                <w:szCs w:val="16"/>
              </w:rPr>
              <w:t>14</w:t>
            </w:r>
          </w:p>
        </w:tc>
        <w:tc>
          <w:tcPr>
            <w:tcW w:w="528" w:type="pct"/>
            <w:shd w:val="clear" w:color="auto" w:fill="auto"/>
            <w:vAlign w:val="center"/>
          </w:tcPr>
          <w:p w14:paraId="0DB348C5" w14:textId="2F8A4588" w:rsidR="005C7646" w:rsidRPr="00781112" w:rsidRDefault="005C7646" w:rsidP="005C7646">
            <w:pPr>
              <w:jc w:val="center"/>
              <w:rPr>
                <w:rFonts w:cs="Arial"/>
                <w:color w:val="000000" w:themeColor="text1"/>
                <w:szCs w:val="16"/>
              </w:rPr>
            </w:pPr>
            <w:r w:rsidRPr="00781112">
              <w:rPr>
                <w:rFonts w:cs="Arial"/>
                <w:color w:val="000000" w:themeColor="text1"/>
                <w:szCs w:val="16"/>
              </w:rPr>
              <w:t>38.46%</w:t>
            </w:r>
          </w:p>
        </w:tc>
        <w:tc>
          <w:tcPr>
            <w:tcW w:w="739" w:type="pct"/>
            <w:shd w:val="clear" w:color="auto" w:fill="auto"/>
            <w:vAlign w:val="center"/>
          </w:tcPr>
          <w:p w14:paraId="31FB5FEB" w14:textId="4BF20A90" w:rsidR="005C7646" w:rsidRPr="00781112" w:rsidRDefault="005C7646" w:rsidP="005C7646">
            <w:pPr>
              <w:jc w:val="center"/>
              <w:rPr>
                <w:rFonts w:cs="Arial"/>
                <w:color w:val="000000" w:themeColor="text1"/>
                <w:szCs w:val="16"/>
              </w:rPr>
            </w:pPr>
            <w:r w:rsidRPr="00781112">
              <w:rPr>
                <w:rFonts w:cs="Arial"/>
                <w:color w:val="000000" w:themeColor="text1"/>
                <w:szCs w:val="16"/>
              </w:rPr>
              <w:t>11.00%</w:t>
            </w:r>
          </w:p>
        </w:tc>
        <w:tc>
          <w:tcPr>
            <w:tcW w:w="487" w:type="pct"/>
            <w:shd w:val="clear" w:color="auto" w:fill="auto"/>
            <w:vAlign w:val="center"/>
          </w:tcPr>
          <w:p w14:paraId="139B969C" w14:textId="633B7B8C" w:rsidR="005C7646" w:rsidRPr="00781112" w:rsidRDefault="005C7646" w:rsidP="005C7646">
            <w:pPr>
              <w:jc w:val="center"/>
              <w:rPr>
                <w:rFonts w:cs="Arial"/>
                <w:color w:val="000000" w:themeColor="text1"/>
                <w:szCs w:val="16"/>
              </w:rPr>
            </w:pPr>
            <w:r>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589" w:type="pct"/>
            <w:shd w:val="clear" w:color="auto" w:fill="auto"/>
            <w:vAlign w:val="center"/>
          </w:tcPr>
          <w:p w14:paraId="52EDA926" w14:textId="7B797DBA" w:rsidR="005C7646" w:rsidRPr="00781112" w:rsidRDefault="005C7646" w:rsidP="005C7646">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027F05C7" w14:textId="42C60C06" w:rsidR="005C7646" w:rsidRPr="00781112" w:rsidRDefault="005C7646" w:rsidP="005C7646">
            <w:pPr>
              <w:jc w:val="center"/>
              <w:rPr>
                <w:rFonts w:cs="Arial"/>
                <w:color w:val="000000" w:themeColor="text1"/>
                <w:szCs w:val="16"/>
              </w:rPr>
            </w:pPr>
            <w:r w:rsidRPr="00781112">
              <w:rPr>
                <w:rFonts w:cs="Arial"/>
                <w:color w:val="000000" w:themeColor="text1"/>
                <w:szCs w:val="16"/>
              </w:rPr>
              <w:t>No Slippage</w:t>
            </w:r>
          </w:p>
        </w:tc>
      </w:tr>
      <w:tr w:rsidR="005C7646" w:rsidRPr="00781112" w14:paraId="6F15E001" w14:textId="77777777" w:rsidTr="005C7646">
        <w:tc>
          <w:tcPr>
            <w:tcW w:w="323" w:type="pct"/>
            <w:shd w:val="clear" w:color="auto" w:fill="auto"/>
            <w:vAlign w:val="center"/>
          </w:tcPr>
          <w:p w14:paraId="40D4F498" w14:textId="77777777" w:rsidR="005C7646" w:rsidRPr="00781112" w:rsidRDefault="005C7646" w:rsidP="005C7646">
            <w:pPr>
              <w:pStyle w:val="Default"/>
              <w:jc w:val="center"/>
              <w:rPr>
                <w:rFonts w:eastAsiaTheme="minorHAnsi"/>
                <w:color w:val="000000" w:themeColor="text1"/>
                <w:sz w:val="16"/>
                <w:szCs w:val="16"/>
              </w:rPr>
            </w:pPr>
            <w:r w:rsidRPr="00781112">
              <w:rPr>
                <w:b/>
                <w:color w:val="000000" w:themeColor="text1"/>
                <w:sz w:val="16"/>
                <w:szCs w:val="16"/>
              </w:rPr>
              <w:t>C</w:t>
            </w:r>
          </w:p>
        </w:tc>
        <w:tc>
          <w:tcPr>
            <w:tcW w:w="550" w:type="pct"/>
            <w:shd w:val="clear" w:color="auto" w:fill="auto"/>
            <w:vAlign w:val="center"/>
          </w:tcPr>
          <w:p w14:paraId="200262C5" w14:textId="22AC7908" w:rsidR="005C7646" w:rsidRPr="00781112" w:rsidDel="00DE5045" w:rsidRDefault="005C7646" w:rsidP="005C7646">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44B84702" w14:textId="15D0ABAA" w:rsidR="005C7646" w:rsidRPr="00781112" w:rsidRDefault="005C7646" w:rsidP="005C7646">
            <w:pPr>
              <w:jc w:val="center"/>
              <w:rPr>
                <w:rFonts w:cs="Arial"/>
                <w:color w:val="000000" w:themeColor="text1"/>
                <w:szCs w:val="16"/>
              </w:rPr>
            </w:pPr>
            <w:r w:rsidRPr="00D87246">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635" w:type="pct"/>
            <w:shd w:val="clear" w:color="auto" w:fill="auto"/>
          </w:tcPr>
          <w:p w14:paraId="6C88DEC2" w14:textId="2C61C34F" w:rsidR="005C7646" w:rsidRPr="00781112" w:rsidRDefault="005C7646" w:rsidP="005C7646">
            <w:pPr>
              <w:jc w:val="center"/>
              <w:rPr>
                <w:rFonts w:cs="Arial"/>
                <w:color w:val="000000" w:themeColor="text1"/>
                <w:szCs w:val="16"/>
              </w:rPr>
            </w:pPr>
            <w:r>
              <w:rPr>
                <w:rFonts w:cs="Arial"/>
                <w:color w:val="000000"/>
                <w:szCs w:val="16"/>
              </w:rPr>
              <w:t>6</w:t>
            </w:r>
          </w:p>
        </w:tc>
        <w:tc>
          <w:tcPr>
            <w:tcW w:w="528" w:type="pct"/>
            <w:shd w:val="clear" w:color="auto" w:fill="auto"/>
          </w:tcPr>
          <w:p w14:paraId="59D699CF" w14:textId="6A943EFA" w:rsidR="005C7646" w:rsidRPr="00781112" w:rsidRDefault="005C7646" w:rsidP="005C7646">
            <w:pPr>
              <w:jc w:val="center"/>
              <w:rPr>
                <w:rFonts w:cs="Arial"/>
                <w:color w:val="000000" w:themeColor="text1"/>
                <w:szCs w:val="16"/>
              </w:rPr>
            </w:pPr>
            <w:r w:rsidRPr="00EE15B0">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739" w:type="pct"/>
            <w:shd w:val="clear" w:color="auto" w:fill="auto"/>
          </w:tcPr>
          <w:p w14:paraId="18D7723E" w14:textId="5C6B69FC" w:rsidR="005C7646" w:rsidRPr="00781112" w:rsidRDefault="005C7646" w:rsidP="005C7646">
            <w:pPr>
              <w:jc w:val="center"/>
              <w:rPr>
                <w:rFonts w:cs="Arial"/>
                <w:color w:val="000000" w:themeColor="text1"/>
                <w:szCs w:val="16"/>
              </w:rPr>
            </w:pPr>
            <w:r w:rsidRPr="00EE15B0">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487" w:type="pct"/>
            <w:shd w:val="clear" w:color="auto" w:fill="auto"/>
          </w:tcPr>
          <w:p w14:paraId="1C467869" w14:textId="3883C9A4" w:rsidR="005C7646" w:rsidRPr="00781112" w:rsidRDefault="005C7646" w:rsidP="005C7646">
            <w:pPr>
              <w:jc w:val="center"/>
              <w:rPr>
                <w:rFonts w:cs="Arial"/>
                <w:color w:val="000000" w:themeColor="text1"/>
                <w:szCs w:val="16"/>
              </w:rPr>
            </w:pPr>
            <w:r w:rsidRPr="00EE15B0">
              <w:rPr>
                <w:color w:val="000000" w:themeColor="text1"/>
              </w:rPr>
              <w:t>x</w:t>
            </w:r>
            <w:r>
              <w:rPr>
                <w:color w:val="000000" w:themeColor="text1"/>
              </w:rPr>
              <w:fldChar w:fldCharType="begin"/>
            </w:r>
            <w:r>
              <w:rPr>
                <w:color w:val="000000" w:themeColor="text1"/>
              </w:rPr>
              <w:instrText xml:space="preserve"> NOTEREF _Ref141173055 \f \h </w:instrText>
            </w:r>
            <w:r>
              <w:rPr>
                <w:color w:val="000000" w:themeColor="text1"/>
              </w:rPr>
            </w:r>
            <w:r>
              <w:rPr>
                <w:color w:val="000000" w:themeColor="text1"/>
              </w:rPr>
              <w:fldChar w:fldCharType="separate"/>
            </w:r>
            <w:r w:rsidR="00E37776" w:rsidRPr="00E37776">
              <w:rPr>
                <w:rStyle w:val="FootnoteReference"/>
              </w:rPr>
              <w:t>7</w:t>
            </w:r>
            <w:r>
              <w:rPr>
                <w:color w:val="000000" w:themeColor="text1"/>
              </w:rPr>
              <w:fldChar w:fldCharType="end"/>
            </w:r>
          </w:p>
        </w:tc>
        <w:tc>
          <w:tcPr>
            <w:tcW w:w="589" w:type="pct"/>
            <w:shd w:val="clear" w:color="auto" w:fill="auto"/>
            <w:vAlign w:val="center"/>
          </w:tcPr>
          <w:p w14:paraId="56861D59" w14:textId="0856E80D" w:rsidR="005C7646" w:rsidRPr="00781112" w:rsidRDefault="005C7646" w:rsidP="005C7646">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220CAED" w14:textId="6484F1AC" w:rsidR="005C7646" w:rsidRPr="00781112" w:rsidRDefault="005C7646" w:rsidP="005C7646">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links listed below are where public reports of assessment results </w:t>
      </w:r>
      <w:proofErr w:type="gramStart"/>
      <w:r w:rsidRPr="00781112">
        <w:rPr>
          <w:rFonts w:cs="Arial"/>
          <w:color w:val="000000" w:themeColor="text1"/>
          <w:szCs w:val="16"/>
          <w:shd w:val="clear" w:color="auto" w:fill="FFFFFF"/>
        </w:rPr>
        <w:t>are located in</w:t>
      </w:r>
      <w:proofErr w:type="gramEnd"/>
      <w:r w:rsidRPr="00781112">
        <w:rPr>
          <w:rFonts w:cs="Arial"/>
          <w:color w:val="000000" w:themeColor="text1"/>
          <w:szCs w:val="16"/>
          <w:shd w:val="clear" w:color="auto" w:fill="FFFFFF"/>
        </w:rPr>
        <w:t xml:space="preserve"> the Guam Department of Education (GDOE) website. The first link is for the Annual State of Public Education Report (ASPER). The second link is for the individual school report cards.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1. https://www.gdoe.net/District/Department/8-Research-Planning-and-Evaluation/Portal/annual-state-of-public-education-report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https://www.gdoe.net/District/Department/2-Special-Education/1868-SPED-School-Report-Cards.html</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For this FFY 2021 reporting period, data was available for HS Reading and Math.  Using the data for this reporting period, the baseline was established and targets for FFY 2021 through FFY 2025 were determined by stakeholders during one of the focus group sessions. </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The State did not provide baseline and targets for HS Reading and Math. The State must provide the baseline and required targets for FFY 2020 through FFY 2025 in the FFY 2021 SPP/APR.</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t xml:space="preserve">For FFY 2021, Guam Part B has provided the baseline and targets for HS Reading and Math in the section: 3C Indicator Data. </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Guam has established baselines for high school reading and math under this indicator using data from FFY 2021, and OSEP accepts those baselines.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set its targets for high school reading and math under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12.38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6.68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3.79</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8.17</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12.00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11.50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11.00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10.50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10.00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15.50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14.50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6.40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6.20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6.00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5.80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5.60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3.60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3.40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3.20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2.80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1.85</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1.65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1.45</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1.25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8.17</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1.65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1.45</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1.25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1.05</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xml:space="preserve">- Several in-person and virtual meetings were held for smaller focus groups to discuss Indicator “clusters,” such as Secondary Clusters (Indicators 1, 2, </w:t>
      </w:r>
      <w:r w:rsidRPr="00781112">
        <w:rPr>
          <w:rFonts w:cs="Arial"/>
          <w:color w:val="000000" w:themeColor="text1"/>
          <w:szCs w:val="16"/>
        </w:rPr>
        <w:lastRenderedPageBreak/>
        <w:t>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14D6448B" w14:textId="77777777" w:rsidR="002D341C" w:rsidRDefault="002D341C">
      <w:pPr>
        <w:spacing w:before="0" w:after="200" w:line="276" w:lineRule="auto"/>
        <w:rPr>
          <w:b/>
          <w:color w:val="000000" w:themeColor="text1"/>
        </w:rPr>
      </w:pPr>
      <w:r>
        <w:rPr>
          <w:b/>
          <w:color w:val="000000" w:themeColor="text1"/>
        </w:rPr>
        <w:br w:type="page"/>
      </w:r>
    </w:p>
    <w:p w14:paraId="5F03961C" w14:textId="580D6486"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1,770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1,666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1,751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77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A90A5B7" w:rsidR="002D3EE6" w:rsidRPr="00781112" w:rsidRDefault="002D341C" w:rsidP="002D3EE6">
            <w:pPr>
              <w:jc w:val="center"/>
              <w:rPr>
                <w:rFonts w:cs="Arial"/>
                <w:color w:val="000000" w:themeColor="text1"/>
                <w:szCs w:val="16"/>
              </w:rPr>
            </w:pPr>
            <w:r>
              <w:rPr>
                <w:rFonts w:cs="Arial"/>
                <w:color w:val="000000" w:themeColor="text1"/>
                <w:szCs w:val="16"/>
              </w:rPr>
              <w:t>x</w:t>
            </w:r>
            <w:bookmarkStart w:id="27" w:name="_Ref141162610"/>
            <w:r>
              <w:rPr>
                <w:rStyle w:val="FootnoteReference"/>
                <w:rFonts w:cs="Arial"/>
                <w:color w:val="000000" w:themeColor="text1"/>
                <w:szCs w:val="16"/>
              </w:rPr>
              <w:footnoteReference w:id="9"/>
            </w:r>
            <w:bookmarkEnd w:id="27"/>
          </w:p>
        </w:tc>
        <w:tc>
          <w:tcPr>
            <w:tcW w:w="1084" w:type="pct"/>
            <w:shd w:val="clear" w:color="auto" w:fill="auto"/>
            <w:vAlign w:val="center"/>
          </w:tcPr>
          <w:p w14:paraId="6D42641C" w14:textId="24BC0755"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27076C73" w14:textId="20DAC926"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76D1283A"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5BB68E9F" w14:textId="3746E0DF"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2F17DF0A"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7D7B8A72" w14:textId="071DEB79"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077B2856" w14:textId="0D3E5D3B"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76B1D3BD"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740F6FA5" w14:textId="00A31D8E" w:rsidR="002D3EE6" w:rsidRPr="00781112" w:rsidRDefault="002D341C"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bl>
    <w:p w14:paraId="639A2278" w14:textId="77777777" w:rsidR="00DD5B7A" w:rsidRDefault="00DD5B7A" w:rsidP="00DD5B7A">
      <w:pPr>
        <w:rPr>
          <w:b/>
          <w:color w:val="000000" w:themeColor="text1"/>
        </w:rPr>
      </w:pPr>
    </w:p>
    <w:p w14:paraId="3CD32359" w14:textId="77777777" w:rsidR="002D341C" w:rsidRPr="00781112" w:rsidRDefault="002D341C"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1,770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1,666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1,751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76</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120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0F276261"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3" w:type="pct"/>
            <w:shd w:val="clear" w:color="auto" w:fill="auto"/>
            <w:vAlign w:val="center"/>
          </w:tcPr>
          <w:p w14:paraId="7CCA2E3B" w14:textId="17F7182D"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735C7B5A" w14:textId="79211C4E"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0CADF9DA"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53087BDA" w14:textId="61B2EE49"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5F21163C"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3" w:type="pct"/>
            <w:shd w:val="clear" w:color="auto" w:fill="auto"/>
            <w:vAlign w:val="center"/>
          </w:tcPr>
          <w:p w14:paraId="0A64567E" w14:textId="3A5BA730"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4" w:type="pct"/>
            <w:shd w:val="clear" w:color="auto" w:fill="auto"/>
            <w:vAlign w:val="center"/>
          </w:tcPr>
          <w:p w14:paraId="4656C7C9" w14:textId="7D379682"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0D215C31"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5</w:t>
            </w:r>
          </w:p>
        </w:tc>
        <w:tc>
          <w:tcPr>
            <w:tcW w:w="1084" w:type="pct"/>
            <w:shd w:val="clear" w:color="auto" w:fill="auto"/>
            <w:vAlign w:val="center"/>
          </w:tcPr>
          <w:p w14:paraId="20EB2770" w14:textId="7E63D8DE" w:rsidR="0039534D" w:rsidRPr="00781112" w:rsidRDefault="002D341C"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_Ref141162610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8</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2854CB71" w14:textId="77777777" w:rsidR="002D341C" w:rsidRDefault="002D341C">
      <w:pPr>
        <w:spacing w:before="0" w:after="200" w:line="276" w:lineRule="auto"/>
        <w:rPr>
          <w:b/>
          <w:color w:val="000000" w:themeColor="text1"/>
        </w:rPr>
      </w:pPr>
      <w:r>
        <w:rPr>
          <w:b/>
          <w:color w:val="000000" w:themeColor="text1"/>
        </w:rPr>
        <w:br w:type="page"/>
      </w:r>
    </w:p>
    <w:p w14:paraId="300D6CD4" w14:textId="74F9A5A6"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70CB49BB" w:rsidR="00E22739" w:rsidRPr="00781112" w:rsidRDefault="002D341C" w:rsidP="00E22739">
            <w:pPr>
              <w:jc w:val="center"/>
              <w:rPr>
                <w:rFonts w:cs="Arial"/>
                <w:color w:val="000000" w:themeColor="text1"/>
                <w:szCs w:val="16"/>
              </w:rPr>
            </w:pPr>
            <w:r>
              <w:rPr>
                <w:rFonts w:cs="Arial"/>
                <w:color w:val="000000" w:themeColor="text1"/>
                <w:szCs w:val="16"/>
              </w:rPr>
              <w:t>x</w:t>
            </w:r>
            <w:bookmarkStart w:id="28" w:name="_Ref141162835"/>
            <w:r>
              <w:rPr>
                <w:rStyle w:val="FootnoteReference"/>
                <w:rFonts w:cs="Arial"/>
                <w:color w:val="000000" w:themeColor="text1"/>
                <w:szCs w:val="16"/>
              </w:rPr>
              <w:footnoteReference w:id="10"/>
            </w:r>
            <w:bookmarkEnd w:id="28"/>
          </w:p>
        </w:tc>
        <w:tc>
          <w:tcPr>
            <w:tcW w:w="812" w:type="pct"/>
            <w:shd w:val="clear" w:color="auto" w:fill="auto"/>
            <w:vAlign w:val="center"/>
          </w:tcPr>
          <w:p w14:paraId="3354BCD4" w14:textId="73C5AACE" w:rsidR="00E22739" w:rsidRPr="00781112" w:rsidRDefault="002D341C"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_Ref141162835 \f \h </w:instrText>
            </w:r>
            <w:r>
              <w:rPr>
                <w:rFonts w:cs="Arial"/>
                <w:color w:val="000000" w:themeColor="text1"/>
                <w:szCs w:val="16"/>
              </w:rPr>
            </w:r>
            <w:r>
              <w:rPr>
                <w:rFonts w:cs="Arial"/>
                <w:color w:val="000000" w:themeColor="text1"/>
                <w:szCs w:val="16"/>
              </w:rPr>
              <w:fldChar w:fldCharType="separate"/>
            </w:r>
            <w:r w:rsidR="00E37776" w:rsidRPr="00E37776">
              <w:rPr>
                <w:rStyle w:val="FootnoteReference"/>
              </w:rPr>
              <w:t>9</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12.38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12.00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18.98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7F88F8" w:rsidR="00E22739" w:rsidRPr="00781112" w:rsidRDefault="002D341C" w:rsidP="00E22739">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812" w:type="pct"/>
            <w:shd w:val="clear" w:color="auto" w:fill="auto"/>
            <w:vAlign w:val="center"/>
          </w:tcPr>
          <w:p w14:paraId="375F78DA" w14:textId="75BCD682" w:rsidR="00E22739" w:rsidRPr="00781112" w:rsidRDefault="002D341C" w:rsidP="00E22739">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16.57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16.00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29.83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4C94FC6F" w:rsidR="00E22739" w:rsidRPr="00781112" w:rsidRDefault="002D341C" w:rsidP="00E22739">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812" w:type="pct"/>
            <w:shd w:val="clear" w:color="auto" w:fill="auto"/>
            <w:vAlign w:val="center"/>
          </w:tcPr>
          <w:p w14:paraId="1276E93C" w14:textId="794DD862" w:rsidR="00E22739" w:rsidRPr="00781112" w:rsidRDefault="002D341C" w:rsidP="00E22739">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6.68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6.40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27.45</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slippage in Indicator 3D, Groups A, B, and C, in Reading are as follows: Beginning November 29, 2021, GDOE opened its doors for students to receive in-person learning five days weekly. Not all GDOE students returned to school full force, however. There were parents who were still hesitant to have their children return to school in-person. As a result, GDOE continued to provide -- on a small scale -- online learning. </w:t>
      </w:r>
      <w:r w:rsidRPr="00781112">
        <w:rPr>
          <w:rFonts w:cs="Arial"/>
          <w:color w:val="000000" w:themeColor="text1"/>
          <w:szCs w:val="16"/>
        </w:rPr>
        <w:br/>
      </w:r>
      <w:r w:rsidRPr="00781112">
        <w:rPr>
          <w:rFonts w:cs="Arial"/>
          <w:color w:val="000000" w:themeColor="text1"/>
          <w:szCs w:val="16"/>
        </w:rPr>
        <w:br/>
        <w:t>Four months later in April 2022, the district-wide assessment was administered to GDOE students who were receiving in-person instruction. Students who were receiving their instruction online were asked and encouraged to come to school so they could participate in the assessment in-person.</w:t>
      </w:r>
      <w:r w:rsidRPr="00781112">
        <w:rPr>
          <w:rFonts w:cs="Arial"/>
          <w:color w:val="000000" w:themeColor="text1"/>
          <w:szCs w:val="16"/>
        </w:rPr>
        <w:br/>
      </w:r>
      <w:r w:rsidRPr="00781112">
        <w:rPr>
          <w:rFonts w:cs="Arial"/>
          <w:color w:val="000000" w:themeColor="text1"/>
          <w:szCs w:val="16"/>
        </w:rPr>
        <w:br/>
        <w:t>These factors impacted and manifested itself in the low performance of all students in the district-wide assessment for this reporting period. The participation rate of students taking the assessment is lower than normal, with only 80% to 87% participating in the assessment; and the low proficiency scores were indicative of the four full months of instruction.</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The reasons for slippage remain the same as what was reported in Group A: students with and without disabilities have not had the opportunity of a full year of instruction, whether the instruction was delivered online or in-person. This shortened period of instruction, along with the method of the delivery of instruction, has manifested itself in low performing scores in the district-wide assessment reported for FFY 2021.</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The reasons for slippage remain the same as what was reported in Group A: students with and without disabilities have not had the opportunity of a full year of instruction, whether the instruction was delivered online or in-person. This shortened period of instruction, along with the method of the delivery of instruction, has manifested itself in low performing scores in the district-wide assessment reported for FFY 2021.</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6C4F983C"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834" w:type="pct"/>
            <w:shd w:val="clear" w:color="auto" w:fill="auto"/>
            <w:vAlign w:val="center"/>
          </w:tcPr>
          <w:p w14:paraId="361835CD" w14:textId="6BFB89BE"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3.79</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3.60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4.01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50BDD710"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834" w:type="pct"/>
            <w:shd w:val="clear" w:color="auto" w:fill="auto"/>
            <w:vAlign w:val="center"/>
          </w:tcPr>
          <w:p w14:paraId="11774D79" w14:textId="271ABE21"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2.10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1.85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10.50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5BA89D7"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834" w:type="pct"/>
            <w:shd w:val="clear" w:color="auto" w:fill="auto"/>
            <w:vAlign w:val="center"/>
          </w:tcPr>
          <w:p w14:paraId="13AB3928" w14:textId="56D688EC" w:rsidR="002A19C8" w:rsidRPr="00781112" w:rsidRDefault="002D341C" w:rsidP="002A19C8">
            <w:pPr>
              <w:jc w:val="center"/>
              <w:rPr>
                <w:rFonts w:cs="Arial"/>
                <w:color w:val="000000" w:themeColor="text1"/>
                <w:szCs w:val="16"/>
              </w:rPr>
            </w:pPr>
            <w:r>
              <w:rPr>
                <w:rFonts w:cs="Arial"/>
                <w:color w:val="000000" w:themeColor="text1"/>
                <w:szCs w:val="16"/>
              </w:rPr>
              <w:t>x</w:t>
            </w:r>
            <w:r w:rsidR="00BA6A84">
              <w:rPr>
                <w:rFonts w:cs="Arial"/>
                <w:color w:val="000000" w:themeColor="text1"/>
                <w:szCs w:val="16"/>
              </w:rPr>
              <w:fldChar w:fldCharType="begin"/>
            </w:r>
            <w:r w:rsidR="00BA6A84">
              <w:rPr>
                <w:rFonts w:cs="Arial"/>
                <w:color w:val="000000" w:themeColor="text1"/>
                <w:szCs w:val="16"/>
              </w:rPr>
              <w:instrText xml:space="preserve"> NOTEREF _Ref141162835 \f \h </w:instrText>
            </w:r>
            <w:r w:rsidR="00BA6A84">
              <w:rPr>
                <w:rFonts w:cs="Arial"/>
                <w:color w:val="000000" w:themeColor="text1"/>
                <w:szCs w:val="16"/>
              </w:rPr>
            </w:r>
            <w:r w:rsidR="00BA6A84">
              <w:rPr>
                <w:rFonts w:cs="Arial"/>
                <w:color w:val="000000" w:themeColor="text1"/>
                <w:szCs w:val="16"/>
              </w:rPr>
              <w:fldChar w:fldCharType="separate"/>
            </w:r>
            <w:r w:rsidR="00E37776" w:rsidRPr="00E37776">
              <w:rPr>
                <w:rStyle w:val="FootnoteReference"/>
              </w:rPr>
              <w:t>9</w:t>
            </w:r>
            <w:r w:rsidR="00BA6A84">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-0.53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8.17</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8.17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slippage in Indicator 3D, Groups A, B, and C, in Math are as follows: Beginning November 29, 2021, GDOE opened its doors for students to receive in-person learning five days weekly. Not all GDOE students returned to school full force, however. There were parents who were still hesitant to have their children return to school in-person. As a result, GDOE continued to provide -- on a small scale -- online learning. </w:t>
      </w:r>
      <w:r w:rsidRPr="00781112">
        <w:rPr>
          <w:rFonts w:cs="Arial"/>
          <w:color w:val="000000" w:themeColor="text1"/>
          <w:szCs w:val="16"/>
        </w:rPr>
        <w:br/>
      </w:r>
      <w:r w:rsidRPr="00781112">
        <w:rPr>
          <w:rFonts w:cs="Arial"/>
          <w:color w:val="000000" w:themeColor="text1"/>
          <w:szCs w:val="16"/>
        </w:rPr>
        <w:br/>
        <w:t>Four months later in April 2022, the district-wide assessment was administered to GDOE students who were receiving in-person instruction. Students who were receiving instruction online were asked and encouraged to come to school so they could participate in the assessment in-person.</w:t>
      </w:r>
      <w:r w:rsidRPr="00781112">
        <w:rPr>
          <w:rFonts w:cs="Arial"/>
          <w:color w:val="000000" w:themeColor="text1"/>
          <w:szCs w:val="16"/>
        </w:rPr>
        <w:br/>
      </w:r>
      <w:r w:rsidRPr="00781112">
        <w:rPr>
          <w:rFonts w:cs="Arial"/>
          <w:color w:val="000000" w:themeColor="text1"/>
          <w:szCs w:val="16"/>
        </w:rPr>
        <w:br/>
        <w:t>These factors impacted and manifested itself in the low performance of all students in the district-wide assessment for this reporting period. The participation rate of students taking the assessment is lower than normal, with only 80% to 87% participating in the assessment; and the low proficiency scores were indicative of the four full months of instruction.</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The reasons for slippage remain the same as what was reported in Group A: students with and without disabilities have not had the opportunity of a full year of instruction, whether the instruction was delivered online or in-person. This shortened period of instruction, along with the method of the delivery of instruction, has manifested itself in low performing scores in the district-wide assessment reported for FFY 2021.</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As part of the Prior FFY Required Actions, Guam was required to revisit its baseline for HS Math and the FFY 2025 target for HS Math to show improvement over time from its baseline.  With stakeholder input, Guam revised the baseline and FFY 2025 target for HS Math.</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In the FFY 2021 SPP/APR, Guam will need to revise its baseline year for this indicator in High School Math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comparability of baseline data and target data.  Guam may also need to revise its FFY 2025 target for High School Math accordingly, to reflect improvement over the revised baseline data. </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br/>
        <w:t>Guam Response:</w:t>
      </w:r>
      <w:r w:rsidRPr="00781112">
        <w:rPr>
          <w:rFonts w:cs="Arial"/>
          <w:color w:val="000000" w:themeColor="text1"/>
          <w:szCs w:val="16"/>
        </w:rPr>
        <w:br/>
        <w:t>For FFY 2021, Guam revised its baseline year for High School Math. Guam also revised its FFY 2025 target for High School Math to reflect improvement over the revised baseline data. The revisions could be found in the section: 3D - Indicator Data.</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Guam has revised baseline for high school math under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Guam revised its FFY2025 target for high school math under this indicator, and OSEP accepts that revision.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1"/>
      <w:bookmarkEnd w:id="22"/>
    </w:p>
    <w:p w14:paraId="6B24B370" w14:textId="77777777" w:rsidR="006E5AE4" w:rsidRPr="00781112" w:rsidRDefault="006E5AE4" w:rsidP="00A018D4">
      <w:pPr>
        <w:rPr>
          <w:color w:val="000000" w:themeColor="text1"/>
          <w:szCs w:val="20"/>
        </w:rPr>
      </w:pPr>
      <w:bookmarkStart w:id="29" w:name="_Toc384383331"/>
      <w:bookmarkStart w:id="3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31" w:name="_Toc384383332"/>
      <w:bookmarkStart w:id="32" w:name="_Toc392159284"/>
      <w:bookmarkEnd w:id="29"/>
      <w:bookmarkEnd w:id="3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w:t>
      </w:r>
      <w:r w:rsidRPr="00781112">
        <w:rPr>
          <w:rFonts w:cs="Arial"/>
          <w:color w:val="000000" w:themeColor="text1"/>
          <w:szCs w:val="16"/>
        </w:rPr>
        <w:lastRenderedPageBreak/>
        <w:t xml:space="preserve">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31"/>
    <w:bookmarkEnd w:id="32"/>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Guam’s definition of “significant discrepancy”: GDOE is a unitary system and does not have local education agencies. Guam’s method of determining whether there were significant discrepancies occurring in the rate of long-term suspensions and expulsions of children with disabilities was done by comparing the rate of long-term suspensions and expulsions of children with disabilities to the rates for non-disabled children. In FFY 2008, Guam’s definition for “significant discrepancy” was revised as follows: Significant discrepancy is determined when children with disabilities have long term suspension and expulsion at a rate three times that of children without disabilities.</w:t>
      </w:r>
      <w:r w:rsidRPr="00781112">
        <w:rPr>
          <w:rFonts w:cs="Arial"/>
          <w:color w:val="000000" w:themeColor="text1"/>
          <w:szCs w:val="16"/>
        </w:rPr>
        <w:br/>
      </w:r>
      <w:r w:rsidRPr="00781112">
        <w:rPr>
          <w:rFonts w:cs="Arial"/>
          <w:color w:val="000000" w:themeColor="text1"/>
          <w:szCs w:val="16"/>
        </w:rPr>
        <w:br/>
        <w:t>METHODOLOGY</w:t>
      </w:r>
      <w:r w:rsidRPr="00781112">
        <w:rPr>
          <w:rFonts w:cs="Arial"/>
          <w:color w:val="000000" w:themeColor="text1"/>
          <w:szCs w:val="16"/>
        </w:rPr>
        <w:br/>
      </w:r>
      <w:r w:rsidRPr="00781112">
        <w:rPr>
          <w:rFonts w:cs="Arial"/>
          <w:color w:val="000000" w:themeColor="text1"/>
          <w:szCs w:val="16"/>
        </w:rPr>
        <w:br/>
        <w:t>The enrollment data for students with disabilities on September 30th for SY 2020-2021 was 1783 students. The enrollment data for students without disabilities for this same school year was 27,497.</w:t>
      </w:r>
      <w:r w:rsidRPr="00781112">
        <w:rPr>
          <w:rFonts w:cs="Arial"/>
          <w:color w:val="000000" w:themeColor="text1"/>
          <w:szCs w:val="16"/>
        </w:rPr>
        <w:br/>
      </w:r>
      <w:r w:rsidRPr="00781112">
        <w:rPr>
          <w:rFonts w:cs="Arial"/>
          <w:color w:val="000000" w:themeColor="text1"/>
          <w:szCs w:val="16"/>
        </w:rPr>
        <w:br/>
        <w:t>In SY 2020-2021, the number of long-term suspensions or expulsions for students with disabilities equaled 0 students (no students) based on the IDEA 618 discipline reported data; the number of long-term suspensions or expulsions for students without disabilities was also the same (Zero students) based on the GDOE student data system. The data for this reporting period could be attributed to COVID-19.</w:t>
      </w:r>
      <w:r w:rsidRPr="00781112">
        <w:rPr>
          <w:rFonts w:cs="Arial"/>
          <w:color w:val="000000" w:themeColor="text1"/>
          <w:szCs w:val="16"/>
        </w:rPr>
        <w:br/>
      </w:r>
      <w:r w:rsidRPr="00781112">
        <w:rPr>
          <w:rFonts w:cs="Arial"/>
          <w:color w:val="000000" w:themeColor="text1"/>
          <w:szCs w:val="16"/>
        </w:rPr>
        <w:br/>
        <w:t>For this reporting year and using SY 2020-2021 data described above, 0.00% of students with and without disabilities were suspended or expelled for greater than 10 days.   This data was impacted by COVID-19 as GDOE did not open its doors for full in-person instruction until November 29, 2021.</w:t>
      </w:r>
      <w:r w:rsidRPr="00781112">
        <w:rPr>
          <w:rFonts w:cs="Arial"/>
          <w:color w:val="000000" w:themeColor="text1"/>
          <w:szCs w:val="16"/>
        </w:rPr>
        <w:br/>
      </w:r>
      <w:r w:rsidRPr="00781112">
        <w:rPr>
          <w:rFonts w:cs="Arial"/>
          <w:color w:val="000000" w:themeColor="text1"/>
          <w:szCs w:val="16"/>
        </w:rPr>
        <w:br/>
        <w:t xml:space="preserve">Based on this performance whereby no students, with and without disabilities were expelled or suspended for greater than 10 days, and using Guam's definition of "significant discrepancy," Guam Part B met the target for Indicator 4A for this FFY APR reporting period using the one-year lag data. </w:t>
      </w:r>
    </w:p>
    <w:p w14:paraId="47F07052" w14:textId="77777777" w:rsidR="00BB504D" w:rsidRPr="00781112" w:rsidRDefault="00BB504D" w:rsidP="004369B2">
      <w:pPr>
        <w:rPr>
          <w:b/>
          <w:color w:val="000000" w:themeColor="text1"/>
        </w:rPr>
      </w:pPr>
      <w:bookmarkStart w:id="33" w:name="_Toc384383334"/>
      <w:bookmarkStart w:id="34"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33"/>
    <w:bookmarkEnd w:id="34"/>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Per Indicator 4A Measurement Instructions, if a "significant discrepancy" occurs, Guam must review and, if appropriate, revise its policies, procedures, and practices related to the development and implementation of IEPs, the use of positive behavioral interventions and supports, and procedural safeguards to ensure such policies, procedures, and practices comply with applicable requirements.</w:t>
      </w:r>
      <w:r w:rsidRPr="00781112">
        <w:rPr>
          <w:rFonts w:cs="Arial"/>
          <w:color w:val="000000" w:themeColor="text1"/>
          <w:szCs w:val="16"/>
        </w:rPr>
        <w:br/>
      </w:r>
      <w:r w:rsidRPr="00781112">
        <w:rPr>
          <w:rFonts w:cs="Arial"/>
          <w:color w:val="000000" w:themeColor="text1"/>
          <w:szCs w:val="16"/>
        </w:rPr>
        <w:br/>
        <w:t xml:space="preserve">For FFY 2021, Guam did not report a "significant discrepancy." Thus, for FFY 2021, Guam did not identify any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Section 300.170(b).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5" w:name="_Toc381956335"/>
      <w:bookmarkStart w:id="36" w:name="_Toc384383336"/>
      <w:bookmarkStart w:id="37"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98E74C9" w14:textId="77777777" w:rsidR="009B3E7D" w:rsidRDefault="009B3E7D" w:rsidP="004369B2">
      <w:pPr>
        <w:rPr>
          <w:b/>
          <w:color w:val="000000" w:themeColor="text1"/>
        </w:rPr>
      </w:pPr>
    </w:p>
    <w:p w14:paraId="4375D153" w14:textId="77777777" w:rsidR="009B3E7D" w:rsidRDefault="009B3E7D">
      <w:pPr>
        <w:spacing w:before="0" w:after="200" w:line="276" w:lineRule="auto"/>
        <w:rPr>
          <w:b/>
          <w:color w:val="000000" w:themeColor="text1"/>
        </w:rPr>
      </w:pPr>
      <w:r>
        <w:rPr>
          <w:b/>
          <w:color w:val="000000" w:themeColor="text1"/>
        </w:rPr>
        <w:br w:type="page"/>
      </w:r>
    </w:p>
    <w:p w14:paraId="6809AF49" w14:textId="29231F55" w:rsidR="00B9048A"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5"/>
      <w:bookmarkEnd w:id="36"/>
      <w:bookmarkEnd w:id="37"/>
    </w:p>
    <w:p w14:paraId="1BA30D93" w14:textId="77777777" w:rsidR="008637F8" w:rsidRPr="00781112" w:rsidRDefault="008637F8" w:rsidP="00A018D4">
      <w:pPr>
        <w:rPr>
          <w:color w:val="000000" w:themeColor="text1"/>
          <w:szCs w:val="20"/>
        </w:rPr>
      </w:pPr>
      <w:bookmarkStart w:id="38" w:name="_Toc384383338"/>
      <w:bookmarkStart w:id="3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Per OSEP instructions, Indicator 4B is not applicable to Guam.</w:t>
      </w:r>
    </w:p>
    <w:bookmarkEnd w:id="38"/>
    <w:bookmarkEnd w:id="39"/>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This indicator is not applicable to Guam.</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3"/>
    </w:p>
    <w:p w14:paraId="52AD89A1" w14:textId="77777777" w:rsidR="00775845" w:rsidRPr="00781112" w:rsidRDefault="00775845" w:rsidP="00A018D4">
      <w:pPr>
        <w:rPr>
          <w:color w:val="000000" w:themeColor="text1"/>
          <w:szCs w:val="20"/>
        </w:rPr>
      </w:pPr>
      <w:bookmarkStart w:id="4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4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44.50%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44.55%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42.06%</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42.06%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45.47%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44.21%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44.72%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41.27%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42.06%</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3.45%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3.89%</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4.89%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3.79%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3.89%</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0.09%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0.12%</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0.12%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43.00%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43.50%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44.00%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44.50%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45.00%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3.75%</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3.75%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3.50%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3.50%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3.25%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0.10%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0.10%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0.09%</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0.09%</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0.05%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lastRenderedPageBreak/>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1,652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642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 xml:space="preserve">SY 2021-22 Child Count/Educational Environment </w:t>
            </w:r>
            <w:r w:rsidRPr="00781112">
              <w:rPr>
                <w:rFonts w:cs="Arial"/>
                <w:color w:val="000000" w:themeColor="text1"/>
                <w:szCs w:val="16"/>
              </w:rPr>
              <w:lastRenderedPageBreak/>
              <w:t>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lastRenderedPageBreak/>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1,652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42.06%</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38.86%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1,652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3.89%</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3.75%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2.78%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1,652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0.12%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0.06%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1A9F60C6" w14:textId="77777777" w:rsidTr="00E21107">
        <w:tc>
          <w:tcPr>
            <w:tcW w:w="715" w:type="dxa"/>
            <w:vAlign w:val="center"/>
          </w:tcPr>
          <w:p w14:paraId="1B4C044E" w14:textId="77777777" w:rsidR="009569B8" w:rsidRPr="00781112" w:rsidRDefault="009569B8" w:rsidP="004369B2">
            <w:pPr>
              <w:jc w:val="center"/>
              <w:rPr>
                <w:b/>
                <w:color w:val="000000" w:themeColor="text1"/>
              </w:rPr>
            </w:pPr>
            <w:r w:rsidRPr="00781112">
              <w:rPr>
                <w:b/>
                <w:color w:val="000000" w:themeColor="text1"/>
              </w:rPr>
              <w:t>A</w:t>
            </w:r>
          </w:p>
        </w:tc>
        <w:tc>
          <w:tcPr>
            <w:tcW w:w="10080" w:type="dxa"/>
            <w:shd w:val="clear" w:color="auto" w:fill="auto"/>
          </w:tcPr>
          <w:p w14:paraId="4E4DD2DE" w14:textId="752834A8" w:rsidR="009569B8" w:rsidRPr="00781112" w:rsidRDefault="003D7F56" w:rsidP="004369B2">
            <w:pPr>
              <w:rPr>
                <w:color w:val="000000" w:themeColor="text1"/>
              </w:rPr>
            </w:pPr>
            <w:r w:rsidRPr="00781112">
              <w:rPr>
                <w:color w:val="000000" w:themeColor="text1"/>
              </w:rPr>
              <w:t>Data drill down activities were conducted with stakeholders, inclusive of members from the Guam Advisory Panel for Students with Disabilities, case managers from the various GDOE schools, and Division personnel. The data drill down activity revealed more IEP Teams making placement decisions for students with disabilities in settings where specialized instruction was received inside the regular classroom 79% through 39% of the school day. 618 data reported through the EDFacts submission system for this reporting period revealed that 55.63% (919/1662) of students with disabilities receive their instruction in this LRE setting. This occurred more so for students in middle school and high school, whereby 29.16% (268/919) and 46.03% (423/919) were placed in this LRE setting, respectively.</w:t>
            </w:r>
            <w:r w:rsidRPr="00781112">
              <w:rPr>
                <w:color w:val="000000" w:themeColor="text1"/>
              </w:rPr>
              <w:br/>
            </w:r>
            <w:r w:rsidRPr="00781112">
              <w:rPr>
                <w:color w:val="000000" w:themeColor="text1"/>
              </w:rPr>
              <w:br/>
              <w:t xml:space="preserve">To target this, Guam Part B will provide more technical assistance and training to support teachers at all levels so more students with disabilities could receive their education in the regular class for 80% or more of the school day. Currently, the Division has individuals who act in the capacity as Special Education Coaches who are tasked to provide this technical assistance and guidance to school teams in all areas of the IEP Process.  The SPED Coaches are currently receiving targeted technical assistance and support from the Progress Center to increase their skills </w:t>
            </w:r>
            <w:proofErr w:type="gramStart"/>
            <w:r w:rsidRPr="00781112">
              <w:rPr>
                <w:color w:val="000000" w:themeColor="text1"/>
              </w:rPr>
              <w:t>in order to</w:t>
            </w:r>
            <w:proofErr w:type="gramEnd"/>
            <w:r w:rsidRPr="00781112">
              <w:rPr>
                <w:color w:val="000000" w:themeColor="text1"/>
              </w:rPr>
              <w:t xml:space="preserve"> provide school teams the supports needed to develop sound IEPs for students with disabilities and to determine appropriate services and the LRE settings where these services are delivered.</w:t>
            </w:r>
          </w:p>
        </w:tc>
      </w:tr>
    </w:tbl>
    <w:p w14:paraId="0B7E5CD7" w14:textId="19EC4801" w:rsidR="004A4803" w:rsidRPr="009B3E7D" w:rsidRDefault="006C575D" w:rsidP="004369B2">
      <w:pPr>
        <w:rPr>
          <w:b/>
          <w:color w:val="000000" w:themeColor="text1"/>
        </w:rPr>
      </w:pPr>
      <w:r w:rsidRPr="00781112">
        <w:rPr>
          <w:b/>
          <w:color w:val="000000" w:themeColor="text1"/>
        </w:rPr>
        <w:t>Provide additional information about this indicator (optional)</w:t>
      </w: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63E8B575" w14:textId="18930297" w:rsidR="003C308E" w:rsidRPr="009B3E7D" w:rsidRDefault="007B5383" w:rsidP="009B3E7D">
      <w:pPr>
        <w:pStyle w:val="Heading2"/>
      </w:pPr>
      <w:r w:rsidRPr="00781112">
        <w:t>5 - OSEP Response</w:t>
      </w:r>
    </w:p>
    <w:p w14:paraId="140EB887" w14:textId="5AD7257C" w:rsidR="003C308E" w:rsidRPr="009B3E7D" w:rsidRDefault="007B5383" w:rsidP="009B3E7D">
      <w:pPr>
        <w:pStyle w:val="Heading2"/>
      </w:pPr>
      <w:r w:rsidRPr="00781112">
        <w:t>5 - Required Actions</w:t>
      </w:r>
    </w:p>
    <w:p w14:paraId="0AFF9CFF" w14:textId="66BEB9EA"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4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4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66.50%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38.64%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61.21%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63.47%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52.35%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60.81%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38.64%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8.50%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18.18%</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13.94%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5.39%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11.41%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20.27%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18.18%</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lastRenderedPageBreak/>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38.64%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lastRenderedPageBreak/>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18.18%</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43.18%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39.00%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42.00%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45.00%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48.00%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51.00%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18.00%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16.50%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42" w:name="_Toc382082378"/>
      <w:bookmarkStart w:id="4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42.00%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41.00%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40.00%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39.00%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38.00%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42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42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2</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30</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42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38.64%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41.18%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18.18%</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29.41%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30</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43.18%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42.00%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29.41%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lastRenderedPageBreak/>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Guam Part B Did not meet the target for Indicator 6B with its performance of 29.41% (30/102) for preschoolers with IEPs. This is a slippage of 11.23% from what was reported for FFY 2020 at 18.18%. For Indicator 6, the Program continues to work closely to ensure “to the maximum extent appropriate, children with disabilities, including children in public or private institutions or other care facilities, are educated with children who are nondisabled.” </w:t>
      </w:r>
      <w:r w:rsidRPr="00781112">
        <w:rPr>
          <w:rFonts w:cs="Arial"/>
          <w:color w:val="000000" w:themeColor="text1"/>
          <w:szCs w:val="16"/>
        </w:rPr>
        <w:br/>
      </w:r>
      <w:r w:rsidRPr="00781112">
        <w:rPr>
          <w:rFonts w:cs="Arial"/>
          <w:color w:val="000000" w:themeColor="text1"/>
          <w:szCs w:val="16"/>
        </w:rPr>
        <w:br/>
        <w:t xml:space="preserve">Reasons for the Slippage: </w:t>
      </w:r>
      <w:r w:rsidRPr="00781112">
        <w:rPr>
          <w:rFonts w:cs="Arial"/>
          <w:color w:val="000000" w:themeColor="text1"/>
          <w:szCs w:val="16"/>
        </w:rPr>
        <w:br/>
        <w:t>Stakeholders requested for drill down data on the following: type of disability and the child’s age for those placed in the separate special education class setting.</w:t>
      </w:r>
      <w:r w:rsidRPr="00781112">
        <w:rPr>
          <w:rFonts w:cs="Arial"/>
          <w:color w:val="000000" w:themeColor="text1"/>
          <w:szCs w:val="16"/>
        </w:rPr>
        <w:br/>
      </w:r>
      <w:r w:rsidRPr="00781112">
        <w:rPr>
          <w:rFonts w:cs="Arial"/>
          <w:color w:val="000000" w:themeColor="text1"/>
          <w:szCs w:val="16"/>
        </w:rPr>
        <w:br/>
        <w:t>Age:</w:t>
      </w:r>
      <w:r w:rsidRPr="00781112">
        <w:rPr>
          <w:rFonts w:cs="Arial"/>
          <w:color w:val="000000" w:themeColor="text1"/>
          <w:szCs w:val="16"/>
        </w:rPr>
        <w:br/>
        <w:t xml:space="preserve">Of the 30 preschoolers with IEPs in a separate class, 13 or 43.3% are 3 years of age; 14 or 46.7% are 4 years of age; and 3 or 0.007% are 5 years of age. </w:t>
      </w:r>
      <w:r w:rsidRPr="00781112">
        <w:rPr>
          <w:rFonts w:cs="Arial"/>
          <w:color w:val="000000" w:themeColor="text1"/>
          <w:szCs w:val="16"/>
        </w:rPr>
        <w:br/>
      </w:r>
      <w:r w:rsidRPr="00781112">
        <w:rPr>
          <w:rFonts w:cs="Arial"/>
          <w:color w:val="000000" w:themeColor="text1"/>
          <w:szCs w:val="16"/>
        </w:rPr>
        <w:br/>
        <w:t>Disability:</w:t>
      </w:r>
      <w:r w:rsidRPr="00781112">
        <w:rPr>
          <w:rFonts w:cs="Arial"/>
          <w:color w:val="000000" w:themeColor="text1"/>
          <w:szCs w:val="16"/>
        </w:rPr>
        <w:br/>
        <w:t xml:space="preserve">Of the 30 preschoolers with IEPs in a separate class, there were 18 on the autism spectrum disorder, 6 have developmental disabilities, 2 have hearing impairments, 2 have other health impairments, 1 has a speech/language impairment, and 1 is visually impaired. </w:t>
      </w:r>
      <w:r w:rsidRPr="00781112">
        <w:rPr>
          <w:rFonts w:cs="Arial"/>
          <w:color w:val="000000" w:themeColor="text1"/>
          <w:szCs w:val="16"/>
        </w:rPr>
        <w:br/>
      </w:r>
      <w:r w:rsidRPr="00781112">
        <w:rPr>
          <w:rFonts w:cs="Arial"/>
          <w:color w:val="000000" w:themeColor="text1"/>
          <w:szCs w:val="16"/>
        </w:rPr>
        <w:br/>
        <w:t>Stakeholders indicated the reason for the increase in the number of preschoolers in separate classes may be attributed to the increase in number of children identified with autism who may require a smaller setting to address the behavior challenges. Furthermore, stakeholders discussed the following implementation activities to target the slippage:</w:t>
      </w:r>
      <w:r w:rsidRPr="00781112">
        <w:rPr>
          <w:rFonts w:cs="Arial"/>
          <w:color w:val="000000" w:themeColor="text1"/>
          <w:szCs w:val="16"/>
        </w:rPr>
        <w:br/>
      </w:r>
      <w:r w:rsidRPr="00781112">
        <w:rPr>
          <w:rFonts w:cs="Arial"/>
          <w:color w:val="000000" w:themeColor="text1"/>
          <w:szCs w:val="16"/>
        </w:rPr>
        <w:br/>
        <w:t>1.</w:t>
      </w:r>
      <w:r w:rsidRPr="00781112">
        <w:rPr>
          <w:rFonts w:cs="Arial"/>
          <w:color w:val="000000" w:themeColor="text1"/>
          <w:szCs w:val="16"/>
        </w:rPr>
        <w:tab/>
        <w:t xml:space="preserve">Training for Child Care Providers and Directors: There is the need to work closely with </w:t>
      </w:r>
      <w:proofErr w:type="gramStart"/>
      <w:r w:rsidRPr="00781112">
        <w:rPr>
          <w:rFonts w:cs="Arial"/>
          <w:color w:val="000000" w:themeColor="text1"/>
          <w:szCs w:val="16"/>
        </w:rPr>
        <w:t>child care</w:t>
      </w:r>
      <w:proofErr w:type="gramEnd"/>
      <w:r w:rsidRPr="00781112">
        <w:rPr>
          <w:rFonts w:cs="Arial"/>
          <w:color w:val="000000" w:themeColor="text1"/>
          <w:szCs w:val="16"/>
        </w:rPr>
        <w:t xml:space="preserve"> directors and teachers in providing training and support on strategies to support preschoolers with disabilities in child care settings using the early childhood coaching model. In addition, the plan is to work with the Bureau of Child Care Services to provide additional support for Child Care centers that have children with disabilities by offering additional resources to ensure </w:t>
      </w:r>
      <w:proofErr w:type="gramStart"/>
      <w:r w:rsidRPr="00781112">
        <w:rPr>
          <w:rFonts w:cs="Arial"/>
          <w:color w:val="000000" w:themeColor="text1"/>
          <w:szCs w:val="16"/>
        </w:rPr>
        <w:t>child care</w:t>
      </w:r>
      <w:proofErr w:type="gramEnd"/>
      <w:r w:rsidRPr="00781112">
        <w:rPr>
          <w:rFonts w:cs="Arial"/>
          <w:color w:val="000000" w:themeColor="text1"/>
          <w:szCs w:val="16"/>
        </w:rPr>
        <w:t xml:space="preserve"> providers are given time during the day to work with ECSE Coaches. </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Training with ECSE teachers and service providers on the Early Start Denver Model (ESDM): The ESDM is a naturalistic developmental behavior approach that employs a transdisciplinary team to address the challenges faced by young children with autism. This evidence-based model focuses on affect, attention, motivation, and arousal. The ESDM intervention strategies can be applied with adults and peers, utilizing the children’s interest and strengths. The use of EBPs embed learning opportunities in meaningful and motivated everyday routines. </w:t>
      </w:r>
      <w:r w:rsidRPr="00781112">
        <w:rPr>
          <w:rFonts w:cs="Arial"/>
          <w:color w:val="000000" w:themeColor="text1"/>
          <w:szCs w:val="16"/>
        </w:rPr>
        <w:br/>
      </w:r>
      <w:r w:rsidRPr="00781112">
        <w:rPr>
          <w:rFonts w:cs="Arial"/>
          <w:color w:val="000000" w:themeColor="text1"/>
          <w:szCs w:val="16"/>
        </w:rPr>
        <w:br/>
        <w:t>3.</w:t>
      </w:r>
      <w:r w:rsidRPr="00781112">
        <w:rPr>
          <w:rFonts w:cs="Arial"/>
          <w:color w:val="000000" w:themeColor="text1"/>
          <w:szCs w:val="16"/>
        </w:rPr>
        <w:tab/>
        <w:t xml:space="preserve">Continue collaborative partnership with Head Start and Pre-Kindergarten teachers on using applied practices and co-teaching methodology for embedding EBPs that enhance inclusive practices for preschoolers with IEPs. </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2"/>
      <w:bookmarkEnd w:id="43"/>
    </w:p>
    <w:p w14:paraId="1404DCF9" w14:textId="77777777" w:rsidR="00531E54" w:rsidRPr="00781112" w:rsidRDefault="00531E54" w:rsidP="00A018D4">
      <w:pPr>
        <w:rPr>
          <w:color w:val="000000" w:themeColor="text1"/>
          <w:szCs w:val="20"/>
        </w:rPr>
      </w:pPr>
      <w:bookmarkStart w:id="4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83.58%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79.31%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91.30%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57.51%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21.28%</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21.21%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29.51%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23.53%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15.52%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21.28%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75.86%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95.74%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47.51%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47.51%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6.38%</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27.87%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20.59%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13.79%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6.38%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89.32%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89.32%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89.30%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59.65%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78.95%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91.49%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21.28%</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30.30%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32.79%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20.69%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21.28%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70.40%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70.80%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80.25%</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80.50%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30.00%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35.00%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40.00%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45.00%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80.40%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80.80%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90.20%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90.40%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90.80%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10.00%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15.00%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20.00%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48.00%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89.50%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90.00%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90.50%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91.00%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91.50%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30.00%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40.00%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50.00%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71.00%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44</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6.82%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37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84.09%</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9.09%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0.00%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41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91.30%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70.40%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93.18%</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w:t>
            </w:r>
            <w:r w:rsidRPr="00781112">
              <w:rPr>
                <w:rFonts w:cs="Arial"/>
                <w:color w:val="000000" w:themeColor="text1"/>
                <w:szCs w:val="16"/>
              </w:rPr>
              <w:lastRenderedPageBreak/>
              <w:t xml:space="preserve">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44</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21.28%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30.00%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9.09%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9.09%</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84.09%</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6.82%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80.40%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90.91%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6.38%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6.82%</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9.09%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36</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81.82%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9.09%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substantially increased their rate of growth by the </w:t>
            </w:r>
            <w:r w:rsidRPr="00781112">
              <w:rPr>
                <w:rFonts w:cs="Arial"/>
                <w:color w:val="000000" w:themeColor="text1"/>
                <w:szCs w:val="16"/>
              </w:rPr>
              <w:lastRenderedPageBreak/>
              <w:t>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40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91.49%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90.91%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21.28%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9.09%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7A SS2: Slippage</w:t>
            </w:r>
            <w:r w:rsidRPr="00781112">
              <w:rPr>
                <w:rFonts w:cs="Arial"/>
                <w:color w:val="000000" w:themeColor="text1"/>
                <w:szCs w:val="16"/>
              </w:rPr>
              <w:br/>
              <w:t xml:space="preserve">Of the 44 preschoolers with IEPs exiting the program, 9.09% or 4 out of 44 preschoolers were functioning within age expectations in positive social-emotional skills by the time they exited. This is a slippage in performance of 12.29% from the FFY 2020 performance of 21.28 %. </w:t>
            </w:r>
            <w:r w:rsidRPr="00781112">
              <w:rPr>
                <w:rFonts w:cs="Arial"/>
                <w:color w:val="000000" w:themeColor="text1"/>
                <w:szCs w:val="16"/>
              </w:rPr>
              <w:br/>
            </w:r>
            <w:r w:rsidRPr="00781112">
              <w:rPr>
                <w:rFonts w:cs="Arial"/>
                <w:color w:val="000000" w:themeColor="text1"/>
                <w:szCs w:val="16"/>
              </w:rPr>
              <w:br/>
              <w:t xml:space="preserve">Based on the data review, there were 37 preschoolers that were in category “c” who improved functioning to a level nearer to same-aged peers but did not reach it. Stakeholders requested for the ECSE Program to analyze the following data points of preschoolers in these categories: 1) age at entry; 2) length of early childhood special education (ECSE) services received; 3) settings; and 4) types of disabilities. </w:t>
            </w:r>
            <w:r w:rsidRPr="00781112">
              <w:rPr>
                <w:rFonts w:cs="Arial"/>
                <w:color w:val="000000" w:themeColor="text1"/>
                <w:szCs w:val="16"/>
              </w:rPr>
              <w:br/>
            </w:r>
            <w:r w:rsidRPr="00781112">
              <w:rPr>
                <w:rFonts w:cs="Arial"/>
                <w:color w:val="000000" w:themeColor="text1"/>
                <w:szCs w:val="16"/>
              </w:rPr>
              <w:br/>
              <w:t>Age at Entry:</w:t>
            </w:r>
            <w:r w:rsidRPr="00781112">
              <w:rPr>
                <w:rFonts w:cs="Arial"/>
                <w:color w:val="000000" w:themeColor="text1"/>
                <w:szCs w:val="16"/>
              </w:rPr>
              <w:br/>
              <w:t xml:space="preserve">Twenty-six (26) out of the 37 preschoolers or 70% were 3 years of age when they first enrolled to received ECSE services; 24% (9/37) were 4 years of age; and 5% (2/37) were 5 years of age. </w:t>
            </w:r>
            <w:r w:rsidRPr="00781112">
              <w:rPr>
                <w:rFonts w:cs="Arial"/>
                <w:color w:val="000000" w:themeColor="text1"/>
                <w:szCs w:val="16"/>
              </w:rPr>
              <w:br/>
            </w:r>
            <w:r w:rsidRPr="00781112">
              <w:rPr>
                <w:rFonts w:cs="Arial"/>
                <w:color w:val="000000" w:themeColor="text1"/>
                <w:szCs w:val="16"/>
              </w:rPr>
              <w:br/>
              <w:t xml:space="preserve">Length of Services: </w:t>
            </w:r>
            <w:r w:rsidRPr="00781112">
              <w:rPr>
                <w:rFonts w:cs="Arial"/>
                <w:color w:val="000000" w:themeColor="text1"/>
                <w:szCs w:val="16"/>
              </w:rPr>
              <w:br/>
              <w:t xml:space="preserve">Twenty-four percent (24%) or 9 out of the 37 preschoolers had 12 months or less of ECSE Services; 41% or 15 out the 37 had a range of 13 to 24 months of ECSE service; and 13 out of the 37 or 35% had greater than 25 months of ECSE service. </w:t>
            </w:r>
            <w:r w:rsidRPr="00781112">
              <w:rPr>
                <w:rFonts w:cs="Arial"/>
                <w:color w:val="000000" w:themeColor="text1"/>
                <w:szCs w:val="16"/>
              </w:rPr>
              <w:br/>
            </w:r>
            <w:r w:rsidRPr="00781112">
              <w:rPr>
                <w:rFonts w:cs="Arial"/>
                <w:color w:val="000000" w:themeColor="text1"/>
                <w:szCs w:val="16"/>
              </w:rPr>
              <w:br/>
              <w:t xml:space="preserve">Setting: </w:t>
            </w:r>
            <w:r w:rsidRPr="00781112">
              <w:rPr>
                <w:rFonts w:cs="Arial"/>
                <w:color w:val="000000" w:themeColor="text1"/>
                <w:szCs w:val="16"/>
              </w:rPr>
              <w:br/>
              <w:t>A total of 19% (7/37) received ECSE services at home; 43% (16/37) of preschoolers were in Head Start classes; 14% (5/37) were in regular early childhood programs most of the day; and 24% (9/37) were in an early childhood special education classroom.</w:t>
            </w:r>
            <w:r w:rsidRPr="00781112">
              <w:rPr>
                <w:rFonts w:cs="Arial"/>
                <w:color w:val="000000" w:themeColor="text1"/>
                <w:szCs w:val="16"/>
              </w:rPr>
              <w:br/>
            </w:r>
            <w:r w:rsidRPr="00781112">
              <w:rPr>
                <w:rFonts w:cs="Arial"/>
                <w:color w:val="000000" w:themeColor="text1"/>
                <w:szCs w:val="16"/>
              </w:rPr>
              <w:br/>
              <w:t xml:space="preserve">Types of Disabilities: </w:t>
            </w:r>
            <w:r w:rsidRPr="00781112">
              <w:rPr>
                <w:rFonts w:cs="Arial"/>
                <w:color w:val="000000" w:themeColor="text1"/>
                <w:szCs w:val="16"/>
              </w:rPr>
              <w:br/>
              <w:t xml:space="preserve">Of the 37 children in category “c”, 41% (15/37) are eligible as having developmental delays; 49% (18/37) have autism; 1 child has a learning disability; 1 child has a communication disorder; and 2 children have other health impairments.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7C SS2: Slippage </w:t>
            </w:r>
            <w:r w:rsidRPr="00781112">
              <w:rPr>
                <w:rFonts w:cs="Arial"/>
                <w:color w:val="000000" w:themeColor="text1"/>
                <w:szCs w:val="16"/>
              </w:rPr>
              <w:br/>
              <w:t xml:space="preserve">Of the 44 preschoolers with IEPs exiting the program, 9.09% or 4 out of 44 preschoolers were functioning within age expectations in the use of appropriate behaviors to meet their needs by the time they exited. This is a slippage of 12.19% from the FFY 2020 performance of 21.28%. </w:t>
            </w:r>
            <w:r w:rsidRPr="00781112">
              <w:rPr>
                <w:rFonts w:cs="Arial"/>
                <w:color w:val="000000" w:themeColor="text1"/>
                <w:szCs w:val="16"/>
              </w:rPr>
              <w:br/>
            </w:r>
            <w:r w:rsidRPr="00781112">
              <w:rPr>
                <w:rFonts w:cs="Arial"/>
                <w:color w:val="000000" w:themeColor="text1"/>
                <w:szCs w:val="16"/>
              </w:rPr>
              <w:br/>
              <w:t xml:space="preserve">Based on the data review, there were 36 preschoolers or 81.8% that were in category “c” who improved functioning to a level nearer to same-aged peers but did not reach it in the use of appropriate behaviors to meet their needs. The stakeholders requested for the Program to analyze the following data points of preschoolers in these categories: 1) age at entry; 2) length of early childhood special education (ECSE) services received; 3) settings; and 4) types of disabilities. </w:t>
            </w:r>
            <w:r w:rsidRPr="00781112">
              <w:rPr>
                <w:rFonts w:cs="Arial"/>
                <w:color w:val="000000" w:themeColor="text1"/>
                <w:szCs w:val="16"/>
              </w:rPr>
              <w:br/>
            </w:r>
            <w:r w:rsidRPr="00781112">
              <w:rPr>
                <w:rFonts w:cs="Arial"/>
                <w:color w:val="000000" w:themeColor="text1"/>
                <w:szCs w:val="16"/>
              </w:rPr>
              <w:br/>
              <w:t>Age at Entry:</w:t>
            </w:r>
            <w:r w:rsidRPr="00781112">
              <w:rPr>
                <w:rFonts w:cs="Arial"/>
                <w:color w:val="000000" w:themeColor="text1"/>
                <w:szCs w:val="16"/>
              </w:rPr>
              <w:br/>
              <w:t>Twenty-five (25) out of the 36 or 69% were 3 years of age when they first received ECSE services; 25% (9/36) were 4 years of age; and 6% (2/36) were 5 years of age.</w:t>
            </w:r>
            <w:r w:rsidRPr="00781112">
              <w:rPr>
                <w:rFonts w:cs="Arial"/>
                <w:color w:val="000000" w:themeColor="text1"/>
                <w:szCs w:val="16"/>
              </w:rPr>
              <w:br/>
            </w:r>
            <w:r w:rsidRPr="00781112">
              <w:rPr>
                <w:rFonts w:cs="Arial"/>
                <w:color w:val="000000" w:themeColor="text1"/>
                <w:szCs w:val="16"/>
              </w:rPr>
              <w:br/>
              <w:t xml:space="preserve">Length of Services: </w:t>
            </w:r>
            <w:r w:rsidRPr="00781112">
              <w:rPr>
                <w:rFonts w:cs="Arial"/>
                <w:color w:val="000000" w:themeColor="text1"/>
                <w:szCs w:val="16"/>
              </w:rPr>
              <w:br/>
              <w:t xml:space="preserve">Eleven (11) out of the 36 preschoolers or 31% in category “c” had 12 months or less of ECSE Services; 39% (14/36) had a range of 13 to 24 months of ECSE service; and 31% (11/36) had greater than 25 months of service. </w:t>
            </w:r>
            <w:r w:rsidRPr="00781112">
              <w:rPr>
                <w:rFonts w:cs="Arial"/>
                <w:color w:val="000000" w:themeColor="text1"/>
                <w:szCs w:val="16"/>
              </w:rPr>
              <w:br/>
            </w:r>
            <w:r w:rsidRPr="00781112">
              <w:rPr>
                <w:rFonts w:cs="Arial"/>
                <w:color w:val="000000" w:themeColor="text1"/>
                <w:szCs w:val="16"/>
              </w:rPr>
              <w:br/>
              <w:t xml:space="preserve">Setting: </w:t>
            </w:r>
            <w:r w:rsidRPr="00781112">
              <w:rPr>
                <w:rFonts w:cs="Arial"/>
                <w:color w:val="000000" w:themeColor="text1"/>
                <w:szCs w:val="16"/>
              </w:rPr>
              <w:br/>
              <w:t xml:space="preserve">A total of 6 or 17% preschoolers received ECSE services at home; 39% (14/36) were in Head Start classes; 17% (6/36) were in regular early childhood programs most of the day; and 28% (10/36) were in an early childhood special education classroom. </w:t>
            </w:r>
            <w:r w:rsidRPr="00781112">
              <w:rPr>
                <w:rFonts w:cs="Arial"/>
                <w:color w:val="000000" w:themeColor="text1"/>
                <w:szCs w:val="16"/>
              </w:rPr>
              <w:br/>
            </w:r>
            <w:r w:rsidRPr="00781112">
              <w:rPr>
                <w:rFonts w:cs="Arial"/>
                <w:color w:val="000000" w:themeColor="text1"/>
                <w:szCs w:val="16"/>
              </w:rPr>
              <w:br/>
              <w:t xml:space="preserve">Types of Disabilities: </w:t>
            </w:r>
            <w:r w:rsidRPr="00781112">
              <w:rPr>
                <w:rFonts w:cs="Arial"/>
                <w:color w:val="000000" w:themeColor="text1"/>
                <w:szCs w:val="16"/>
              </w:rPr>
              <w:br/>
              <w:t xml:space="preserve">Of the 36 children in category “c”, 15 or 42% are eligible as having a developmental delay; 47% (17/36) have autism; 1 has a learning disability; 1 has a communication disorder; and 2 have other health impairments.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5" w:name="_Toc382082381"/>
      <w:bookmarkStart w:id="4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Guam Part B Early Childhood Special Education (ECSE) Program uses multiple sources of information to determine the status of early childhood outcomes.  Most of the information needed is collected as part of the development of the child's Individualized Education Program (IEP); therefore, collecting child assessment information is part of the IEP development process and not an added step.</w:t>
      </w:r>
      <w:r w:rsidRPr="00781112">
        <w:rPr>
          <w:rFonts w:cs="Arial"/>
          <w:color w:val="000000" w:themeColor="text1"/>
          <w:szCs w:val="16"/>
        </w:rPr>
        <w:br/>
      </w:r>
      <w:r w:rsidRPr="00781112">
        <w:rPr>
          <w:rFonts w:cs="Arial"/>
          <w:color w:val="000000" w:themeColor="text1"/>
          <w:szCs w:val="16"/>
        </w:rPr>
        <w:br/>
        <w:t>The following information is considered in determining a child's status relating to the three early childhood outcomes:</w:t>
      </w:r>
      <w:r w:rsidRPr="00781112">
        <w:rPr>
          <w:rFonts w:cs="Arial"/>
          <w:color w:val="000000" w:themeColor="text1"/>
          <w:szCs w:val="16"/>
        </w:rPr>
        <w:br/>
      </w:r>
      <w:r w:rsidRPr="00781112">
        <w:rPr>
          <w:rFonts w:cs="Arial"/>
          <w:color w:val="000000" w:themeColor="text1"/>
          <w:szCs w:val="16"/>
        </w:rPr>
        <w:br/>
        <w:t>The summary information for child outcomes is expected to take into account the child's functioning across a full range of situations and settings.  Information from many individuals in contact with the child is considered in deciding the rating for each outcome.  These may include, but not be limited to the following:  Parents, ECSE Teachers or Head Start Teachers, Child Care Providers (if appropriate), and other Early Childhood Providers (if appropriate).</w:t>
      </w:r>
      <w:r w:rsidRPr="00781112">
        <w:rPr>
          <w:rFonts w:cs="Arial"/>
          <w:color w:val="000000" w:themeColor="text1"/>
          <w:szCs w:val="16"/>
        </w:rPr>
        <w:br/>
      </w:r>
      <w:r w:rsidRPr="00781112">
        <w:rPr>
          <w:rFonts w:cs="Arial"/>
          <w:color w:val="000000" w:themeColor="text1"/>
          <w:szCs w:val="16"/>
        </w:rPr>
        <w:br/>
        <w:t>Many types of information are used in determining the child's status relative to the child outcomes.  These may include, but not be limited to:  Parent input and observations; Service Provider input and observations; curriculum based assessments such as the Teaching Strategies Gold Creative Curriculum or the Hawaii Early Learning Profile (HELP); the Guam Early Learning Guidelines; and the child's progress reports from Service Providers.</w:t>
      </w:r>
      <w:r w:rsidRPr="00781112">
        <w:rPr>
          <w:rFonts w:cs="Arial"/>
          <w:color w:val="000000" w:themeColor="text1"/>
          <w:szCs w:val="16"/>
        </w:rPr>
        <w:br/>
      </w:r>
      <w:r w:rsidRPr="00781112">
        <w:rPr>
          <w:rFonts w:cs="Arial"/>
          <w:color w:val="000000" w:themeColor="text1"/>
          <w:szCs w:val="16"/>
        </w:rPr>
        <w:br/>
        <w:t>Information about each outcome is reflected in the child's present levels of academic achievement and functional performance across typical settings and situations that make up the child's daily routines.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Next Steps to address the Slippage: </w:t>
      </w:r>
      <w:r w:rsidRPr="00781112">
        <w:rPr>
          <w:rFonts w:cs="Arial"/>
          <w:color w:val="000000" w:themeColor="text1"/>
          <w:szCs w:val="16"/>
        </w:rPr>
        <w:br/>
      </w:r>
      <w:r w:rsidRPr="00781112">
        <w:rPr>
          <w:rFonts w:cs="Arial"/>
          <w:color w:val="000000" w:themeColor="text1"/>
          <w:szCs w:val="16"/>
        </w:rPr>
        <w:br/>
        <w:t xml:space="preserve">On January 3 &amp;9, 2023, the University of Guam CEDDERS facilitated the professional development sessions for Early Childhood Special Education teachers. During these sessions, CEDDERS presented the results of this indicator, gathered input on possible reasons for the slippage, reviewed improvement activities, and provided recommendations that would result in improved outcomes. The stakeholders discussed the key practices for embedding the child outcomes summary (COS) process and are working through a case study applied practice activity using the (COS) key practices. As a result of the discussion, the stakeholders agreed that the applied practice case review will ensure consistency of embedding the COS practices in the IEP process. </w:t>
      </w:r>
      <w:r w:rsidRPr="00781112">
        <w:rPr>
          <w:rFonts w:cs="Arial"/>
          <w:color w:val="000000" w:themeColor="text1"/>
          <w:szCs w:val="16"/>
        </w:rPr>
        <w:br/>
      </w:r>
      <w:r w:rsidRPr="00781112">
        <w:rPr>
          <w:rFonts w:cs="Arial"/>
          <w:color w:val="000000" w:themeColor="text1"/>
          <w:szCs w:val="16"/>
        </w:rPr>
        <w:br/>
        <w:t xml:space="preserve">Based on the stakeholder discussion, the average length of time that preschoolers are enrolled in ECSE services is about 19 months, indicating that preschoolers with disabilities are not accessing ECSE service early on. The stakeholders shared this may be attributed to the concerns or fears families are still experiencing due to the COVID-19 pandemic. For the past 2 years, preschoolers may have had little, to no interactions with peers due to their parent’s fears of their children getting sick. In Fall 2022, the ECSE services began providing in-person services and will continue to provide virtual ECSE services in home settings as an option for families to choose from or a combination of some virtual and some in-person visits. </w:t>
      </w:r>
      <w:r w:rsidRPr="00781112">
        <w:rPr>
          <w:rFonts w:cs="Arial"/>
          <w:color w:val="000000" w:themeColor="text1"/>
          <w:szCs w:val="16"/>
        </w:rPr>
        <w:br/>
      </w:r>
      <w:r w:rsidRPr="00781112">
        <w:rPr>
          <w:rFonts w:cs="Arial"/>
          <w:color w:val="000000" w:themeColor="text1"/>
          <w:szCs w:val="16"/>
        </w:rPr>
        <w:br/>
        <w:t xml:space="preserve">The following are recommended activities targeted to increase early childhood outcomes: </w:t>
      </w:r>
      <w:r w:rsidRPr="00781112">
        <w:rPr>
          <w:rFonts w:cs="Arial"/>
          <w:color w:val="000000" w:themeColor="text1"/>
          <w:szCs w:val="16"/>
        </w:rPr>
        <w:br/>
        <w:t xml:space="preserve">- Continue training on embedding the COS key practices in the IEP process to ensure progress monitoring of skills identified in the child’s present level of academic performance and functional skills. Alignment with the COS process will ensure that the preschooler’s needs and goals remain at the forefront and progress monitoring occurs at every IEP meeting. </w:t>
      </w:r>
      <w:r w:rsidRPr="00781112">
        <w:rPr>
          <w:rFonts w:cs="Arial"/>
          <w:color w:val="000000" w:themeColor="text1"/>
          <w:szCs w:val="16"/>
        </w:rPr>
        <w:br/>
      </w:r>
      <w:r w:rsidRPr="00781112">
        <w:rPr>
          <w:rFonts w:cs="Arial"/>
          <w:color w:val="000000" w:themeColor="text1"/>
          <w:szCs w:val="16"/>
        </w:rPr>
        <w:br/>
        <w:t xml:space="preserve">- Continue to increase the amount of time preschoolers with IEPs are actively participating alongside typical peers. Frequency and consistency of service provision is key to continued progress. </w:t>
      </w:r>
      <w:r w:rsidRPr="00781112">
        <w:rPr>
          <w:rFonts w:cs="Arial"/>
          <w:color w:val="000000" w:themeColor="text1"/>
          <w:szCs w:val="16"/>
        </w:rPr>
        <w:br/>
      </w:r>
      <w:r w:rsidRPr="00781112">
        <w:rPr>
          <w:rFonts w:cs="Arial"/>
          <w:color w:val="000000" w:themeColor="text1"/>
          <w:szCs w:val="16"/>
        </w:rPr>
        <w:br/>
        <w:t xml:space="preserve">- Continue to provide training for parents on evidence-based practices in enhancing their child’s overall development through participation in community outreach activities such as the Village Play Time and Story Hour and Parent Café events open to young children with and without disabilities. </w:t>
      </w:r>
      <w:r w:rsidRPr="00781112">
        <w:rPr>
          <w:rFonts w:cs="Arial"/>
          <w:color w:val="000000" w:themeColor="text1"/>
          <w:szCs w:val="16"/>
        </w:rPr>
        <w:br/>
      </w:r>
      <w:r w:rsidRPr="00781112">
        <w:rPr>
          <w:rFonts w:cs="Arial"/>
          <w:color w:val="000000" w:themeColor="text1"/>
          <w:szCs w:val="16"/>
        </w:rPr>
        <w:br/>
        <w:t>Stakeholders additionally shared the need to expand training for all ECSE teachers on the Early Start Denver Model (ESDM) with the increasing number of preschoolers identified with autism.</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5"/>
      <w:bookmarkEnd w:id="46"/>
    </w:p>
    <w:p w14:paraId="66FBCA03" w14:textId="77777777" w:rsidR="00B654C1" w:rsidRPr="00781112" w:rsidRDefault="00B654C1" w:rsidP="00A018D4">
      <w:pPr>
        <w:rPr>
          <w:color w:val="000000" w:themeColor="text1"/>
          <w:szCs w:val="20"/>
        </w:rPr>
      </w:pPr>
      <w:bookmarkStart w:id="4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8"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8"/>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2005</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62.00%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92.74%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71.37%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72.88%</w:t>
            </w:r>
          </w:p>
        </w:tc>
        <w:tc>
          <w:tcPr>
            <w:tcW w:w="833" w:type="pct"/>
            <w:tcBorders>
              <w:bottom w:val="single" w:sz="4" w:space="0" w:color="auto"/>
            </w:tcBorders>
            <w:shd w:val="clear" w:color="auto" w:fill="auto"/>
            <w:vAlign w:val="center"/>
          </w:tcPr>
          <w:p w14:paraId="36AAC02B" w14:textId="31D6381A" w:rsidR="00FB6462" w:rsidRPr="00781112" w:rsidRDefault="00FB6462"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4F9B07B7" w14:textId="7D67594F" w:rsidR="00FB6462" w:rsidRPr="00781112" w:rsidRDefault="00FB6462" w:rsidP="00A018D4">
            <w:pPr>
              <w:jc w:val="center"/>
              <w:rPr>
                <w:rFonts w:cs="Arial"/>
                <w:color w:val="000000" w:themeColor="text1"/>
                <w:szCs w:val="16"/>
              </w:rPr>
            </w:pP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72.00%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75.00%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78.00%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81.00%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84.00%</w:t>
            </w:r>
          </w:p>
        </w:tc>
      </w:tr>
    </w:tbl>
    <w:p w14:paraId="68BCE5ED" w14:textId="77777777" w:rsidR="007E2779" w:rsidRPr="00781112" w:rsidRDefault="007E2779" w:rsidP="000A2C83">
      <w:pPr>
        <w:rPr>
          <w:rFonts w:cs="Arial"/>
          <w:color w:val="000000" w:themeColor="text1"/>
          <w:szCs w:val="16"/>
        </w:rPr>
      </w:pPr>
    </w:p>
    <w:p w14:paraId="04AD6E47" w14:textId="77777777" w:rsidR="009B3E7D" w:rsidRDefault="009B3E7D">
      <w:pPr>
        <w:spacing w:before="0" w:after="200" w:line="276" w:lineRule="auto"/>
        <w:rPr>
          <w:b/>
          <w:color w:val="000000" w:themeColor="text1"/>
        </w:rPr>
      </w:pPr>
      <w:r>
        <w:rPr>
          <w:b/>
          <w:color w:val="000000" w:themeColor="text1"/>
        </w:rPr>
        <w:br w:type="page"/>
      </w:r>
    </w:p>
    <w:p w14:paraId="15954908" w14:textId="1B2F67CA"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542" w:type="pct"/>
            <w:shd w:val="clear" w:color="auto" w:fill="auto"/>
            <w:vAlign w:val="bottom"/>
          </w:tcPr>
          <w:p w14:paraId="486C6AEB" w14:textId="2AC5DAB9" w:rsidR="00FB6462" w:rsidRPr="00781112" w:rsidRDefault="00FB6462" w:rsidP="00A018D4">
            <w:pPr>
              <w:jc w:val="center"/>
              <w:rPr>
                <w:rFonts w:cs="Arial"/>
                <w:color w:val="000000" w:themeColor="text1"/>
                <w:szCs w:val="16"/>
              </w:rPr>
            </w:pP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71.06%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same process for dissemination and collection was conducted for parents of preschool children with IEPs, as with the school age group. The survey was distributed using a census process where the survey was distributed to every parent with a child receiving special education services. However, if a parent had more than one child in a specific level (Elementary, Middle, or High School), only one survey was disseminated to the parent. If a parent also had a child in either Middle or High School, the parent also received a survey for the child at that level. </w:t>
      </w:r>
      <w:r w:rsidRPr="00781112">
        <w:rPr>
          <w:rFonts w:cs="Arial"/>
          <w:color w:val="000000" w:themeColor="text1"/>
          <w:szCs w:val="16"/>
        </w:rPr>
        <w:br/>
      </w:r>
      <w:r w:rsidRPr="00781112">
        <w:rPr>
          <w:rFonts w:cs="Arial"/>
          <w:color w:val="000000" w:themeColor="text1"/>
          <w:szCs w:val="16"/>
        </w:rPr>
        <w:br/>
        <w:t xml:space="preserve">A listing of all Active (A) and Waiting (W) students by school was obtained in March 2022. This list includes preschoolers with IEPs in their respective school or district school. All preschoolers with IEPs are assigned to an elementary school within their district of enrollment. The first dissemination involved sending home the IDEA Part B Parent Survey along with a cover letter from the school principal. The surveys were delivered to the parent through his or her child starting in the first week of April 2022. The second dissemination was during the second week of May for non-respondents of the first dissemination. </w:t>
      </w:r>
      <w:r w:rsidRPr="00781112">
        <w:rPr>
          <w:rFonts w:cs="Arial"/>
          <w:color w:val="000000" w:themeColor="text1"/>
          <w:szCs w:val="16"/>
        </w:rPr>
        <w:br/>
      </w:r>
      <w:r w:rsidRPr="00781112">
        <w:rPr>
          <w:rFonts w:cs="Arial"/>
          <w:color w:val="000000" w:themeColor="text1"/>
          <w:szCs w:val="16"/>
        </w:rPr>
        <w:br/>
        <w:t xml:space="preserve">Each parent was provided the following options to return the completed survey: return by mail; return to the school principal; return to the Division of Special Education, Parent Services Office; or email to Guam CEDDERS Survey Consultant. </w:t>
      </w:r>
      <w:r w:rsidRPr="00781112">
        <w:rPr>
          <w:rFonts w:cs="Arial"/>
          <w:color w:val="000000" w:themeColor="text1"/>
          <w:szCs w:val="16"/>
        </w:rPr>
        <w:br/>
      </w:r>
      <w:r w:rsidRPr="00781112">
        <w:rPr>
          <w:rFonts w:cs="Arial"/>
          <w:color w:val="000000" w:themeColor="text1"/>
          <w:szCs w:val="16"/>
        </w:rPr>
        <w:br/>
        <w:t xml:space="preserve">Parents were also provided the opportunity to complete the survey on-line. Of the 241 surveys received, 9.54% (23/241) were completed online.  Indicator 8 response rate of 14.04% (235/1674) however was based on the valid responses for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8 measure.</w:t>
      </w:r>
      <w:r w:rsidRPr="00781112">
        <w:rPr>
          <w:rFonts w:cs="Arial"/>
          <w:color w:val="000000" w:themeColor="text1"/>
          <w:szCs w:val="16"/>
        </w:rPr>
        <w:br/>
      </w:r>
      <w:r w:rsidRPr="00781112">
        <w:rPr>
          <w:rFonts w:cs="Arial"/>
          <w:color w:val="000000" w:themeColor="text1"/>
          <w:szCs w:val="16"/>
        </w:rPr>
        <w:br/>
        <w:t>Additionally, another opportunity to complete the survey was provided to parents who attended the Autism Community Together (ACT) quarterly meeting in July 2022.  The ACT is a parent support organization that also serves as the Guam Parent Training and Information (PTI) program under the Leadership in Disabilities and Achievement of Hawaii (LDAH).  LDAH administers the Pacific Islands Partnership PTI program, an OSEP-funded grant, that supports parents and families of children with disabilities throughout the Pacific Basin region.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1,674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14.04%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14.04%</w:t>
            </w:r>
          </w:p>
        </w:tc>
      </w:tr>
      <w:bookmarkEnd w:id="4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After reviewing the data and response rate for Indicator 8, stakeholders agreed that additional measures need to be taken to increase the number of parents and guardians responding to the survey. Year after year, surveys have been mailed out without much success. Stakeholders proposed the idea of conducting either a phone survey or online survey within one week after an IEP meeting is held. Stakeholders likened this to a “how did we do?” satisfaction survey given to individuals after a service has been provided. Continued measures will be taken to update demographic information such as contact numbers and email addresses to ensure a means of connecting with parents or other family members. </w:t>
      </w:r>
      <w:r w:rsidRPr="0061205F">
        <w:rPr>
          <w:rFonts w:cs="Arial"/>
          <w:bCs/>
          <w:color w:val="000000" w:themeColor="text1"/>
          <w:szCs w:val="16"/>
        </w:rPr>
        <w:br/>
      </w:r>
      <w:r w:rsidRPr="0061205F">
        <w:rPr>
          <w:rFonts w:cs="Arial"/>
          <w:bCs/>
          <w:color w:val="000000" w:themeColor="text1"/>
          <w:szCs w:val="16"/>
        </w:rPr>
        <w:br/>
        <w:t xml:space="preserve">Guam Part B will continue to collaborate with the ACT organization that serves as the Guam PTI program to engage families in responding to the survey. The Guam PTI program activities are opportunities to meet with families to gather information on how best to hear from parents about parental involvement. Additionally, Guam Part B received an OSEP-funded State Personnel Development Grant (SPDG): Project </w:t>
      </w:r>
      <w:proofErr w:type="spellStart"/>
      <w:r w:rsidRPr="0061205F">
        <w:rPr>
          <w:rFonts w:cs="Arial"/>
          <w:bCs/>
          <w:color w:val="000000" w:themeColor="text1"/>
          <w:szCs w:val="16"/>
        </w:rPr>
        <w:t>Hita</w:t>
      </w:r>
      <w:proofErr w:type="spellEnd"/>
      <w:r w:rsidRPr="0061205F">
        <w:rPr>
          <w:rFonts w:cs="Arial"/>
          <w:bCs/>
          <w:color w:val="000000" w:themeColor="text1"/>
          <w:szCs w:val="16"/>
        </w:rPr>
        <w:t xml:space="preserve"> Para </w:t>
      </w:r>
      <w:proofErr w:type="spellStart"/>
      <w:r w:rsidRPr="0061205F">
        <w:rPr>
          <w:rFonts w:cs="Arial"/>
          <w:bCs/>
          <w:color w:val="000000" w:themeColor="text1"/>
          <w:szCs w:val="16"/>
        </w:rPr>
        <w:t>Mo’na</w:t>
      </w:r>
      <w:proofErr w:type="spellEnd"/>
      <w:r w:rsidRPr="0061205F">
        <w:rPr>
          <w:rFonts w:cs="Arial"/>
          <w:bCs/>
          <w:color w:val="000000" w:themeColor="text1"/>
          <w:szCs w:val="16"/>
        </w:rPr>
        <w:t xml:space="preserve"> that utilizes the Leading by Convening framework for engaging families and providers in improving the professional and family learning opportunities for increasing literacy skills of children with disabilities. The SPDG activities facilitate increasing parent engagement, which will serve as a means for increased parental involvement and responses to the survey.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50" w:name="_Hlk81486999"/>
      <w:r w:rsidRPr="0061205F">
        <w:rPr>
          <w:rFonts w:cs="Arial"/>
          <w:b/>
          <w:color w:val="000000" w:themeColor="text1"/>
          <w:szCs w:val="16"/>
        </w:rPr>
        <w:t>of the response rate including any nonresponse bias that was identified,</w:t>
      </w:r>
      <w:bookmarkEnd w:id="5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Guam Part B analyzed the response rate to determine whether the response represented a broad cross section of parents of children with disabilities and whether there was any indication of nonresponse bias. The analysis included a review of the school-level and village of residence of the parents who completed the survey compared to the parents who did not complete the survey. With Guam Part B reporting a low return rate, the review of the location demographics would assist in determining whether the demographics of those who completed the survey are different from those who did not.</w:t>
      </w:r>
      <w:r>
        <w:rPr>
          <w:rFonts w:cs="Arial"/>
          <w:szCs w:val="16"/>
        </w:rPr>
        <w:br/>
      </w:r>
      <w:r>
        <w:rPr>
          <w:rFonts w:cs="Arial"/>
          <w:szCs w:val="16"/>
        </w:rPr>
        <w:br/>
        <w:t>For school-level, respondents were from 22 of the 26 elementary schools, representing 84.62% (22/26) of elementary schools. For middle schools, respondents came from the eight (8) middle schools. There were no surveys received from the two charter schools that had middle-school aged students enrolled in their schools. The middle school representation was therefore 80% (8/10) of schools that included middle-school aged students. Respondents for the high school came from five of the six high schools with no respondents from the two charter schools with high school-aged students, representing 62.50% (5/8) of schools with high school-aged students.</w:t>
      </w:r>
      <w:r>
        <w:rPr>
          <w:rFonts w:cs="Arial"/>
          <w:szCs w:val="16"/>
        </w:rPr>
        <w:br/>
      </w:r>
      <w:r>
        <w:rPr>
          <w:rFonts w:cs="Arial"/>
          <w:szCs w:val="16"/>
        </w:rPr>
        <w:lastRenderedPageBreak/>
        <w:br/>
        <w:t>The location of the elementary schools that did not have any respondents included a distribution of northern, central, and southern schools. For the middle and high school levels, the nonrespondents were primarily from the charter schools and one public high school.</w:t>
      </w:r>
      <w:r>
        <w:rPr>
          <w:rFonts w:cs="Arial"/>
          <w:szCs w:val="16"/>
        </w:rPr>
        <w:br/>
      </w:r>
      <w:r>
        <w:rPr>
          <w:rFonts w:cs="Arial"/>
          <w:szCs w:val="16"/>
        </w:rPr>
        <w:br/>
        <w:t xml:space="preserve">For the village of residence demographic, 94.74% (18/19) of the villages included respondents. The one village that didn’t have a survey respondent was a central village, which represented 0.7% of the children with IEPs served. It should be noted that this central village is typically not one of the </w:t>
      </w:r>
      <w:proofErr w:type="gramStart"/>
      <w:r>
        <w:rPr>
          <w:rFonts w:cs="Arial"/>
          <w:szCs w:val="16"/>
        </w:rPr>
        <w:t>village</w:t>
      </w:r>
      <w:proofErr w:type="gramEnd"/>
      <w:r>
        <w:rPr>
          <w:rFonts w:cs="Arial"/>
          <w:szCs w:val="16"/>
        </w:rPr>
        <w:t xml:space="preserve"> of residence for the schools that did not have any responses to the survey. Most of the respondents were from the two largest villages, with a range of respondent representation of 0.4% for the smaller villages to 25% for the large village.</w:t>
      </w:r>
      <w:r>
        <w:rPr>
          <w:rFonts w:cs="Arial"/>
          <w:szCs w:val="16"/>
        </w:rPr>
        <w:br/>
      </w:r>
      <w:r>
        <w:rPr>
          <w:rFonts w:cs="Arial"/>
          <w:szCs w:val="16"/>
        </w:rPr>
        <w:br/>
        <w:t xml:space="preserve">Overall, the school-level and village of residence data indicated that the majority of these locations were represented by the respondents, with no indication of nonresponse bias. Guam Part B’s next steps to continue to ensure a broad cross section of respondent parents include working closely with ACT, the Guam PTI program, and their SPDG: Project </w:t>
      </w:r>
      <w:proofErr w:type="spellStart"/>
      <w:r>
        <w:rPr>
          <w:rFonts w:cs="Arial"/>
          <w:szCs w:val="16"/>
        </w:rPr>
        <w:t>Hita</w:t>
      </w:r>
      <w:proofErr w:type="spellEnd"/>
      <w:r>
        <w:rPr>
          <w:rFonts w:cs="Arial"/>
          <w:szCs w:val="16"/>
        </w:rPr>
        <w:t xml:space="preserve"> Para </w:t>
      </w:r>
      <w:proofErr w:type="spellStart"/>
      <w:r>
        <w:rPr>
          <w:rFonts w:cs="Arial"/>
          <w:szCs w:val="16"/>
        </w:rPr>
        <w:t>Mo’na</w:t>
      </w:r>
      <w:proofErr w:type="spellEnd"/>
      <w:r>
        <w:rPr>
          <w:rFonts w:cs="Arial"/>
          <w:szCs w:val="16"/>
        </w:rPr>
        <w:t xml:space="preserve"> to increase awareness about the parental involvement survey.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51" w:name="_Hlk112070690"/>
      <w:bookmarkStart w:id="52"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51"/>
    <w:bookmarkEnd w:id="52"/>
    <w:p w14:paraId="513A1FE6" w14:textId="77777777" w:rsidR="00090132" w:rsidRDefault="00090132" w:rsidP="006F6351">
      <w:pPr>
        <w:rPr>
          <w:b/>
          <w:bCs/>
        </w:rPr>
      </w:pPr>
      <w:r w:rsidRPr="000A2B9F">
        <w:rPr>
          <w:bCs/>
          <w:color w:val="000000" w:themeColor="text1"/>
        </w:rPr>
        <w:t>Guam Part B reports that the demographics of parents responding are not representative of the demographics of children receiving special education services. Guam Part B utilized the demographics of race/ethnicity and geographic location to determine representativeness using the +/-3% metric calculation.</w:t>
      </w:r>
      <w:r w:rsidRPr="000A2B9F">
        <w:rPr>
          <w:bCs/>
          <w:color w:val="000000" w:themeColor="text1"/>
        </w:rPr>
        <w:br/>
      </w:r>
      <w:r w:rsidRPr="000A2B9F">
        <w:rPr>
          <w:bCs/>
          <w:color w:val="000000" w:themeColor="text1"/>
        </w:rPr>
        <w:br/>
        <w:t xml:space="preserve">The race/ethnicity categories in the survey mirrored that of the GDOE race/ethnicity categories within its database. Guam Part B utilized the OSEP ethnicity categories reported annually to assess ethnicity representation. The analysis reviewed the ethnicity responses in comparison to the Child Count ethnicity data of children with IEPs at the time the surveys were distributed. Based on the metric used, the Asian, Other Pacific Islanders, and Two or More ethnicity categories exceeded the +/-3% difference, while the other ethnicity categories were within the +/-3% difference. The Asian ethnicity was considered over-represented with a 5% difference between the two groups – respondents and Child Count. The Other Pacific Islander ethnicity category, which represents </w:t>
      </w:r>
      <w:proofErr w:type="gramStart"/>
      <w:r w:rsidRPr="000A2B9F">
        <w:rPr>
          <w:bCs/>
          <w:color w:val="000000" w:themeColor="text1"/>
        </w:rPr>
        <w:t>the majority of</w:t>
      </w:r>
      <w:proofErr w:type="gramEnd"/>
      <w:r w:rsidRPr="000A2B9F">
        <w:rPr>
          <w:bCs/>
          <w:color w:val="000000" w:themeColor="text1"/>
        </w:rPr>
        <w:t xml:space="preserve"> our island community, was considered under-represented with a -24% difference. The Two or More ethnicity category was over-represented with a 20% difference. It should be noted that the data for the respondent group is based on the respondent’s selection of their child’s ethnicity at the time of completing the survey.</w:t>
      </w:r>
      <w:r w:rsidRPr="000A2B9F">
        <w:rPr>
          <w:bCs/>
          <w:color w:val="000000" w:themeColor="text1"/>
        </w:rPr>
        <w:br/>
      </w:r>
      <w:r w:rsidRPr="000A2B9F">
        <w:rPr>
          <w:bCs/>
          <w:color w:val="000000" w:themeColor="text1"/>
        </w:rPr>
        <w:br/>
        <w:t>Upon further review of the demographics of the parents and guardians who responded to the survey, stakeholders agreed to look at the data representing the village or geographic location of the parents and guardians of children with disabilities. As reported in the previous section, most of the respondents were from the two largest villages, with a range of respondent representation of 0.4% for the smaller villages to 25% for a large village. The respondents were from 18 of the 19 villages. Based on the metric used, the two largest villages exceeded the +/-3% difference between the two groups – respondents and Child Count. The village of Dededo was under-represented at -8%, while the village of Yigo was over-represented at +5%. The difference for the other villages, including the one that did not have a respondent, were within the +/-3% difference.</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For FFY 2021, Guam Part B's response rate for Indicator 8 was 14.04% (235/1674). Although 241 surveys were received, 235 of the surveys had valid responses for the </w:t>
      </w:r>
      <w:proofErr w:type="gramStart"/>
      <w:r w:rsidRPr="000A2B9F">
        <w:rPr>
          <w:b w:val="0"/>
          <w:bCs/>
          <w:color w:val="000000" w:themeColor="text1"/>
        </w:rPr>
        <w:t>Indicator</w:t>
      </w:r>
      <w:proofErr w:type="gramEnd"/>
      <w:r w:rsidRPr="000A2B9F">
        <w:rPr>
          <w:b w:val="0"/>
          <w:bCs/>
          <w:color w:val="000000" w:themeColor="text1"/>
        </w:rPr>
        <w:t xml:space="preserve"> 8 measure. </w:t>
      </w:r>
      <w:r w:rsidRPr="000A2B9F">
        <w:rPr>
          <w:b w:val="0"/>
          <w:bCs/>
          <w:color w:val="000000" w:themeColor="text1"/>
        </w:rPr>
        <w:br/>
      </w:r>
      <w:r w:rsidRPr="000A2B9F">
        <w:rPr>
          <w:b w:val="0"/>
          <w:bCs/>
          <w:color w:val="000000" w:themeColor="text1"/>
        </w:rPr>
        <w:br/>
        <w:t xml:space="preserve">Stakeholders agreed that additional measures need to be taken to increase the number of parents and guardians responding to the survey. Year after year, surveys have been mailed out without much success. Stakeholders proposed the idea of conducting either a phone survey or online survey within one week after an IEP meeting is held. Stakeholders likened this to a “how did we do?” survey given to individuals after a service has been provided. Continued measures will be taken to update demographic information such as contact numbers and email addresses to ensure a means of connecting with parents or other family members. </w:t>
      </w:r>
      <w:r w:rsidRPr="000A2B9F">
        <w:rPr>
          <w:b w:val="0"/>
          <w:bCs/>
          <w:color w:val="000000" w:themeColor="text1"/>
        </w:rPr>
        <w:br/>
      </w:r>
      <w:r w:rsidRPr="000A2B9F">
        <w:rPr>
          <w:b w:val="0"/>
          <w:bCs/>
          <w:color w:val="000000" w:themeColor="text1"/>
        </w:rPr>
        <w:br/>
        <w:t xml:space="preserve">Guam Part B will continue to collaborate with the ACT organization that serves as the Guam PTI program to engage families in responding to the survey. The Guam PTI program activities are opportunities to meet with families to gather information on how best to hear from parents about parental involvement. Additionally, Guam Part B received an OSEP-funded State Personnel Development Grant (SPDG): Project </w:t>
      </w:r>
      <w:proofErr w:type="spellStart"/>
      <w:r w:rsidRPr="000A2B9F">
        <w:rPr>
          <w:b w:val="0"/>
          <w:bCs/>
          <w:color w:val="000000" w:themeColor="text1"/>
        </w:rPr>
        <w:t>Hita</w:t>
      </w:r>
      <w:proofErr w:type="spellEnd"/>
      <w:r w:rsidRPr="000A2B9F">
        <w:rPr>
          <w:b w:val="0"/>
          <w:bCs/>
          <w:color w:val="000000" w:themeColor="text1"/>
        </w:rPr>
        <w:t xml:space="preserve"> Para </w:t>
      </w:r>
      <w:proofErr w:type="spellStart"/>
      <w:r w:rsidRPr="000A2B9F">
        <w:rPr>
          <w:b w:val="0"/>
          <w:bCs/>
          <w:color w:val="000000" w:themeColor="text1"/>
        </w:rPr>
        <w:t>Mo’na</w:t>
      </w:r>
      <w:proofErr w:type="spellEnd"/>
      <w:r w:rsidRPr="000A2B9F">
        <w:rPr>
          <w:b w:val="0"/>
          <w:bCs/>
          <w:color w:val="000000" w:themeColor="text1"/>
        </w:rPr>
        <w:t xml:space="preserve"> that utilizes the Leading by Convening framework for engaging families and providers in improving the professional and family learning opportunities for increasing literacy skills of children with disabilities . The SPDG activities facilitate increasing parent engagement, which will serve as a means for increased parental involvement and responses to the survey.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Guam Part B used the +/-3% discrepancy method to determine representativeness when comparing responders to the target population (children with IEPs at the time of survey dissemination). Positive differences that exceed 3% indicate over-representativeness, while negative differences that exceed -3% indicate under-representativeness.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Guam did not provide data for FFY 2020. Guam must provide the required data for FFY 2021 in the FFY 2021 SPP/APR. </w:t>
      </w:r>
      <w:r w:rsidRPr="00781112">
        <w:rPr>
          <w:rFonts w:cs="Arial"/>
          <w:color w:val="000000" w:themeColor="text1"/>
          <w:szCs w:val="16"/>
        </w:rPr>
        <w:br/>
      </w:r>
      <w:r w:rsidRPr="00781112">
        <w:rPr>
          <w:rFonts w:cs="Arial"/>
          <w:color w:val="000000" w:themeColor="text1"/>
          <w:szCs w:val="16"/>
        </w:rPr>
        <w:br/>
        <w:t xml:space="preserve">In the FFY 2021 SPP/APR, Guam must report whether its FFY 2021 data are from a response group that is representative of the demographics of children receiving special education services, and, if not, the actions Guam is taking to address this issue. Guam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Guam must report the metric used to determine representativeness, as required by the Measurement Table.</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For FFY 2021, Guam provided the required data for Indicator 8.  Guam also reported on whether its data from the response group are representative of the demographics of children receiving special education and the actions Guam took to address the issue if the data was not representative of the demographics of children receiving special education services.</w:t>
      </w:r>
      <w:r w:rsidRPr="00781112">
        <w:rPr>
          <w:rFonts w:cs="Arial"/>
          <w:color w:val="000000" w:themeColor="text1"/>
          <w:szCs w:val="16"/>
        </w:rPr>
        <w:br/>
      </w:r>
      <w:r w:rsidRPr="00781112">
        <w:rPr>
          <w:rFonts w:cs="Arial"/>
          <w:color w:val="000000" w:themeColor="text1"/>
          <w:szCs w:val="16"/>
        </w:rPr>
        <w:br/>
        <w:t>Guam also reported the metric used to determine representativeness, as required by the Measurement Table.</w:t>
      </w:r>
      <w:r w:rsidRPr="00781112">
        <w:rPr>
          <w:rFonts w:cs="Arial"/>
          <w:color w:val="000000" w:themeColor="text1"/>
          <w:szCs w:val="16"/>
        </w:rPr>
        <w:br/>
      </w:r>
      <w:r w:rsidRPr="00781112">
        <w:rPr>
          <w:rFonts w:cs="Arial"/>
          <w:color w:val="000000" w:themeColor="text1"/>
          <w:szCs w:val="16"/>
        </w:rPr>
        <w:br/>
        <w:t>This information could be found in the section labeled: 8 Indicator Data.</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3" w:name="_Toc384383343"/>
      <w:bookmarkStart w:id="54"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5" w:name="_Toc384383344"/>
      <w:bookmarkStart w:id="56" w:name="_Toc392159312"/>
      <w:bookmarkEnd w:id="53"/>
      <w:bookmarkEnd w:id="54"/>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Per OSEP instructions, Indicator 9 is not applicable to Guam.</w:t>
      </w:r>
    </w:p>
    <w:bookmarkEnd w:id="55"/>
    <w:bookmarkEnd w:id="56"/>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This indicator is not applicable to Guam.</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57" w:name="_Toc384383348"/>
      <w:bookmarkStart w:id="58"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7"/>
    <w:bookmarkEnd w:id="58"/>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Per OSEP instructions, Indicator 10 is not applicable to Guam.</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This indicator is not applicable to Guam.</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59" w:name="_Toc384383353"/>
      <w:bookmarkStart w:id="60"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1" w:name="_Toc384383354"/>
      <w:bookmarkStart w:id="62" w:name="_Toc392159322"/>
      <w:bookmarkEnd w:id="59"/>
      <w:bookmarkEnd w:id="60"/>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44.00%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93.49%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93.42%</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96.58%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84.98%</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77.73%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1"/>
    <w:bookmarkEnd w:id="62"/>
    <w:p w14:paraId="3210DF69" w14:textId="77777777" w:rsidR="009B3E7D" w:rsidRDefault="009B3E7D">
      <w:pPr>
        <w:spacing w:before="0" w:after="200" w:line="276" w:lineRule="auto"/>
        <w:rPr>
          <w:b/>
          <w:color w:val="000000" w:themeColor="text1"/>
        </w:rPr>
      </w:pPr>
      <w:r>
        <w:rPr>
          <w:b/>
          <w:color w:val="000000" w:themeColor="text1"/>
        </w:rPr>
        <w:br w:type="page"/>
      </w:r>
    </w:p>
    <w:p w14:paraId="3FAEB3AB" w14:textId="0C6C4E9F"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308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258</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77.73%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83.77%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Of the 308 parental consents received, 258 were evaluated within the 60-Day </w:t>
      </w:r>
      <w:proofErr w:type="gramStart"/>
      <w:r w:rsidRPr="00781112">
        <w:rPr>
          <w:color w:val="000000" w:themeColor="text1"/>
        </w:rPr>
        <w:t>time-line</w:t>
      </w:r>
      <w:proofErr w:type="gramEnd"/>
      <w:r w:rsidRPr="00781112">
        <w:rPr>
          <w:color w:val="000000" w:themeColor="text1"/>
        </w:rPr>
        <w:t xml:space="preserve">. There are 50 children to report in the “Account For” category described in the table below: </w:t>
      </w:r>
      <w:r w:rsidRPr="00781112">
        <w:rPr>
          <w:color w:val="000000" w:themeColor="text1"/>
        </w:rPr>
        <w:br/>
        <w:t>- 25 students were evaluated within 1-30 days after the 60-Day timeline; the reasons for delay are attributed to program delays.</w:t>
      </w:r>
      <w:r w:rsidRPr="00781112">
        <w:rPr>
          <w:color w:val="000000" w:themeColor="text1"/>
        </w:rPr>
        <w:br/>
        <w:t xml:space="preserve">- 7 students were evaluated within 31-60 days after the 60-Day timeline; the reasons for delay are attributed to program delays. </w:t>
      </w:r>
      <w:r w:rsidRPr="00781112">
        <w:rPr>
          <w:color w:val="000000" w:themeColor="text1"/>
        </w:rPr>
        <w:br/>
        <w:t>- 18 students were evaluated within 60+ days after the 60-Day timeline; the reasons for delay are attributed to program delays.</w:t>
      </w:r>
      <w:r w:rsidRPr="00781112">
        <w:rPr>
          <w:color w:val="000000" w:themeColor="text1"/>
        </w:rPr>
        <w:br/>
      </w:r>
      <w:r w:rsidRPr="00781112">
        <w:rPr>
          <w:color w:val="000000" w:themeColor="text1"/>
        </w:rPr>
        <w:br/>
        <w:t>The eligibility meetings have been conducted for all 50 students; all 50 students were made eligible and are receiving special education and related services.</w:t>
      </w:r>
      <w:r w:rsidRPr="00781112">
        <w:rPr>
          <w:color w:val="000000" w:themeColor="text1"/>
        </w:rPr>
        <w:br/>
      </w:r>
      <w:r w:rsidRPr="00781112">
        <w:rPr>
          <w:color w:val="000000" w:themeColor="text1"/>
        </w:rPr>
        <w:br/>
        <w:t>This information was confirmed through a report generated by the Division's Data Office as of January 30, 2023.</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procedure that describes the identification, evaluation, and eligibility process are outlined in the Handbook for the Delivery of Special Education Services. These procedures guide the IEP Coordinators (IEPCs) and Consulting Resource Teachers (CRTs) who are responsible for obtaining the necessary documents and initiating the referral process. Guam DOE follows the IDEA 2004 regulation for the 60-Day Timeline requirement. Guam has determined that the definition of "receipt of parental consent" is the date when the IEPC or CRT receives the signed parent consent form; this "receipt of parental consent" is what initiates the 60-Day Timeline.</w:t>
      </w:r>
      <w:r w:rsidRPr="00781112">
        <w:rPr>
          <w:rFonts w:cs="Arial"/>
          <w:color w:val="000000" w:themeColor="text1"/>
          <w:szCs w:val="16"/>
        </w:rPr>
        <w:br/>
      </w:r>
      <w:r w:rsidRPr="00781112">
        <w:rPr>
          <w:rFonts w:cs="Arial"/>
          <w:color w:val="000000" w:themeColor="text1"/>
          <w:szCs w:val="16"/>
        </w:rPr>
        <w:br/>
        <w:t>The signed parental consent, a referral form, and all other documents supporting the need for an evaluation(s) are submitted to the Special Education Data Office where data is entered into the database. The Data Office disseminates the referral, which is inclusive of the parental consent to the support staff and evaluators of the areas specified on the referral. Guam defines "evaluation completed" as all assessments completed and documented through written reports. Upon completion of the evaluation(s), an eligibility meeting is held.</w:t>
      </w:r>
      <w:r w:rsidRPr="00781112">
        <w:rPr>
          <w:rFonts w:cs="Arial"/>
          <w:color w:val="000000" w:themeColor="text1"/>
          <w:szCs w:val="16"/>
        </w:rPr>
        <w:br/>
      </w:r>
      <w:r w:rsidRPr="00781112">
        <w:rPr>
          <w:rFonts w:cs="Arial"/>
          <w:color w:val="000000" w:themeColor="text1"/>
          <w:szCs w:val="16"/>
        </w:rPr>
        <w:br/>
        <w:t>Standard Operating Procedures were also developed to ensure the completion of the evaluation within the 60-Day Timeline. Upon data entry, a report is generated by the Data Office that includes the following information: Student Name and Unique Identifier Number, school, grade, referral or evaluation area(s), permission received date, the 60-Day Timeline date, assessment completion date, and eligibility determination, to include eligibility determination date. The report is issued to the Program Coordinators for their review at the beginning of every week. Each Program Coordinator tracks the completion of the evaluations in their designated Units. This weekly monitoring process ensures that all Units are kept abreast of any referrals that may have been missed or not submitted to the respective evaluator in a timely manner.</w:t>
      </w:r>
      <w:r w:rsidRPr="00781112">
        <w:rPr>
          <w:rFonts w:cs="Arial"/>
          <w:color w:val="000000" w:themeColor="text1"/>
          <w:szCs w:val="16"/>
        </w:rPr>
        <w:br/>
      </w:r>
      <w:r w:rsidRPr="00781112">
        <w:rPr>
          <w:rFonts w:cs="Arial"/>
          <w:color w:val="000000" w:themeColor="text1"/>
          <w:szCs w:val="16"/>
        </w:rPr>
        <w:br/>
        <w:t xml:space="preserve">If a student is not evaluated within a 60-Day allotted time frame, the referral is placed on a "Priority Status" and is aggressively monitored until the assessment has been completed. Reasons for delay of the evaluation are documented by the assigned evaluator on the Reasons for Delay Form and submitted to the Data Office for documentation purposes. The weekly report generated by the SPED Data Office is used in conjunction with the monthly Indicator 11: 60-Day Timeline Report to assist with the verification and validation of data that is submitted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database.</w:t>
      </w:r>
      <w:r w:rsidRPr="00781112">
        <w:rPr>
          <w:rFonts w:cs="Arial"/>
          <w:color w:val="000000" w:themeColor="text1"/>
          <w:szCs w:val="16"/>
        </w:rPr>
        <w:br/>
      </w:r>
      <w:r w:rsidRPr="00781112">
        <w:rPr>
          <w:rFonts w:cs="Arial"/>
          <w:color w:val="000000" w:themeColor="text1"/>
          <w:szCs w:val="16"/>
        </w:rPr>
        <w:br/>
        <w:t>The Division has assigned an individual to aggressively monitor the completion of initial referrals.  This individual is known as the "Indicator 11 Monitor."  The use of this designated individual is an additional strategy the Division is employing to increase compliance with Indicator 11 requirements.</w:t>
      </w:r>
    </w:p>
    <w:p w14:paraId="4F981BFF" w14:textId="77777777" w:rsidR="00C86164" w:rsidRPr="00781112" w:rsidRDefault="00C86164" w:rsidP="00C86164">
      <w:pPr>
        <w:rPr>
          <w:rFonts w:cs="Arial"/>
          <w:b/>
          <w:color w:val="000000" w:themeColor="text1"/>
          <w:szCs w:val="16"/>
        </w:rPr>
      </w:pPr>
      <w:bookmarkStart w:id="63" w:name="_Toc381956339"/>
      <w:bookmarkStart w:id="64" w:name="_Toc384383357"/>
      <w:bookmarkStart w:id="65"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4AEC445C" w14:textId="6396B491" w:rsidR="009A755E" w:rsidRPr="00781112" w:rsidRDefault="009A755E" w:rsidP="00A018D4">
            <w:pPr>
              <w:jc w:val="center"/>
              <w:rPr>
                <w:rFonts w:cs="Arial"/>
                <w:color w:val="000000" w:themeColor="text1"/>
                <w:szCs w:val="16"/>
              </w:rPr>
            </w:pP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B6C111" w14:textId="77777777" w:rsidR="008227D4" w:rsidRPr="00781112" w:rsidRDefault="008227D4" w:rsidP="004369B2">
      <w:pPr>
        <w:rPr>
          <w:color w:val="000000" w:themeColor="text1"/>
        </w:rPr>
      </w:pPr>
    </w:p>
    <w:p w14:paraId="0774DE34" w14:textId="77777777" w:rsidR="009B3E7D" w:rsidRDefault="009B3E7D">
      <w:pPr>
        <w:spacing w:before="0" w:after="200" w:line="276" w:lineRule="auto"/>
        <w:rPr>
          <w:b/>
          <w:color w:val="000000" w:themeColor="text1"/>
        </w:rPr>
      </w:pPr>
      <w:r>
        <w:rPr>
          <w:b/>
          <w:color w:val="000000" w:themeColor="text1"/>
        </w:rPr>
        <w:br w:type="page"/>
      </w:r>
    </w:p>
    <w:p w14:paraId="3D219E0E" w14:textId="12454BAD"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2013</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2013</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Correction of Findings of Noncompliance Identified in FFY 2020:</w:t>
      </w:r>
      <w:r w:rsidRPr="00781112">
        <w:rPr>
          <w:rFonts w:cs="Arial"/>
          <w:color w:val="000000" w:themeColor="text1"/>
          <w:szCs w:val="16"/>
        </w:rPr>
        <w:br/>
      </w:r>
      <w:r w:rsidRPr="00781112">
        <w:rPr>
          <w:rFonts w:cs="Arial"/>
          <w:color w:val="000000" w:themeColor="text1"/>
          <w:szCs w:val="16"/>
        </w:rPr>
        <w:br/>
        <w:t xml:space="preserve">In FFY 2020, Indicator 11 performance was 77.73% (164/211) compliance with the 60-day initial evaluation timeline. As described in the FFY 2020 APR, by the end of the reporting year, there were 47 initial evaluations that were completed over the 60-day timeline. In the FFY 2020 APR Indicator 11 Indicator Data section, Guam reported that all 47 initial evaluations were completed over timeline. </w:t>
      </w:r>
      <w:proofErr w:type="gramStart"/>
      <w:r w:rsidRPr="00781112">
        <w:rPr>
          <w:rFonts w:cs="Arial"/>
          <w:color w:val="000000" w:themeColor="text1"/>
          <w:szCs w:val="16"/>
        </w:rPr>
        <w:t>These individual noncompliance</w:t>
      </w:r>
      <w:proofErr w:type="gramEnd"/>
      <w:r w:rsidRPr="00781112">
        <w:rPr>
          <w:rFonts w:cs="Arial"/>
          <w:color w:val="000000" w:themeColor="text1"/>
          <w:szCs w:val="16"/>
        </w:rPr>
        <w:t xml:space="preserve"> were part of the subsequent data for the findings of noncompliance issued to the Division of Special Education in FFY 2013. Therefore, a written notice of noncompliance findings was not issued for the FFY 2020 Indicator 11 noncompliance data.</w:t>
      </w:r>
      <w:r w:rsidRPr="00781112">
        <w:rPr>
          <w:rFonts w:cs="Arial"/>
          <w:color w:val="000000" w:themeColor="text1"/>
          <w:szCs w:val="16"/>
        </w:rPr>
        <w:br/>
      </w:r>
      <w:r w:rsidRPr="00781112">
        <w:rPr>
          <w:rFonts w:cs="Arial"/>
          <w:color w:val="000000" w:themeColor="text1"/>
          <w:szCs w:val="16"/>
        </w:rPr>
        <w:br/>
        <w:t>FFY 2013 Findings Not Yet Verified as Corrected:</w:t>
      </w:r>
      <w:r w:rsidRPr="00781112">
        <w:rPr>
          <w:rFonts w:cs="Arial"/>
          <w:color w:val="000000" w:themeColor="text1"/>
          <w:szCs w:val="16"/>
        </w:rPr>
        <w:br/>
      </w:r>
      <w:r w:rsidRPr="00781112">
        <w:rPr>
          <w:rFonts w:cs="Arial"/>
          <w:color w:val="000000" w:themeColor="text1"/>
          <w:szCs w:val="16"/>
        </w:rPr>
        <w:br/>
        <w:t xml:space="preserve">The three FFY 2013 findings of noncompliance transferred from the school to the Division of Special Education remained in FFY 2021 for not being able to demonstrate correct implementation of the 60-day timeline requirement for subsequent data. </w:t>
      </w:r>
      <w:r w:rsidRPr="00781112">
        <w:rPr>
          <w:rFonts w:cs="Arial"/>
          <w:color w:val="000000" w:themeColor="text1"/>
          <w:szCs w:val="16"/>
        </w:rPr>
        <w:br/>
      </w:r>
      <w:r w:rsidRPr="00781112">
        <w:rPr>
          <w:rFonts w:cs="Arial"/>
          <w:color w:val="000000" w:themeColor="text1"/>
          <w:szCs w:val="16"/>
        </w:rPr>
        <w:br/>
        <w:t xml:space="preserve">GDOE’s Compliance Monitoring Office (CMO) continued to verify correction of noncompliance through a quarterly review of the Indicator 11 data reports of subsequent data. </w:t>
      </w:r>
      <w:r w:rsidRPr="00781112">
        <w:rPr>
          <w:rFonts w:cs="Arial"/>
          <w:color w:val="000000" w:themeColor="text1"/>
          <w:szCs w:val="16"/>
        </w:rPr>
        <w:br/>
      </w:r>
      <w:r w:rsidRPr="00781112">
        <w:rPr>
          <w:rFonts w:cs="Arial"/>
          <w:color w:val="000000" w:themeColor="text1"/>
          <w:szCs w:val="16"/>
        </w:rPr>
        <w:br/>
        <w:t xml:space="preserve">In November 2021, CMO reported that the three findings of noncompliance remained “not yet verified as corrected” because the Division was unable to demonstrate correct implementation of the Child Find compliance requirements for subsequent initial evaluations. The CMO described that subsequent data for initial evaluations in the FFY 2020 reporting period through November 3, </w:t>
      </w:r>
      <w:proofErr w:type="gramStart"/>
      <w:r w:rsidRPr="00781112">
        <w:rPr>
          <w:rFonts w:cs="Arial"/>
          <w:color w:val="000000" w:themeColor="text1"/>
          <w:szCs w:val="16"/>
        </w:rPr>
        <w:t>2021</w:t>
      </w:r>
      <w:proofErr w:type="gramEnd"/>
      <w:r w:rsidRPr="00781112">
        <w:rPr>
          <w:rFonts w:cs="Arial"/>
          <w:color w:val="000000" w:themeColor="text1"/>
          <w:szCs w:val="16"/>
        </w:rPr>
        <w:t xml:space="preserve"> continued to report noncompliance with the initial evaluation timeline requirement. </w:t>
      </w:r>
      <w:r w:rsidRPr="00781112">
        <w:rPr>
          <w:rFonts w:cs="Arial"/>
          <w:color w:val="000000" w:themeColor="text1"/>
          <w:szCs w:val="16"/>
        </w:rPr>
        <w:br/>
      </w:r>
      <w:r w:rsidRPr="00781112">
        <w:rPr>
          <w:rFonts w:cs="Arial"/>
          <w:color w:val="000000" w:themeColor="text1"/>
          <w:szCs w:val="16"/>
        </w:rPr>
        <w:br/>
        <w:t xml:space="preserve">In March 2022, the CMO issued a follow-up notice to the Division indicating the Division continued to report noncompliance with the initial evaluation timeline requirement for subsequent data. The CMO’s notice described that there were 17 initial evaluations over the 60-day timeline, which represented an improvement from the November 2021 “not yet verified as corrected” notification. </w:t>
      </w:r>
      <w:r w:rsidRPr="00781112">
        <w:rPr>
          <w:rFonts w:cs="Arial"/>
          <w:color w:val="000000" w:themeColor="text1"/>
          <w:szCs w:val="16"/>
        </w:rPr>
        <w:br/>
      </w:r>
      <w:r w:rsidRPr="00781112">
        <w:rPr>
          <w:rFonts w:cs="Arial"/>
          <w:color w:val="000000" w:themeColor="text1"/>
          <w:szCs w:val="16"/>
        </w:rPr>
        <w:br/>
        <w:t xml:space="preserve">Actions Taken to Address Noncompliance: </w:t>
      </w:r>
      <w:r w:rsidRPr="00781112">
        <w:rPr>
          <w:rFonts w:cs="Arial"/>
          <w:color w:val="000000" w:themeColor="text1"/>
          <w:szCs w:val="16"/>
        </w:rPr>
        <w:br/>
      </w:r>
      <w:r w:rsidRPr="00781112">
        <w:rPr>
          <w:rFonts w:cs="Arial"/>
          <w:color w:val="000000" w:themeColor="text1"/>
          <w:szCs w:val="16"/>
        </w:rPr>
        <w:br/>
        <w:t>The Division of Special Education has taken the following actions to address Indicator 11 noncompliance:</w:t>
      </w:r>
      <w:r w:rsidRPr="00781112">
        <w:rPr>
          <w:rFonts w:cs="Arial"/>
          <w:color w:val="000000" w:themeColor="text1"/>
          <w:szCs w:val="16"/>
        </w:rPr>
        <w:br/>
      </w:r>
      <w:r w:rsidRPr="00781112">
        <w:rPr>
          <w:rFonts w:cs="Arial"/>
          <w:color w:val="000000" w:themeColor="text1"/>
          <w:szCs w:val="16"/>
        </w:rPr>
        <w:br/>
        <w:t xml:space="preserve">(1) </w:t>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the delays in evaluations stemmed from the following referral areas: psycho-educational evaluations, OT, Speech, Autism and Emotional Disabilities. There is a shortage of qualified personnel within the Division to conduct the assessments in these areas. To address this qualified personnel shortage, the Division continues to prioritize personnel training to increase cross-discipline capacity and the procurement of tele-assessment services to complete required assessments:</w:t>
      </w:r>
      <w:r w:rsidRPr="00781112">
        <w:rPr>
          <w:rFonts w:cs="Arial"/>
          <w:color w:val="000000" w:themeColor="text1"/>
          <w:szCs w:val="16"/>
        </w:rPr>
        <w:br/>
        <w:t>a.</w:t>
      </w:r>
      <w:r w:rsidRPr="00781112">
        <w:rPr>
          <w:rFonts w:cs="Arial"/>
          <w:color w:val="000000" w:themeColor="text1"/>
          <w:szCs w:val="16"/>
        </w:rPr>
        <w:tab/>
        <w:t xml:space="preserve">Psycho-educational evaluations: Training has been initiated for academic evaluators to administer other assessments to support the administration of psycho-educational evaluations. </w:t>
      </w:r>
      <w:r w:rsidRPr="00781112">
        <w:rPr>
          <w:rFonts w:cs="Arial"/>
          <w:color w:val="000000" w:themeColor="text1"/>
          <w:szCs w:val="16"/>
        </w:rPr>
        <w:br/>
        <w:t>b. OT: Guam Part B continues to contract with an online vendor for OT evaluations and services. Currently, the Guam Part B does not have an OT and local OT vendors have not been available to support the OT evaluations.</w:t>
      </w:r>
      <w:r w:rsidRPr="00781112">
        <w:rPr>
          <w:rFonts w:cs="Arial"/>
          <w:color w:val="000000" w:themeColor="text1"/>
          <w:szCs w:val="16"/>
        </w:rPr>
        <w:br/>
        <w:t>c. Speech: In addition to having local speech language pathologists and therapists, Guam Part B continues to contract with an online vendor to support the needed speech evaluations and services.</w:t>
      </w:r>
      <w:r w:rsidRPr="00781112">
        <w:rPr>
          <w:rFonts w:cs="Arial"/>
          <w:color w:val="000000" w:themeColor="text1"/>
          <w:szCs w:val="16"/>
        </w:rPr>
        <w:br/>
        <w:t>d.</w:t>
      </w:r>
      <w:r w:rsidRPr="00781112">
        <w:rPr>
          <w:rFonts w:cs="Arial"/>
          <w:color w:val="000000" w:themeColor="text1"/>
          <w:szCs w:val="16"/>
        </w:rPr>
        <w:tab/>
        <w:t xml:space="preserve">Autism: An interdisciplinary approach to administering appropriate assessments for identifying children with autism continues with training for various personnel within the Division, including special education coaches, psycho-educational evaluators, speech pathologists, and social workers, to administer, score, and interpret the Autism Diagnostic Observation Schedule, 2nd Edition (ADOS-2). </w:t>
      </w:r>
      <w:r w:rsidRPr="00781112">
        <w:rPr>
          <w:rFonts w:cs="Arial"/>
          <w:color w:val="000000" w:themeColor="text1"/>
          <w:szCs w:val="16"/>
        </w:rPr>
        <w:br/>
        <w:t>e. Emotional Disabilities: Cross-training continues to increase the number of personnel with expertise in emotional disabilities.</w:t>
      </w:r>
      <w:r w:rsidRPr="00781112">
        <w:rPr>
          <w:rFonts w:cs="Arial"/>
          <w:color w:val="000000" w:themeColor="text1"/>
          <w:szCs w:val="16"/>
        </w:rPr>
        <w:br/>
      </w:r>
      <w:r w:rsidRPr="00781112">
        <w:rPr>
          <w:rFonts w:cs="Arial"/>
          <w:color w:val="000000" w:themeColor="text1"/>
          <w:szCs w:val="16"/>
        </w:rPr>
        <w:br/>
        <w:t>(2)</w:t>
      </w:r>
      <w:r w:rsidRPr="00781112">
        <w:rPr>
          <w:rFonts w:cs="Arial"/>
          <w:color w:val="000000" w:themeColor="text1"/>
          <w:szCs w:val="16"/>
        </w:rPr>
        <w:tab/>
        <w:t xml:space="preserve">The impact of COVID-19 continued during the 2020-2021 reporting period. GDOE operated three modes of learning: hard-copy curriculum, online learning, and face-to-face (FTF) instruction, which also impacted the timely completion of initial evaluations. To address the different options for learning, the Division procured Q-Global licenses for psycho-educational evaluators to conduct online assessments and shifted the ADOS-2 training to the Brief Observation of Symptoms of Autism (BOSA) training to conduct tele-assessments for identifying children with autism. </w:t>
      </w:r>
      <w:r w:rsidRPr="00781112">
        <w:rPr>
          <w:rFonts w:cs="Arial"/>
          <w:color w:val="000000" w:themeColor="text1"/>
          <w:szCs w:val="16"/>
        </w:rPr>
        <w:br/>
      </w:r>
      <w:r w:rsidRPr="00781112">
        <w:rPr>
          <w:rFonts w:cs="Arial"/>
          <w:color w:val="000000" w:themeColor="text1"/>
          <w:szCs w:val="16"/>
        </w:rPr>
        <w:br/>
        <w:t>Beginning November 29, 2021, GDOE opened its doors to 5 days a week of instruction, both FTF and online, which continued to impact the completion of initial evaluations, especially with administering both in-person and tele-assessments. Beginning school year 2022-2023, GDOE operated 5 days of in-person instruction, which has increased the number of in-person assessments since the students are required to be physically in school.</w:t>
      </w:r>
      <w:r w:rsidRPr="00781112">
        <w:rPr>
          <w:rFonts w:cs="Arial"/>
          <w:color w:val="000000" w:themeColor="text1"/>
          <w:szCs w:val="16"/>
        </w:rPr>
        <w:br/>
      </w:r>
      <w:r w:rsidRPr="00781112">
        <w:rPr>
          <w:rFonts w:cs="Arial"/>
          <w:color w:val="000000" w:themeColor="text1"/>
          <w:szCs w:val="16"/>
        </w:rPr>
        <w:br/>
        <w:t xml:space="preserve">(3) The Division continues to designate a program coordinator to track “Indicator 11” completion of initial evaluations on a weekly basis. Beginning school year 2022-2023, this person’s duties include providing weekly status reports to each program lead of pending evaluations under their supervision. The reports include the required timeline from receipt of consent to evaluate to the deadline to meet the 60-day timeline. The program leads are required to respond with an update to the status of each pending evaluation. In addition,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11 status reports are reviewed by the Division leadership team on a monthly basis to determine additional actions needed to meet the Indicator 11 timeline requirements.</w:t>
      </w:r>
      <w:r w:rsidRPr="00781112">
        <w:rPr>
          <w:rFonts w:cs="Arial"/>
          <w:color w:val="000000" w:themeColor="text1"/>
          <w:szCs w:val="16"/>
        </w:rPr>
        <w:br/>
      </w:r>
      <w:r w:rsidRPr="00781112">
        <w:rPr>
          <w:rFonts w:cs="Arial"/>
          <w:color w:val="000000" w:themeColor="text1"/>
          <w:szCs w:val="16"/>
        </w:rPr>
        <w:br/>
        <w:t>(4)</w:t>
      </w:r>
      <w:r w:rsidRPr="00781112">
        <w:rPr>
          <w:rFonts w:cs="Arial"/>
          <w:color w:val="000000" w:themeColor="text1"/>
          <w:szCs w:val="16"/>
        </w:rPr>
        <w:tab/>
        <w:t xml:space="preserve">Beginning school year 2022-2023, the Division developed the role of special education coaches designed to provide technical assistance to the schools. Training continues to focus on supporting the referral process and service provisions in the schools. </w:t>
      </w:r>
    </w:p>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Guam must demonstrate, in the FFY 2021 SPP/APR, that the remaining three findings identified in FFY 2019 were corrected. When reporting on the correction of noncompliance, Guam must report, in the FFY 2021 SPP/APR, that it has verified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w:t>
      </w:r>
      <w:r w:rsidRPr="00781112">
        <w:rPr>
          <w:rFonts w:cs="Arial"/>
          <w:color w:val="000000" w:themeColor="text1"/>
          <w:szCs w:val="16"/>
        </w:rPr>
        <w:br/>
      </w:r>
      <w:r w:rsidRPr="00781112">
        <w:rPr>
          <w:rFonts w:cs="Arial"/>
          <w:color w:val="000000" w:themeColor="text1"/>
          <w:szCs w:val="16"/>
        </w:rPr>
        <w:br/>
        <w:t>In the FFY 2021 SPP/APR, the Guam must describe the specific actions that were taken to verify the correction.</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As described in the Data Section of Indicator 11, Guam Part B reports the three findings identified in FFY 2013 have not been verified as corrected because the Division was unable to demonstrate correct implementation of the Child Find compliance requirements for subsequent initial evaluations. As reported in FFY 2013, the Division demonstrated correction of each individual case of noncompliance identified but has not demonstrated 100% compliance based on a review of updated or subsequent data, consistent with OSEP Memo 09-02. </w:t>
      </w:r>
      <w:r w:rsidRPr="00781112">
        <w:rPr>
          <w:rFonts w:cs="Arial"/>
          <w:color w:val="000000" w:themeColor="text1"/>
          <w:szCs w:val="16"/>
        </w:rPr>
        <w:br/>
      </w:r>
      <w:r w:rsidRPr="00781112">
        <w:rPr>
          <w:rFonts w:cs="Arial"/>
          <w:color w:val="000000" w:themeColor="text1"/>
          <w:szCs w:val="16"/>
        </w:rPr>
        <w:br/>
        <w:t xml:space="preserve">GDOE Compliance Monitoring Office (CMO) is responsible for monitoring and verifying correct implementation of the Indicator 11 regulatory requirements. CMO reviews the Division data reports on a quarterly basis and provides written notification of the status of the Division’s correction of noncompliance.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Guam did not demonstrate that it corrected the three findings of noncompliance identified in FFY 2013 because it did not report that it verified correction of those findings, consistent with OSEP Memo 09-02. Specifically, Guam did not report that it is correctly implementing the specific regulatory requirements (i.e., achieved 100% compliance) based on a review of updated data such as data subsequently collected through on-site monitoring or a State data system.</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Guam reported less than 100% compliance for FFY 2021, Guam must report on the status of correction of noncompliance identified in FFY 2021 for this indicator. In addition, Guam must demonstrate, in the FFY 2022 SPP/APR, that the remaining 3 uncorrected findings of noncompliance identified in FFY 2013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Guam must report, in the FFY 2021 SPP/APR, that it has verified that, for each finding of noncompliance identified in FFY 2021 and each remaining finding identified in FFY 2013,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Guam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Guam did not identify any findings of noncompliance in FFY 2021, although its FFY 2021 data reflect less than 100% compliance, provide an explanation of why Guam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3"/>
      <w:bookmarkEnd w:id="64"/>
      <w:bookmarkEnd w:id="65"/>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6" w:name="_Toc384383358"/>
      <w:bookmarkStart w:id="67"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8" w:name="_Toc384383359"/>
      <w:bookmarkStart w:id="69" w:name="_Toc392159327"/>
      <w:bookmarkEnd w:id="66"/>
      <w:bookmarkEnd w:id="67"/>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90.00%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8"/>
          <w:bookmarkEnd w:id="69"/>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44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4E67B3" w:rsidP="00A018D4">
            <w:pPr>
              <w:jc w:val="center"/>
              <w:rPr>
                <w:rFonts w:cs="Arial"/>
                <w:color w:val="000000" w:themeColor="text1"/>
                <w:szCs w:val="16"/>
              </w:rPr>
            </w:pP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44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are not included in b, c, d, e, or </w:t>
      </w:r>
      <w:proofErr w:type="gramStart"/>
      <w:r w:rsidRPr="00781112">
        <w:rPr>
          <w:rFonts w:cs="Arial"/>
          <w:b/>
          <w:color w:val="000000" w:themeColor="text1"/>
          <w:szCs w:val="16"/>
        </w:rPr>
        <w:t>f</w:t>
      </w:r>
      <w:proofErr w:type="gramEnd"/>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0" w:name="_Hlk20318414"/>
      <w:bookmarkEnd w:id="70"/>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Guam Part B receives an LEA Notification which initiates a referral from Part C to Part B for children who may </w:t>
      </w:r>
      <w:proofErr w:type="gramStart"/>
      <w:r w:rsidRPr="00781112">
        <w:rPr>
          <w:rFonts w:cs="Arial"/>
          <w:color w:val="000000" w:themeColor="text1"/>
          <w:szCs w:val="16"/>
        </w:rPr>
        <w:t>be in need of</w:t>
      </w:r>
      <w:proofErr w:type="gramEnd"/>
      <w:r w:rsidRPr="00781112">
        <w:rPr>
          <w:rFonts w:cs="Arial"/>
          <w:color w:val="000000" w:themeColor="text1"/>
          <w:szCs w:val="16"/>
        </w:rPr>
        <w:t xml:space="preserve"> continued services from Part B. This LEA Notification is submitted to Part B as early as 9 months before the child's 3rd birthday, and no later than 33 months of age. After participating in the child's Transition Conference, which is facilitated by Part C personnel, the Preschool IEP Coordinator (IEPC) is responsible for submitting the referral with the consent from the parent for an evaluation, and also monitoring the time frame for completing the evaluations within 60 days from parent consent to determining eligibility and developing and implementing an IEP by the child's 3rd birthday. The IEPC also meets monthly with the Part B Program Coordinator for the Three through 5 Program to review each pending referral.</w:t>
      </w:r>
      <w:r w:rsidRPr="00781112">
        <w:rPr>
          <w:rFonts w:cs="Arial"/>
          <w:color w:val="000000" w:themeColor="text1"/>
          <w:szCs w:val="16"/>
        </w:rPr>
        <w:br/>
      </w:r>
      <w:r w:rsidRPr="00781112">
        <w:rPr>
          <w:rFonts w:cs="Arial"/>
          <w:color w:val="000000" w:themeColor="text1"/>
          <w:szCs w:val="16"/>
        </w:rPr>
        <w:br/>
        <w:t>Additionally, Guam Part C provides a monthly report on all LEA Notifications sent to Part B. The Part B data system keeps track of all the LEA Notifications submitted and provides the Three through 5 Program Coordinator a monthly report that includes a calculated percentage using OSEP's measurement for Indicator 12, of those children referred by Part C prior to age 3, who are found eligible for Part B, and who have an IEP developed and implemented by their 3rd birthday.</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Reporting period 7/1/2021 to 6/30/2022:</w:t>
      </w:r>
      <w:r w:rsidRPr="00781112">
        <w:rPr>
          <w:rFonts w:cs="Arial"/>
          <w:color w:val="000000" w:themeColor="text1"/>
          <w:szCs w:val="16"/>
        </w:rPr>
        <w:br/>
      </w:r>
      <w:r w:rsidRPr="00781112">
        <w:rPr>
          <w:rFonts w:cs="Arial"/>
          <w:color w:val="000000" w:themeColor="text1"/>
          <w:szCs w:val="16"/>
        </w:rPr>
        <w:br/>
        <w:t xml:space="preserve">There were 56 children served in Part C who were referred to Part B for eligibility. Of these 56 children: 8 were determined not eligible before their 3rd birthday; and 44 were found eligible and had their IEPs developed and implemented by their 3rd birthday. </w:t>
      </w:r>
      <w:r w:rsidRPr="00781112">
        <w:rPr>
          <w:rFonts w:cs="Arial"/>
          <w:color w:val="000000" w:themeColor="text1"/>
          <w:szCs w:val="16"/>
        </w:rPr>
        <w:br/>
      </w:r>
      <w:r w:rsidRPr="00781112">
        <w:rPr>
          <w:rFonts w:cs="Arial"/>
          <w:color w:val="000000" w:themeColor="text1"/>
          <w:szCs w:val="16"/>
        </w:rPr>
        <w:br/>
        <w:t>Additionally, the following is reported:</w:t>
      </w:r>
      <w:r w:rsidRPr="00781112">
        <w:rPr>
          <w:rFonts w:cs="Arial"/>
          <w:color w:val="000000" w:themeColor="text1"/>
          <w:szCs w:val="16"/>
        </w:rPr>
        <w:br/>
        <w:t>-There were four (4) children to report in Measurement “D,” which is the number of children for whom parent refusal to provide consent which caused delays in evaluation or initial services. Of the four children:</w:t>
      </w:r>
      <w:r w:rsidRPr="00781112">
        <w:rPr>
          <w:rFonts w:cs="Arial"/>
          <w:color w:val="000000" w:themeColor="text1"/>
          <w:szCs w:val="16"/>
        </w:rPr>
        <w:br/>
        <w:t>-One family moved off-island</w:t>
      </w:r>
      <w:r w:rsidRPr="00781112">
        <w:rPr>
          <w:rFonts w:cs="Arial"/>
          <w:color w:val="000000" w:themeColor="text1"/>
          <w:szCs w:val="16"/>
        </w:rPr>
        <w:br/>
        <w:t>-Two families refused services</w:t>
      </w:r>
      <w:r w:rsidRPr="00781112">
        <w:rPr>
          <w:rFonts w:cs="Arial"/>
          <w:color w:val="000000" w:themeColor="text1"/>
          <w:szCs w:val="16"/>
        </w:rPr>
        <w:br/>
        <w:t>-One family initially refused services, but then changed their minds. The IEP for this child was eventually developed for this child, but after the 3rd birthday.</w:t>
      </w:r>
      <w:r w:rsidRPr="00781112">
        <w:rPr>
          <w:rFonts w:cs="Arial"/>
          <w:color w:val="000000" w:themeColor="text1"/>
          <w:szCs w:val="16"/>
        </w:rPr>
        <w:br/>
        <w:t>-There are no (0) children to report in Measurement “E,” the number of children who were referred to Part C less than 90 days before their third birthday; and</w:t>
      </w:r>
      <w:r w:rsidRPr="00781112">
        <w:rPr>
          <w:rFonts w:cs="Arial"/>
          <w:color w:val="000000" w:themeColor="text1"/>
          <w:szCs w:val="16"/>
        </w:rPr>
        <w:br/>
        <w:t>-There are no (0) children to report in the ‘Account For’ category.</w:t>
      </w:r>
      <w:r w:rsidRPr="00781112">
        <w:rPr>
          <w:rFonts w:cs="Arial"/>
          <w:color w:val="000000" w:themeColor="text1"/>
          <w:szCs w:val="16"/>
        </w:rPr>
        <w:br/>
      </w:r>
      <w:r w:rsidRPr="00781112">
        <w:rPr>
          <w:rFonts w:cs="Arial"/>
          <w:color w:val="000000" w:themeColor="text1"/>
          <w:szCs w:val="16"/>
        </w:rPr>
        <w:br/>
        <w:t>Furthermore, Guam Part B does not have a State policy or option whereby parents chose to continue early intervention services beyond the child's third birthday.</w:t>
      </w:r>
      <w:r w:rsidRPr="00781112">
        <w:rPr>
          <w:rFonts w:cs="Arial"/>
          <w:color w:val="000000" w:themeColor="text1"/>
          <w:szCs w:val="16"/>
        </w:rPr>
        <w:br/>
      </w:r>
      <w:r w:rsidRPr="00781112">
        <w:rPr>
          <w:rFonts w:cs="Arial"/>
          <w:color w:val="000000" w:themeColor="text1"/>
          <w:szCs w:val="16"/>
        </w:rPr>
        <w:br/>
        <w:t>Based on cumulative data for reporting period July 1, 2021 through June 30, 2022 Guam Part B has met the 100% compliance target for Indicator 12. It should be noted that Guam Part B has met this compliance indicator from FFY 2008 through FFY 2021. The Part B Program Coordinator will continue to monitor and implement the Improvement Activities developed for this Indicator.</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1" w:name="_Toc384383363"/>
      <w:bookmarkStart w:id="7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3" w:name="_Toc384383364"/>
      <w:bookmarkStart w:id="74" w:name="_Toc392159332"/>
      <w:bookmarkEnd w:id="71"/>
      <w:bookmarkEnd w:id="7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90.77%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85.21%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97.32%</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83.40%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91.12%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3"/>
    <w:bookmarkEnd w:id="74"/>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456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481</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91.12%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94.80%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To calculate Indicator 13 performance, Guam Part B uses data from the special education data system for the entire reporting period.  The Division of Special Education Data Office inputs the student IEP data into the special education data system based on the submitted data sheets and IEP documents from the schools.  The data sheets </w:t>
      </w:r>
      <w:proofErr w:type="gramStart"/>
      <w:r w:rsidRPr="00781112">
        <w:rPr>
          <w:rFonts w:cs="Arial"/>
          <w:color w:val="000000" w:themeColor="text1"/>
          <w:szCs w:val="16"/>
        </w:rPr>
        <w:t>includes</w:t>
      </w:r>
      <w:proofErr w:type="gramEnd"/>
      <w:r w:rsidRPr="00781112">
        <w:rPr>
          <w:rFonts w:cs="Arial"/>
          <w:color w:val="000000" w:themeColor="text1"/>
          <w:szCs w:val="16"/>
        </w:rPr>
        <w:t xml:space="preserve"> verification that the IEP meets the secondary transition requirements for youth with disabilities aged 16 and older.  As IEP meetings are held during the school year, the data sheets and IEPs are submitted to the Division Data Office for input into the special education data system.  The special education data system is updated with each students' current information and status.  At the end of the reporting period, Guam Part B verifies current Indicator 13 data for those youth with IEPs for the entire reporting period.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5"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br/>
        <w:t>The GDOE Compliance Monitoring Office (CMO) did not issue any findings of noncompliance in FFY 2020. The FFY 2020 APR Indicator 13 performance data of 91.12% (462/507), inclusive of the 45 individual noncompliance, were subsequent data reviewed for the correction of findings of noncompliance issued to the six high schools in March 2020 and June 2020 in FFY 2019.  In addition, the FFY 2020 APR Indicator performance data included subsequent data for verifying subsequent correction of noncompliance for the one high school with noncompliance findings identified in FFY 2018.</w:t>
      </w:r>
      <w:r w:rsidRPr="00781112">
        <w:rPr>
          <w:rFonts w:cs="Arial"/>
          <w:color w:val="000000" w:themeColor="text1"/>
          <w:szCs w:val="16"/>
        </w:rPr>
        <w:br/>
      </w:r>
      <w:r w:rsidRPr="00781112">
        <w:rPr>
          <w:rFonts w:cs="Arial"/>
          <w:color w:val="000000" w:themeColor="text1"/>
          <w:szCs w:val="16"/>
        </w:rPr>
        <w:br/>
        <w:t>As reported in the FFY 2020 APR Indicator 13 verified correction of noncompliance description, the 44 FFY 2019 findings issued to the six high schools were verified corrected in FFY 2020 and FFY 2021, which is the reason for CMO not issuing any new Indicator 13 findings of noncompliance in FFY 2020.  Of the six high schools, one demonstrated verified timely correction in FFY 2020, within the one-year timeframe from its FFY 2019 written finding of noncompliance.  The remaining five high schools that were issued FFY 2019 written findings of noncompliance demonstrated verified subsequent correction in FFY 2021.  The breakdown of the 44 individual instances of noncompliance in the written notification of noncompliance issued to the six high schools in FFY 2019 reported in the Correction of Findings of Noncompliance Identified in FFY 2019 section of Guam’s FFY 2020 APR Indicator 13, as follows:</w:t>
      </w:r>
      <w:r w:rsidRPr="00781112">
        <w:rPr>
          <w:rFonts w:cs="Arial"/>
          <w:color w:val="000000" w:themeColor="text1"/>
          <w:szCs w:val="16"/>
        </w:rPr>
        <w:br/>
      </w:r>
      <w:r w:rsidRPr="00781112">
        <w:rPr>
          <w:rFonts w:cs="Arial"/>
          <w:color w:val="000000" w:themeColor="text1"/>
          <w:szCs w:val="16"/>
        </w:rPr>
        <w:br/>
        <w:t xml:space="preserve">Verified Timely Correction: In March 2021, the CMO issued a verified timely correction of noncompliance notice to one high school identified as having a total of one Indicator 13 secondary transition noncompliance in FFY 2019. The notice indicated that the one high school was able to meet the secondary transition compliance requirement, consistent with OSEP Memo 09-02, within the one-year timeframe from the March 2020 written notification of finding of noncompliance. The CMO verified correction through a review of school data reports. The school data reports showed that the individual instance of noncompliance was corrected, and subsequent data (additional IEPs) met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13 secondary transition requirements at 100% compliance. This high school therefore demonstrated that it was correctly implementing Indicator 13 secondary transition requirements in the FFY 2020 reporting period.  In addition, the CMO verified through a review of school data reports that this one high school did not have any Indicator 13 noncompliance from the March 2021 verified correction notice through the end of the FFY 2020 reporting period.</w:t>
      </w:r>
      <w:r w:rsidRPr="00781112">
        <w:rPr>
          <w:rFonts w:cs="Arial"/>
          <w:color w:val="000000" w:themeColor="text1"/>
          <w:szCs w:val="16"/>
        </w:rPr>
        <w:br/>
      </w:r>
      <w:r w:rsidRPr="00781112">
        <w:rPr>
          <w:rFonts w:cs="Arial"/>
          <w:color w:val="000000" w:themeColor="text1"/>
          <w:szCs w:val="16"/>
        </w:rPr>
        <w:br/>
        <w:t xml:space="preserve">Verified Subsequent Correction: In August 2021 and January 2022, the CMO issued verified subsequent correction of noncompliance notices to the remaining five high schools identified as having a total of 43 Indicator 13 secondary transition noncompliance in FFY 2019: High School (HS) #1= 19 findings, HS #2 = 18 findings, and HS #3, #4, and #5 = Two findings each.  The notices indicated that the five high schools were able to meet the secondary transition compliance requirement, consistent with OSEP Memo 09-02, beyond the one-year timeframe from June 2020.  The CMO verified correction through a review of school data reports. The school data reports showed that the individual instances of noncompliance were corrected, and subsequent data (additional IEPs) met Indicator 13 secondary transition requirements at 100% compliance. These five high schools therefore demonstrated that they were correctly implementing Indicator 13 secondary transition requirements in the FFY 2021 reporting period.  </w:t>
      </w:r>
      <w:r w:rsidRPr="00781112">
        <w:rPr>
          <w:rFonts w:cs="Arial"/>
          <w:color w:val="000000" w:themeColor="text1"/>
          <w:szCs w:val="16"/>
        </w:rPr>
        <w:br/>
      </w:r>
      <w:r w:rsidRPr="00781112">
        <w:rPr>
          <w:rFonts w:cs="Arial"/>
          <w:color w:val="000000" w:themeColor="text1"/>
          <w:szCs w:val="16"/>
        </w:rPr>
        <w:br/>
        <w:t>In FFY 2020, these five high schools were still in the correction period for demonstrating 100% compliance with additional data, which is why CMO did not identify any new findings for the noncompliance data reported in FFY 2020 APR Indicator 13.</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A161A21" w14:textId="698D820A" w:rsidR="009A755E" w:rsidRPr="00781112" w:rsidRDefault="009A755E" w:rsidP="004369B2">
            <w:pPr>
              <w:jc w:val="center"/>
              <w:rPr>
                <w:rFonts w:cs="Arial"/>
                <w:color w:val="000000" w:themeColor="text1"/>
                <w:szCs w:val="16"/>
              </w:rPr>
            </w:pP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27</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27</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Findings of Noncompliance Not Yet Verified as Corrected</w:t>
      </w:r>
      <w:r w:rsidRPr="00781112">
        <w:rPr>
          <w:rFonts w:cs="Arial"/>
          <w:color w:val="000000" w:themeColor="text1"/>
          <w:szCs w:val="16"/>
        </w:rPr>
        <w:br/>
      </w:r>
      <w:r w:rsidRPr="00781112">
        <w:rPr>
          <w:rFonts w:cs="Arial"/>
          <w:color w:val="000000" w:themeColor="text1"/>
          <w:szCs w:val="16"/>
        </w:rPr>
        <w:br/>
        <w:t xml:space="preserve">In FFY 2018, the GDOE Compliance Monitoring Office (CMO) issued a written notification of noncompliance findings to one high school for not meeting </w:t>
      </w:r>
      <w:r w:rsidRPr="00781112">
        <w:rPr>
          <w:rFonts w:cs="Arial"/>
          <w:color w:val="000000" w:themeColor="text1"/>
          <w:szCs w:val="16"/>
        </w:rPr>
        <w:lastRenderedPageBreak/>
        <w:t xml:space="preserve">Indicator 13 secondary transition requirements. A total of 27 individual instances of noncompliance was identified in the written notification of noncompliance issued to the one high school. </w:t>
      </w:r>
      <w:r w:rsidRPr="00781112">
        <w:rPr>
          <w:rFonts w:cs="Arial"/>
          <w:color w:val="000000" w:themeColor="text1"/>
          <w:szCs w:val="16"/>
        </w:rPr>
        <w:br/>
      </w:r>
      <w:r w:rsidRPr="00781112">
        <w:rPr>
          <w:rFonts w:cs="Arial"/>
          <w:color w:val="000000" w:themeColor="text1"/>
          <w:szCs w:val="16"/>
        </w:rPr>
        <w:br/>
        <w:t xml:space="preserve">In the June 2020 “failure to correct” memorandum, the CMO acknowledged the correction of the 27 individual instances of noncompliance, which were the findings of noncompliance issued to the high school in FFY 2018. The CMO verified that the 27 individual instances were corrected through a review of the school data report. </w:t>
      </w:r>
      <w:r w:rsidRPr="00781112">
        <w:rPr>
          <w:rFonts w:cs="Arial"/>
          <w:color w:val="000000" w:themeColor="text1"/>
          <w:szCs w:val="16"/>
        </w:rPr>
        <w:br/>
      </w:r>
      <w:r w:rsidRPr="00781112">
        <w:rPr>
          <w:rFonts w:cs="Arial"/>
          <w:color w:val="000000" w:themeColor="text1"/>
          <w:szCs w:val="16"/>
        </w:rPr>
        <w:br/>
        <w:t xml:space="preserve">In December 2021, the CMO verified subsequent correction of noncompliance through a review of the school data report. The December 2021 verification memorandum indicated that the high school did not meet the verified correction of the noncompliance requirement based on the subsequent data reviewed not meeting 100% compliance. </w:t>
      </w:r>
      <w:r w:rsidRPr="00781112">
        <w:rPr>
          <w:rFonts w:cs="Arial"/>
          <w:color w:val="000000" w:themeColor="text1"/>
          <w:szCs w:val="16"/>
        </w:rPr>
        <w:br/>
      </w:r>
      <w:r w:rsidRPr="00781112">
        <w:rPr>
          <w:rFonts w:cs="Arial"/>
          <w:color w:val="000000" w:themeColor="text1"/>
          <w:szCs w:val="16"/>
        </w:rPr>
        <w:br/>
        <w:t>Actions taken if noncompliance not corrected:</w:t>
      </w:r>
      <w:r w:rsidRPr="00781112">
        <w:rPr>
          <w:rFonts w:cs="Arial"/>
          <w:color w:val="000000" w:themeColor="text1"/>
          <w:szCs w:val="16"/>
        </w:rPr>
        <w:br/>
      </w:r>
      <w:r w:rsidRPr="00781112">
        <w:rPr>
          <w:rFonts w:cs="Arial"/>
          <w:color w:val="000000" w:themeColor="text1"/>
          <w:szCs w:val="16"/>
        </w:rPr>
        <w:br/>
        <w:t>In March 2022, the CMO issued another “failure to correct” memorandum to the high school. As a result, actions taken to correct the noncompliance included:</w:t>
      </w:r>
      <w:r w:rsidRPr="00781112">
        <w:rPr>
          <w:rFonts w:cs="Arial"/>
          <w:color w:val="000000" w:themeColor="text1"/>
          <w:szCs w:val="16"/>
        </w:rPr>
        <w:br/>
        <w:t>•</w:t>
      </w:r>
      <w:r w:rsidRPr="00781112">
        <w:rPr>
          <w:rFonts w:cs="Arial"/>
          <w:color w:val="000000" w:themeColor="text1"/>
          <w:szCs w:val="16"/>
        </w:rPr>
        <w:tab/>
        <w:t xml:space="preserve">GDOE initiating progressive sanctions against the high school principal. The sanctions required the school to provide weekly updates on the status of all IEPs requiring the Indicator 13 secondary transition requirements; </w:t>
      </w:r>
      <w:r w:rsidRPr="00781112">
        <w:rPr>
          <w:rFonts w:cs="Arial"/>
          <w:color w:val="000000" w:themeColor="text1"/>
          <w:szCs w:val="16"/>
        </w:rPr>
        <w:br/>
        <w:t>•</w:t>
      </w:r>
      <w:r w:rsidRPr="00781112">
        <w:rPr>
          <w:rFonts w:cs="Arial"/>
          <w:color w:val="000000" w:themeColor="text1"/>
          <w:szCs w:val="16"/>
        </w:rPr>
        <w:tab/>
        <w:t xml:space="preserve">CMO reviewing the school data reports on a quarterly basis and providing written notification of the status of the school’s correction of noncompliance; </w:t>
      </w:r>
      <w:r w:rsidRPr="00781112">
        <w:rPr>
          <w:rFonts w:cs="Arial"/>
          <w:color w:val="000000" w:themeColor="text1"/>
          <w:szCs w:val="16"/>
        </w:rPr>
        <w:br/>
        <w:t>•</w:t>
      </w:r>
      <w:r w:rsidRPr="00781112">
        <w:rPr>
          <w:rFonts w:cs="Arial"/>
          <w:color w:val="000000" w:themeColor="text1"/>
          <w:szCs w:val="16"/>
        </w:rPr>
        <w:tab/>
        <w:t xml:space="preserve">Beginning school year 2022-2023, the high school principal reassigned the supervision of the school’s special education services to another vice principal and hired an additional consulting resource teacher or case manager to support the development and review of the IEPs; and </w:t>
      </w:r>
      <w:r w:rsidRPr="00781112">
        <w:rPr>
          <w:rFonts w:cs="Arial"/>
          <w:color w:val="000000" w:themeColor="text1"/>
          <w:szCs w:val="16"/>
        </w:rPr>
        <w:br/>
        <w:t>• Beginning school year 2022-2023, the Division assigned a special education coach to provide technical support in the school’s weekly reviews of IEPs for the required secondary transition requirements.</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Guam must demonstrate, in the FFY 2021 SPP/APR, that the remaining 43 findings identified in FFY </w:t>
      </w:r>
      <w:proofErr w:type="gramStart"/>
      <w:r w:rsidRPr="00781112">
        <w:rPr>
          <w:rFonts w:cs="Arial"/>
          <w:color w:val="000000" w:themeColor="text1"/>
          <w:szCs w:val="16"/>
        </w:rPr>
        <w:t>2019</w:t>
      </w:r>
      <w:proofErr w:type="gramEnd"/>
      <w:r w:rsidRPr="00781112">
        <w:rPr>
          <w:rFonts w:cs="Arial"/>
          <w:color w:val="000000" w:themeColor="text1"/>
          <w:szCs w:val="16"/>
        </w:rPr>
        <w:t xml:space="preserve"> and 27 findings identified in FFY 2018 were corrected. When reporting on the correction of noncompliance, Guam must report, in the FFY 2021 SPP/APR, that it has verified that it: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Guam must describe the specific actions that were taken to verify the correction.</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As described in the "Additional Information" section of Indicator 13 Data Section, Guam Part B described the verified timely and subsequent correction of noncompliance for the FFY 2019 findings, consistent with OSEP Memo 09-02. This includes the remaining 43 findings identified in FFY 2019 that were verified subsequent correction. In addition, the "Findings Not Yet Verified as Corrected" section of Indicator 13 Data Section includes an explanation of the 27 FFY 2018 findings issued to one high school that continues to remain not corrected as the subsequent data did not demonstrate 100% compliance for Indicator 13 secondary transition requirements.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B7490" w:rsidP="00212954">
      <w:pPr>
        <w:rPr>
          <w:rFonts w:cs="Arial"/>
          <w:color w:val="000000" w:themeColor="text1"/>
          <w:szCs w:val="16"/>
        </w:rPr>
      </w:pPr>
      <w:r w:rsidRPr="00781112">
        <w:rPr>
          <w:rFonts w:cs="Arial"/>
          <w:color w:val="000000" w:themeColor="text1"/>
          <w:szCs w:val="16"/>
        </w:rPr>
        <w:t>Guam did not demonstrate that it corrected the 27 findings of noncompliance identified in FFY 2018 because it did not report that it verified correction of those findings, consistent with OSEP Memo 09-02. Specifically, Guam did not report that it is correctly implementing the specific regulatory requirements (i.e., achieved 100% compliance) based on a review of updated data such as data subsequently collected through on-site monitoring or a State data system.</w:t>
      </w: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Guam reported less than 100% compliance for FFY 2021, Guam must report on the status of correction of noncompliance identified in FFY 2021 for this indicator. In addition, Guam must demonstrate, in the FFY 2022 SPP/APR, that the remaining 27 uncorrected findings of noncompliance identified in FFY 2018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Guam must report, in the FFY 2021 SPP/APR, that it has verified that, for each finding of noncompliance identified in FFY 2021 and each remaining finding identified in FFY 2018, Guam: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Guam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Guam did not identify any findings of noncompliance in FFY 2021, although its FFY 2021 data reflect less than 100% compliance, provide an explanation of why Guam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5"/>
    </w:p>
    <w:p w14:paraId="22761492" w14:textId="77777777" w:rsidR="005C50DB" w:rsidRPr="00781112" w:rsidRDefault="005C50DB" w:rsidP="00A018D4">
      <w:pPr>
        <w:rPr>
          <w:szCs w:val="20"/>
        </w:rPr>
      </w:pPr>
      <w:bookmarkStart w:id="7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7"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7"/>
    <w:p w14:paraId="3FE9961A" w14:textId="1EDBA086" w:rsidR="000301BA" w:rsidRPr="00781112" w:rsidRDefault="00172058" w:rsidP="00123D76">
      <w:pPr>
        <w:pStyle w:val="Heading2"/>
      </w:pPr>
      <w:r w:rsidRPr="00781112">
        <w:t>14 - Indicator Data</w:t>
      </w:r>
    </w:p>
    <w:bookmarkEnd w:id="7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10.53%</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23.19%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14.77%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10.53%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52.63%</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49.43%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64.77%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52.63%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53.95%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55.17%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68.12%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72.55%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65.91%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53.95%</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11.50%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12.00%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12.50%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13.00%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54.00%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55.00%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56.00%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57.00%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58.00%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55.00%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56.00%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60.00%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62.00%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xml:space="preserve">- Two Large stakeholder sessions were held to review all the Indicators for the FFY 2021 SPP/APR, One session was held virtually, while the other </w:t>
      </w:r>
      <w:r w:rsidRPr="00781112">
        <w:rPr>
          <w:rFonts w:cs="Arial"/>
          <w:color w:val="000000" w:themeColor="text1"/>
          <w:szCs w:val="16"/>
        </w:rPr>
        <w:lastRenderedPageBreak/>
        <w:t>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8" w:name="_Toc392159337"/>
    </w:p>
    <w:bookmarkEnd w:id="78"/>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68.97%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7</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10.53%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8.75%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43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52.63%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53.75%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53.95%</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For FFY 2021, Guam Part B did not meet the 11% target for 14A with its performance of 8.75%. This is a slippage of 1.78% from the 10.53% performance during FFY 2020. </w:t>
            </w:r>
            <w:r w:rsidRPr="00781112">
              <w:rPr>
                <w:rFonts w:cs="Arial"/>
                <w:color w:val="000000" w:themeColor="text1"/>
                <w:szCs w:val="16"/>
              </w:rPr>
              <w:br/>
            </w:r>
            <w:r w:rsidRPr="00781112">
              <w:rPr>
                <w:rFonts w:cs="Arial"/>
                <w:color w:val="000000" w:themeColor="text1"/>
                <w:szCs w:val="16"/>
              </w:rPr>
              <w:br/>
              <w:t xml:space="preserve">Upon review of the data for the Leavers who were "Not Engaged," respondents reported it was difficult for them to attend school because they were either caring for family members who were ill or were having a difficult time overall one year after graduating from high school. Other Leavers responded by saying COVID-19 still impacted them as a reason for not being engaged after graduating from high school.  Some replied by saying it was difficult for them to find a job or they were not ready to seek higher education.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69.09%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68.97%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Guam Part B's response rate for Indicator 14 for FFY 2021 is 68.97%. This means that of the 116 students who left school last year, post school outcome information was not available for 31.03% (n=36) of the Leavers who exited the Guam Department of Education. This FFY 2021 response rate is a slight decrease (0.12%) from last year's response rate of 69.09% (76/110) for Indicator 14.</w:t>
      </w:r>
      <w:r w:rsidRPr="00B551F2">
        <w:br/>
      </w:r>
      <w:r w:rsidRPr="00B551F2">
        <w:br/>
        <w:t xml:space="preserve">Initially, surveys were sent out through the mail using the home addresses on file. Personnel from the Division of Special Education's Transition Office found it quite challenging as many of the surveys mailed out came back with a "Return to Sender" message. Other attempts to contact the Leavers </w:t>
      </w:r>
      <w:r w:rsidRPr="00B551F2">
        <w:lastRenderedPageBreak/>
        <w:t xml:space="preserve">included contacting them through phone or through social media such as </w:t>
      </w:r>
      <w:proofErr w:type="spellStart"/>
      <w:r w:rsidRPr="00B551F2">
        <w:t>FaceBook</w:t>
      </w:r>
      <w:proofErr w:type="spellEnd"/>
      <w:r w:rsidRPr="00B551F2">
        <w:t xml:space="preserve"> and </w:t>
      </w:r>
      <w:proofErr w:type="spellStart"/>
      <w:r w:rsidRPr="00B551F2">
        <w:t>InstaGram</w:t>
      </w:r>
      <w:proofErr w:type="spellEnd"/>
      <w:r w:rsidRPr="00B551F2">
        <w:t>. Many of the phone numbers on record were either disconnected or no longer in service; and although contacts were made with some Leavers via social media, the Leavers did not respond to requests made for them to contact Division personnel.</w:t>
      </w:r>
      <w:r w:rsidRPr="00B551F2">
        <w:br/>
      </w:r>
      <w:r w:rsidRPr="00B551F2">
        <w:br/>
        <w:t>Guam Part B will continue its efforts to increase the response rate for Indicator 14. Additional steps to increase the response rate will include follow-up activities with the Leavers and/or their families to ensure that the respondents are representative of Guam's population:</w:t>
      </w:r>
      <w:r w:rsidRPr="00B551F2">
        <w:br/>
      </w:r>
      <w:r w:rsidRPr="00B551F2">
        <w:br/>
        <w:t>- Before leaving or graduating from school, work with Leavers to get updated demographics such as phone numbers or email addresses;</w:t>
      </w:r>
      <w:r w:rsidRPr="00B551F2">
        <w:br/>
        <w:t>- At least twice during the school year, ensure the demographics are updated before students exit high school; and</w:t>
      </w:r>
      <w:r w:rsidRPr="00B551F2">
        <w:br/>
        <w:t xml:space="preserve">- Continue alternative social media methods, such as </w:t>
      </w:r>
      <w:proofErr w:type="spellStart"/>
      <w:r w:rsidRPr="00B551F2">
        <w:t>FaceBook</w:t>
      </w:r>
      <w:proofErr w:type="spellEnd"/>
      <w:r w:rsidRPr="00B551F2">
        <w:t xml:space="preserve"> and </w:t>
      </w:r>
      <w:proofErr w:type="spellStart"/>
      <w:r w:rsidRPr="00B551F2">
        <w:t>InstaGram</w:t>
      </w:r>
      <w:proofErr w:type="spellEnd"/>
      <w:r w:rsidRPr="00B551F2">
        <w:t>.</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Guam Part B used the NTACT Response Calculator to calculate representativeness of the respondent group of the characteristics of: (a) disability type; (b) ethnicity; (c) gender; and (d) exit status (e.g., dropout) to determine whether the youth who responded to the interviews were similar to or different from the total population of youth with an IEP who exited school in 2020-2021. According to the NTACT Response Calculator, differences between the Respondent Group and the Target Leaver Group of plus/minus 3% are important. Negative differences indicate an under-representativeness of the group and positive differences indicate over-representativeness. In the Response Calculator, </w:t>
      </w:r>
      <w:proofErr w:type="gramStart"/>
      <w:r w:rsidRPr="00B551F2">
        <w:t>the color red</w:t>
      </w:r>
      <w:proofErr w:type="gramEnd"/>
      <w:r w:rsidRPr="00B551F2">
        <w:t xml:space="preserve"> is used to indicate a difference exceeding a plus/minus 3% interval.</w:t>
      </w:r>
      <w:r w:rsidRPr="00B551F2">
        <w:br/>
      </w:r>
      <w:r w:rsidRPr="00B551F2">
        <w:br/>
        <w:t>For FFY 2021, there were a total number of 116 Leavers. Of the 116 Leavers, 80 responded to the post-school outcomes survey. In reviewing the race/ethnicity of the total Leaver population, 16.38% (19/116) represented the Asian population and 81.90% (95/116) represented the Native Hawaiian or Pacific Islander population. Upon review of the respondents, 16.25% (13/80) represented the respondents who were of Asian descent, while 81.25% (65/80) represented the respondents who were of Native Hawaiian or Pacific Islander descent. Using the plus/minus 3% interval when determining the over-representativeness or under-representativeness for race/ethnicity, there does not appear to be any over-representativeness or under-representativeness when analyzing the race/ethnicity data for the respondents and non-respondents for the Leavers who fall under Asian or Native Hawaiian or Pacific Islander categories. The race/ethnicity demographic data for youth who responded to the post-school outcomes survey and who are no longer in secondary school and had IEPs in effect at the time they left school are representative of this population.</w:t>
      </w:r>
      <w:r w:rsidRPr="00B551F2">
        <w:br/>
      </w:r>
      <w:r w:rsidRPr="00B551F2">
        <w:br/>
        <w:t xml:space="preserve">Additionally, for FFY 2021, Guam reports that its respondents are not representative of the 2020-2021 leaver population based on data reported in the NTACT Response Calculator; specifically, the respondents were under-represented in the specific learning disability category, which was different from the FFY 2020 data which showed under-representativeness in the emotional disability, intellectual disability, and all other disability categories. </w:t>
      </w:r>
      <w:r w:rsidRPr="00B551F2">
        <w:br/>
      </w:r>
      <w:r w:rsidRPr="00B551F2">
        <w:br/>
        <w:t xml:space="preserve">The NTACT calculator revealed 60% of the respondent population represented individuals with a specific learning disability. If the entire SLD leavers responded to the post-school outcomes survey, the total SLD population would have represented 63.79% of the total Leaver population; hence the under-representativeness of -3.79% of leavers who have a specific learning disability. The other disability categories of emotional disabilities, intellectual disabilities, and all other disabilities were also reviewed. The NTACT Calculator showed no over-representativeness or under-representativeness in these disability categories.   </w:t>
      </w:r>
      <w:r w:rsidRPr="00B551F2">
        <w:br/>
      </w:r>
      <w:r w:rsidRPr="00B551F2">
        <w:br/>
        <w:t xml:space="preserve">Furthermore, there was no over-representation or under-representation in any of the other categories such as gender and or status of exit (graduated with a high school diploma or dropped out) based on the NTACT Response Calculator. </w:t>
      </w:r>
      <w:r w:rsidRPr="00B551F2">
        <w:br/>
      </w:r>
      <w:r w:rsidRPr="00B551F2">
        <w:br/>
        <w:t xml:space="preserve">The steps Guam Part B will take to reduce any identified bias and to promote responses from a broad cross section of youth who are no longer in secondary school and had IEPs in effect at the same time they left school continue to be through the updates of demographics before students leave high school and through the use of social media such as </w:t>
      </w:r>
      <w:proofErr w:type="spellStart"/>
      <w:r w:rsidRPr="00B551F2">
        <w:t>FaceBook</w:t>
      </w:r>
      <w:proofErr w:type="spellEnd"/>
      <w:r w:rsidRPr="00B551F2">
        <w:t xml:space="preserve"> and </w:t>
      </w:r>
      <w:proofErr w:type="spellStart"/>
      <w:r w:rsidRPr="00B551F2">
        <w:t>InstaGram</w:t>
      </w:r>
      <w:proofErr w:type="spellEnd"/>
      <w:r w:rsidRPr="00B551F2">
        <w:t>.</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Guam Part B used the NTACT Response Calculator to calculate representativeness of the respondent group of the characteristics of: (a) disability type; (b) ethnicity; (c) gender; and (d) exit status (e.g., dropout) to determine whether the youth who responded to the interviews were similar to or different from the total population of youth with an IEP who exited school in 2019-2020. According to the NTACT Response Calculator, differences between the Respondent Group and the Target Leaver Group of plus/minus 3% are important. Negative differences indicate an under-representativeness of the group and positive differences indicate over-representativeness. In the Response Calculator, </w:t>
      </w:r>
      <w:proofErr w:type="gramStart"/>
      <w:r w:rsidRPr="008D51F2">
        <w:t>the color red</w:t>
      </w:r>
      <w:proofErr w:type="gramEnd"/>
      <w:r w:rsidRPr="008D51F2">
        <w:t xml:space="preserve"> is used to indicate a difference exceeding a plus/minus 3% interval.</w:t>
      </w:r>
      <w:r w:rsidRPr="008D51F2">
        <w:br/>
      </w:r>
      <w:r w:rsidRPr="008D51F2">
        <w:br/>
        <w:t>For FFY 2021, there were a total number of 116 Leavers. Of the 116 Leavers, 80 responded to the post-school outcomes survey. In reviewing the race/ethnicity of the total Leaver population, 16.38% (19/116) represented the Asian population and 81.90% (95/116) represented the Native Hawaiian or Pacific Islander population. Upon review of the respondents, 16.25% (13/80) represented the respondents who were of Asian descent, while 81.25% (65/80) represented the respondents who were Native Hawaiian or Pacific Islander. Using the plus/minus 3% interval when determining the over-representativeness or under-representativeness for race/ethnicity, there does not appear to be any over-representativeness or under-representativeness when analyzing the race/ethnicity data for the respondents and non-respondents for the Leavers who fall under Asian or Native Hawaiian or Pacific Islander categories. The race/ethnicity demographic data for youth who responded to the post-school outcomes survey and who are no longer in secondary school and had IEPs in effect at the time they left school are representative of this population.</w:t>
      </w:r>
      <w:r w:rsidRPr="008D51F2">
        <w:br/>
      </w:r>
      <w:r w:rsidRPr="008D51F2">
        <w:br/>
      </w:r>
      <w:r w:rsidRPr="008D51F2">
        <w:br/>
        <w:t xml:space="preserve">Stakeholders agreed to review data representing the disability categories of the Leaver population based on the results of the NTACT Response Calculator. For FFY 2021, the NTACT Response Calculator revealed the respondents were under-represented in the specific learning disability category by -3.79%. The NTACT calculator revealed 60% of the respondent population represented individuals with a specific learning disability. If the entire SLD population responded to the post-school outcomes survey, the total SLD population would have represented 63.79% of the total Leaver population. The other disability categories such as emotional disabilities, intellectual disabilities, and all other disabilities were also reviewed. The NTACT Calculator showed no over-representativeness or under-representativeness in these disability categories.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lastRenderedPageBreak/>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Guam Part B’s response rate for Indicator 14 for FFY 2021 was 68.97%. This means that of the 116 students who left school last year, post-school outcome information was not available for 31.03% (n = 36) of the Leavers who exited the Guam Department of Education. This FFY 2021 response rate is a slight decrease of 0.13% from last year’s response rate of 69.10 % rate for Indicator 14. </w:t>
      </w:r>
      <w:r w:rsidRPr="008D51F2">
        <w:rPr>
          <w:b w:val="0"/>
        </w:rPr>
        <w:br/>
      </w:r>
      <w:r w:rsidRPr="008D51F2">
        <w:rPr>
          <w:b w:val="0"/>
        </w:rPr>
        <w:br/>
        <w:t xml:space="preserve">As previously reported, post-school outcomes surveys were sent out through the mail using the home addresses on file. Many of the surveys mailed out came back with a “Return to Sender” message. Other attempts to contact the Leavers included contacting them through phone or social media such as Facebook and Instagram. As in previous years, many of the phone numbers on record were either disconnected or no longer in service. Although contacts were made with some Leavers via the social media, the Leavers did not respond to requests made for them to contact Division personnel. </w:t>
      </w:r>
      <w:r w:rsidRPr="008D51F2">
        <w:rPr>
          <w:b w:val="0"/>
        </w:rPr>
        <w:br/>
      </w:r>
      <w:r w:rsidRPr="008D51F2">
        <w:rPr>
          <w:b w:val="0"/>
        </w:rPr>
        <w:br/>
        <w:t>Guam Part B will continue its efforts to increase the response rate for Indicator 14, with particular attention to the Leavers that fall under the specific learning disability category. Additional steps to increase the response rate will include follow-up activities with the Leavers and/or their families and to ensure that the respondents are representative of Guam’s population:</w:t>
      </w:r>
      <w:r w:rsidRPr="008D51F2">
        <w:rPr>
          <w:b w:val="0"/>
        </w:rPr>
        <w:br/>
      </w:r>
      <w:r w:rsidRPr="008D51F2">
        <w:rPr>
          <w:b w:val="0"/>
        </w:rPr>
        <w:br/>
        <w:t>- Before leaving or graduating from school, the demographics are updated.</w:t>
      </w:r>
      <w:r w:rsidRPr="008D51F2">
        <w:rPr>
          <w:b w:val="0"/>
        </w:rPr>
        <w:br/>
        <w:t>- Ensure demographics are updated periodically within the year before leaving high school.</w:t>
      </w:r>
      <w:r w:rsidRPr="008D51F2">
        <w:rPr>
          <w:b w:val="0"/>
        </w:rPr>
        <w:br/>
        <w:t>- Continue alternative social media methods, such as Facebook and Instagram</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As reported in previous sections, Guam Part B used the NTACT Response Calculator to calculate representativeness of the respondent group on the characteristics of: (a) disability type, (b) ethnicity, (c) gender, and (d) exit status (e.g., dropout) to determine whether the youth who responded to the interviews were similar to, or different from, the total population of youth with an IEP who exited school in 2020-2021. </w:t>
      </w:r>
      <w:r w:rsidRPr="008D51F2">
        <w:rPr>
          <w:b w:val="0"/>
        </w:rPr>
        <w:br/>
      </w:r>
      <w:r w:rsidRPr="008D51F2">
        <w:rPr>
          <w:b w:val="0"/>
        </w:rPr>
        <w:br/>
        <w:t xml:space="preserve">According to the NTACT Response Calculator, differences between the Respondent Group and the Target Leaver Group of ±3% are important. Negative differences indicate an under-representativeness of the group and positive differences indicate over-representativeness. </w:t>
      </w:r>
      <w:r w:rsidRPr="008D51F2">
        <w:rPr>
          <w:b w:val="0"/>
        </w:rPr>
        <w:br/>
      </w:r>
      <w:r w:rsidRPr="008D51F2">
        <w:rPr>
          <w:b w:val="0"/>
        </w:rPr>
        <w:br/>
        <w:t>In the Response Calculator, red is used to indicate a difference exceeding a ±3% interval.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9" w:name="_Toc382082390"/>
      <w:bookmarkStart w:id="80"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Guam must report whether the FFY 2021 data are representative of the demographics of youth who are no longer in secondary school and had IEPs in effect at the time they left school, and, if not, the actions Guam is taking to address this issue. Guam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For FFY 2021, Guam reported on the representativeness of the demographics of youth who are no longer in secondary school and had IEPs in effect at the time they left school.  Guam also reported on the actions taken to address the issue if the demographics were not representative of the youth who are no longer in secondary school and had IEPs in effect by the time they left school.</w:t>
      </w:r>
      <w:r w:rsidRPr="00781112">
        <w:rPr>
          <w:rFonts w:cs="Arial"/>
          <w:color w:val="000000" w:themeColor="text1"/>
          <w:szCs w:val="16"/>
        </w:rPr>
        <w:br/>
      </w:r>
      <w:r w:rsidRPr="00781112">
        <w:rPr>
          <w:rFonts w:cs="Arial"/>
          <w:color w:val="000000" w:themeColor="text1"/>
          <w:szCs w:val="16"/>
        </w:rPr>
        <w:br/>
        <w:t>Guam also included it's analysis of the extent to which the response data are representative of the demographics of youth who are no longer in secondary school and had IEPs in effect at the time they left school.</w:t>
      </w:r>
      <w:r w:rsidRPr="00781112">
        <w:rPr>
          <w:rFonts w:cs="Arial"/>
          <w:color w:val="000000" w:themeColor="text1"/>
          <w:szCs w:val="16"/>
        </w:rPr>
        <w:br/>
      </w:r>
      <w:r w:rsidRPr="00781112">
        <w:rPr>
          <w:rFonts w:cs="Arial"/>
          <w:color w:val="000000" w:themeColor="text1"/>
          <w:szCs w:val="16"/>
        </w:rPr>
        <w:br/>
        <w:t>This information is reported in the section labeled: 14 - Indicator Data.</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Guam must report whether the FFY 2022 data are representative of the demographics of youth who are no longer in secondary school and had IEPs in effect at the time they left school, and, if not, the actions Guam is taking to address this issue. Guam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9"/>
      <w:bookmarkEnd w:id="80"/>
    </w:p>
    <w:p w14:paraId="7EA31497" w14:textId="77777777" w:rsidR="005B0B58" w:rsidRPr="00781112" w:rsidRDefault="005B0B58" w:rsidP="00A018D4">
      <w:pPr>
        <w:rPr>
          <w:color w:val="000000" w:themeColor="text1"/>
          <w:szCs w:val="20"/>
        </w:rPr>
      </w:pPr>
      <w:bookmarkStart w:id="81" w:name="_Toc381786822"/>
      <w:bookmarkStart w:id="82" w:name="_Toc382731911"/>
      <w:bookmarkStart w:id="83" w:name="_Toc382731912"/>
      <w:bookmarkStart w:id="84" w:name="_Toc392159340"/>
      <w:bookmarkEnd w:id="81"/>
      <w:bookmarkEnd w:id="8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3"/>
    <w:bookmarkEnd w:id="8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5" w:name="_Toc382731913"/>
      <w:bookmarkStart w:id="86"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t xml:space="preserve">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w:t>
      </w:r>
      <w:r w:rsidRPr="00781112">
        <w:rPr>
          <w:rFonts w:cs="Arial"/>
          <w:color w:val="000000" w:themeColor="text1"/>
          <w:szCs w:val="16"/>
        </w:rPr>
        <w:lastRenderedPageBreak/>
        <w:t>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43B1695A" w14:textId="2970A905" w:rsidR="000A2C83" w:rsidRPr="00781112" w:rsidRDefault="000A2C83" w:rsidP="000A2C83">
      <w:pPr>
        <w:rPr>
          <w:rFonts w:cs="Arial"/>
          <w:color w:val="000000" w:themeColor="text1"/>
          <w:szCs w:val="16"/>
        </w:rPr>
      </w:pPr>
    </w:p>
    <w:bookmarkEnd w:id="85"/>
    <w:bookmarkEnd w:id="86"/>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33.33%</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4144F7AF" w14:textId="77777777" w:rsidR="009B3E7D" w:rsidRDefault="009B3E7D">
      <w:pPr>
        <w:spacing w:before="0" w:after="200" w:line="276" w:lineRule="auto"/>
        <w:rPr>
          <w:b/>
          <w:color w:val="000000" w:themeColor="text1"/>
        </w:rPr>
      </w:pPr>
      <w:r>
        <w:rPr>
          <w:b/>
          <w:color w:val="000000" w:themeColor="text1"/>
        </w:rPr>
        <w:br w:type="page"/>
      </w:r>
    </w:p>
    <w:p w14:paraId="59EF63A0" w14:textId="0DDEBD2F" w:rsidR="00127006" w:rsidRPr="009B3E7D"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As reported in the Guam Part B 618 Data Table 7: Report of Dispute Resolution Under Part B, of the Individuals with Disabilities Education Act, for reporting year 2021-2022, there was one (1) resolution session resolved through a settlement agreement during FFY 2021. </w:t>
      </w:r>
      <w:r w:rsidRPr="00781112">
        <w:rPr>
          <w:rFonts w:cs="Arial"/>
          <w:color w:val="000000" w:themeColor="text1"/>
          <w:szCs w:val="16"/>
        </w:rPr>
        <w:br/>
      </w:r>
      <w:r w:rsidRPr="00781112">
        <w:rPr>
          <w:rFonts w:cs="Arial"/>
          <w:color w:val="000000" w:themeColor="text1"/>
          <w:szCs w:val="16"/>
        </w:rPr>
        <w:br/>
        <w:t xml:space="preserve">The resolution session was held and resolved </w:t>
      </w:r>
      <w:proofErr w:type="spellStart"/>
      <w:r w:rsidRPr="00781112">
        <w:rPr>
          <w:rFonts w:cs="Arial"/>
          <w:color w:val="000000" w:themeColor="text1"/>
          <w:szCs w:val="16"/>
        </w:rPr>
        <w:t>though</w:t>
      </w:r>
      <w:proofErr w:type="spellEnd"/>
      <w:r w:rsidRPr="00781112">
        <w:rPr>
          <w:rFonts w:cs="Arial"/>
          <w:color w:val="000000" w:themeColor="text1"/>
          <w:szCs w:val="16"/>
        </w:rPr>
        <w:t xml:space="preserve"> a written settlement agreement. </w:t>
      </w:r>
      <w:r w:rsidRPr="00781112">
        <w:rPr>
          <w:rFonts w:cs="Arial"/>
          <w:color w:val="000000" w:themeColor="text1"/>
          <w:szCs w:val="16"/>
        </w:rPr>
        <w:br/>
      </w:r>
      <w:r w:rsidRPr="00781112">
        <w:rPr>
          <w:rFonts w:cs="Arial"/>
          <w:color w:val="000000" w:themeColor="text1"/>
          <w:szCs w:val="16"/>
        </w:rPr>
        <w:br/>
        <w:t xml:space="preserve">Additionally, per OSEP’s instructions, states are not required to establish baseline or targets if the number of resolution sessions is less than 10. Guam Part B, therefore, has not established a baseline or determined targets for Indicator 15.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Guam reported fewer than ten resolution sessions held in FFY 2021. Guam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7" w:name="_Toc382731916"/>
      <w:bookmarkStart w:id="8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7"/>
    <w:bookmarkEnd w:id="8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rFonts w:cs="Arial"/>
          <w:color w:val="000000" w:themeColor="text1"/>
          <w:szCs w:val="16"/>
        </w:rPr>
        <w:br/>
      </w:r>
      <w:r w:rsidRPr="00781112">
        <w:rPr>
          <w:rFonts w:cs="Arial"/>
          <w:color w:val="000000" w:themeColor="text1"/>
          <w:szCs w:val="16"/>
        </w:rPr>
        <w:br/>
        <w:t>- Flyers and emails were sent out to parents and all interested stakeholders announcing focus group forum sessions and large stakeholder sessions.</w:t>
      </w:r>
      <w:r w:rsidRPr="00781112">
        <w:rPr>
          <w:rFonts w:cs="Arial"/>
          <w:color w:val="000000" w:themeColor="text1"/>
          <w:szCs w:val="16"/>
        </w:rPr>
        <w:br/>
      </w:r>
      <w:r w:rsidRPr="00781112">
        <w:rPr>
          <w:rFonts w:cs="Arial"/>
          <w:color w:val="000000" w:themeColor="text1"/>
          <w:szCs w:val="16"/>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rFonts w:cs="Arial"/>
          <w:color w:val="000000" w:themeColor="text1"/>
          <w:szCs w:val="16"/>
        </w:rPr>
        <w:br/>
      </w:r>
      <w:r w:rsidRPr="00781112">
        <w:rPr>
          <w:rFonts w:cs="Arial"/>
          <w:color w:val="000000" w:themeColor="text1"/>
          <w:szCs w:val="16"/>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rFonts w:cs="Arial"/>
          <w:color w:val="000000" w:themeColor="text1"/>
          <w:szCs w:val="16"/>
        </w:rPr>
        <w:br/>
      </w:r>
      <w:r w:rsidRPr="00781112">
        <w:rPr>
          <w:rFonts w:cs="Arial"/>
          <w:color w:val="000000" w:themeColor="text1"/>
          <w:szCs w:val="16"/>
        </w:rPr>
        <w:br/>
        <w:t>- Electronic and hard copies of the SPP/APR and PPT presentation were provided to all participants.</w:t>
      </w:r>
      <w:r w:rsidRPr="00781112">
        <w:rPr>
          <w:rFonts w:cs="Arial"/>
          <w:color w:val="000000" w:themeColor="text1"/>
          <w:szCs w:val="16"/>
        </w:rPr>
        <w:br/>
      </w:r>
      <w:r w:rsidRPr="00781112">
        <w:rPr>
          <w:rFonts w:cs="Arial"/>
          <w:color w:val="000000" w:themeColor="text1"/>
          <w:szCs w:val="16"/>
        </w:rPr>
        <w:br/>
        <w:t>- Survey questions were posed to parents during the parent forum sessions conducted virtually and in-person for Indicator 8.</w:t>
      </w:r>
      <w:r w:rsidRPr="00781112">
        <w:rPr>
          <w:rFonts w:cs="Arial"/>
          <w:color w:val="000000" w:themeColor="text1"/>
          <w:szCs w:val="16"/>
        </w:rPr>
        <w:br/>
      </w:r>
      <w:r w:rsidRPr="00781112">
        <w:rPr>
          <w:rFonts w:cs="Arial"/>
          <w:color w:val="000000" w:themeColor="text1"/>
          <w:szCs w:val="16"/>
        </w:rPr>
        <w:br/>
        <w:t xml:space="preserve">- Surveys were sent out to youth with IEPs who exited the system in SY2020-2021, along with follow-up phone calls and contacts through social media such as </w:t>
      </w:r>
      <w:proofErr w:type="spellStart"/>
      <w:r w:rsidRPr="00781112">
        <w:rPr>
          <w:rFonts w:cs="Arial"/>
          <w:color w:val="000000" w:themeColor="text1"/>
          <w:szCs w:val="16"/>
        </w:rPr>
        <w:t>FaceBook</w:t>
      </w:r>
      <w:proofErr w:type="spellEnd"/>
      <w:r w:rsidRPr="00781112">
        <w:rPr>
          <w:rFonts w:cs="Arial"/>
          <w:color w:val="000000" w:themeColor="text1"/>
          <w:szCs w:val="16"/>
        </w:rPr>
        <w:t xml:space="preserve"> and </w:t>
      </w:r>
      <w:proofErr w:type="spellStart"/>
      <w:r w:rsidRPr="00781112">
        <w:rPr>
          <w:rFonts w:cs="Arial"/>
          <w:color w:val="000000" w:themeColor="text1"/>
          <w:szCs w:val="16"/>
        </w:rPr>
        <w:t>InstaGram</w:t>
      </w:r>
      <w:proofErr w:type="spellEnd"/>
      <w:r w:rsidRPr="00781112">
        <w:rPr>
          <w:rFonts w:cs="Arial"/>
          <w:color w:val="000000" w:themeColor="text1"/>
          <w:szCs w:val="16"/>
        </w:rPr>
        <w:t xml:space="preserve"> for Indicator 14.</w:t>
      </w:r>
      <w:r w:rsidRPr="00781112">
        <w:rPr>
          <w:rFonts w:cs="Arial"/>
          <w:color w:val="000000" w:themeColor="text1"/>
          <w:szCs w:val="16"/>
        </w:rPr>
        <w:br/>
      </w:r>
      <w:r w:rsidRPr="00781112">
        <w:rPr>
          <w:rFonts w:cs="Arial"/>
          <w:color w:val="000000" w:themeColor="text1"/>
          <w:szCs w:val="16"/>
        </w:rPr>
        <w:br/>
        <w:t>- Phone call surveys were conducted with parents of children with disabilities enrolled in the four SSIP schools.</w:t>
      </w:r>
      <w:r w:rsidRPr="00781112">
        <w:rPr>
          <w:rFonts w:cs="Arial"/>
          <w:color w:val="000000" w:themeColor="text1"/>
          <w:szCs w:val="16"/>
        </w:rPr>
        <w:br/>
      </w:r>
      <w:r w:rsidRPr="00781112">
        <w:rPr>
          <w:rFonts w:cs="Arial"/>
          <w:color w:val="000000" w:themeColor="text1"/>
          <w:szCs w:val="16"/>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rFonts w:cs="Arial"/>
          <w:color w:val="000000" w:themeColor="text1"/>
          <w:szCs w:val="16"/>
        </w:rPr>
        <w:br/>
      </w:r>
      <w:r w:rsidRPr="00781112">
        <w:rPr>
          <w:rFonts w:cs="Arial"/>
          <w:color w:val="000000" w:themeColor="text1"/>
          <w:szCs w:val="16"/>
        </w:rPr>
        <w:br/>
        <w:t>Additional information provided below include the dates when sessions were conducted:</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rFonts w:cs="Arial"/>
          <w:color w:val="000000" w:themeColor="text1"/>
          <w:szCs w:val="16"/>
        </w:rPr>
        <w:br/>
      </w:r>
      <w:r w:rsidRPr="00781112">
        <w:rPr>
          <w:rFonts w:cs="Arial"/>
          <w:color w:val="000000" w:themeColor="text1"/>
          <w:szCs w:val="16"/>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rFonts w:cs="Arial"/>
          <w:color w:val="000000" w:themeColor="text1"/>
          <w:szCs w:val="16"/>
        </w:rPr>
        <w:br/>
      </w:r>
      <w:r w:rsidRPr="00781112">
        <w:rPr>
          <w:rFonts w:cs="Arial"/>
          <w:color w:val="000000" w:themeColor="text1"/>
          <w:szCs w:val="16"/>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rFonts w:cs="Arial"/>
          <w:color w:val="000000" w:themeColor="text1"/>
          <w:szCs w:val="16"/>
        </w:rPr>
        <w:br/>
      </w:r>
      <w:r w:rsidRPr="00781112">
        <w:rPr>
          <w:rFonts w:cs="Arial"/>
          <w:color w:val="000000" w:themeColor="text1"/>
          <w:szCs w:val="16"/>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rFonts w:cs="Arial"/>
          <w:color w:val="000000" w:themeColor="text1"/>
          <w:szCs w:val="16"/>
        </w:rPr>
        <w:br/>
      </w:r>
      <w:r w:rsidRPr="00781112">
        <w:rPr>
          <w:rFonts w:cs="Arial"/>
          <w:color w:val="000000" w:themeColor="text1"/>
          <w:szCs w:val="16"/>
        </w:rPr>
        <w:br/>
        <w:t xml:space="preserve">December 5, 2022: A focus group session was held with Division personnel comprised of SPED Coaches whose task is to provide technical assistance, </w:t>
      </w:r>
      <w:proofErr w:type="gramStart"/>
      <w:r w:rsidRPr="00781112">
        <w:rPr>
          <w:rFonts w:cs="Arial"/>
          <w:color w:val="000000" w:themeColor="text1"/>
          <w:szCs w:val="16"/>
        </w:rPr>
        <w:t>training</w:t>
      </w:r>
      <w:proofErr w:type="gramEnd"/>
      <w:r w:rsidRPr="00781112">
        <w:rPr>
          <w:rFonts w:cs="Arial"/>
          <w:color w:val="000000" w:themeColor="text1"/>
          <w:szCs w:val="16"/>
        </w:rPr>
        <w:t xml:space="preserve"> and support to school personnel. Indicators 1, 2, 3, 4, 5, 11, 13 and 14 were presented during this session. A discussion ensued referencing possible areas of improvement, especially for Indicators 5, 11, 13 and 14.</w:t>
      </w:r>
      <w:r w:rsidRPr="00781112">
        <w:rPr>
          <w:rFonts w:cs="Arial"/>
          <w:color w:val="000000" w:themeColor="text1"/>
          <w:szCs w:val="16"/>
        </w:rPr>
        <w:br/>
      </w:r>
      <w:r w:rsidRPr="00781112">
        <w:rPr>
          <w:rFonts w:cs="Arial"/>
          <w:color w:val="000000" w:themeColor="text1"/>
          <w:szCs w:val="16"/>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rFonts w:cs="Arial"/>
          <w:color w:val="000000" w:themeColor="text1"/>
          <w:szCs w:val="16"/>
        </w:rPr>
        <w:br/>
      </w:r>
      <w:r w:rsidRPr="00781112">
        <w:rPr>
          <w:rFonts w:cs="Arial"/>
          <w:color w:val="000000" w:themeColor="text1"/>
          <w:szCs w:val="16"/>
        </w:rPr>
        <w:br/>
        <w:t xml:space="preserve">January 18 &amp; 28, 2023: The full SPP/APR for FFY 2021 was presented to stakeholders on both these dates. January 18, </w:t>
      </w:r>
      <w:proofErr w:type="gramStart"/>
      <w:r w:rsidRPr="00781112">
        <w:rPr>
          <w:rFonts w:cs="Arial"/>
          <w:color w:val="000000" w:themeColor="text1"/>
          <w:szCs w:val="16"/>
        </w:rPr>
        <w:t>2023</w:t>
      </w:r>
      <w:proofErr w:type="gramEnd"/>
      <w:r w:rsidRPr="00781112">
        <w:rPr>
          <w:rFonts w:cs="Arial"/>
          <w:color w:val="000000" w:themeColor="text1"/>
          <w:szCs w:val="16"/>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rFonts w:cs="Arial"/>
          <w:color w:val="000000" w:themeColor="text1"/>
          <w:szCs w:val="16"/>
        </w:rPr>
        <w:t>school teachers</w:t>
      </w:r>
      <w:proofErr w:type="gramEnd"/>
      <w:r w:rsidRPr="00781112">
        <w:rPr>
          <w:rFonts w:cs="Arial"/>
          <w:color w:val="000000" w:themeColor="text1"/>
          <w:szCs w:val="16"/>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rFonts w:cs="Arial"/>
          <w:color w:val="000000" w:themeColor="text1"/>
          <w:szCs w:val="16"/>
        </w:rPr>
        <w:br/>
      </w:r>
      <w:r w:rsidRPr="00781112">
        <w:rPr>
          <w:rFonts w:cs="Arial"/>
          <w:color w:val="000000" w:themeColor="text1"/>
          <w:szCs w:val="16"/>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rFonts w:cs="Arial"/>
          <w:color w:val="000000" w:themeColor="text1"/>
          <w:szCs w:val="16"/>
        </w:rPr>
        <w:br/>
      </w:r>
      <w:r w:rsidRPr="00781112">
        <w:rPr>
          <w:rFonts w:cs="Arial"/>
          <w:color w:val="000000" w:themeColor="text1"/>
          <w:szCs w:val="16"/>
        </w:rPr>
        <w:br/>
        <w:t xml:space="preserve">For Indicator 17 – SSIP: Nine planning meetings with GDOE personnel and UOG CEDDERS were held throughout the school year to ensure the SSIP schools were implementing PDSAs, conducting </w:t>
      </w:r>
      <w:proofErr w:type="spellStart"/>
      <w:r w:rsidRPr="00781112">
        <w:rPr>
          <w:rFonts w:cs="Arial"/>
          <w:color w:val="000000" w:themeColor="text1"/>
          <w:szCs w:val="16"/>
        </w:rPr>
        <w:t>aimswebPlus</w:t>
      </w:r>
      <w:proofErr w:type="spellEnd"/>
      <w:r w:rsidRPr="00781112">
        <w:rPr>
          <w:rFonts w:cs="Arial"/>
          <w:color w:val="000000" w:themeColor="text1"/>
          <w:szCs w:val="16"/>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October 13, 2022. Additionally, a session on Reading and the Continuous Improvement Cycle was held with all SSIP schools on August 9, 2022, along with a session for the scale up schools which was held on February 16, 2022.</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781112"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37FBBD40" w14:textId="77777777" w:rsidR="009B3E7D" w:rsidRDefault="009B3E7D">
      <w:pPr>
        <w:spacing w:before="0" w:after="200" w:line="276" w:lineRule="auto"/>
        <w:rPr>
          <w:b/>
          <w:color w:val="000000" w:themeColor="text1"/>
        </w:rPr>
      </w:pPr>
      <w:r>
        <w:rPr>
          <w:b/>
          <w:color w:val="000000" w:themeColor="text1"/>
        </w:rPr>
        <w:br w:type="page"/>
      </w:r>
    </w:p>
    <w:p w14:paraId="29FDEA16" w14:textId="350C67ED"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As reported in the Guam Part B 618 Data Table 7: Report of Dispute Resolution Under Part B, of the Individuals with Disabilities Education Act, for reporting year 2021-2022, there were no requests for mediations filed during this reporting period.</w:t>
      </w:r>
      <w:r w:rsidRPr="00781112">
        <w:rPr>
          <w:rFonts w:cs="Arial"/>
          <w:color w:val="000000" w:themeColor="text1"/>
          <w:szCs w:val="16"/>
        </w:rPr>
        <w:br/>
      </w:r>
      <w:r w:rsidRPr="00781112">
        <w:rPr>
          <w:rFonts w:cs="Arial"/>
          <w:color w:val="000000" w:themeColor="text1"/>
          <w:szCs w:val="16"/>
        </w:rPr>
        <w:br/>
        <w:t xml:space="preserve">Additionally, per OSEP’s instructions, States are not required to establish baseline or targets if the number of mediations is less than 10. When the number of mediations reaches ten or greater, States are to develop baseline, </w:t>
      </w:r>
      <w:proofErr w:type="gramStart"/>
      <w:r w:rsidRPr="00781112">
        <w:rPr>
          <w:rFonts w:cs="Arial"/>
          <w:color w:val="000000" w:themeColor="text1"/>
          <w:szCs w:val="16"/>
        </w:rPr>
        <w:t>targets</w:t>
      </w:r>
      <w:proofErr w:type="gramEnd"/>
      <w:r w:rsidRPr="00781112">
        <w:rPr>
          <w:rFonts w:cs="Arial"/>
          <w:color w:val="000000" w:themeColor="text1"/>
          <w:szCs w:val="16"/>
        </w:rPr>
        <w:t xml:space="preserve"> and improvement activities, and to report on them in the corresponding APR.</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Guam reported fewer than ten mediations held in FFY 2021. Guam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xml:space="preserve">;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xml:space="preserve">)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The Guam Department of Education (GDOE), a unitary educational system, facilitated the development of Guam’s FFY 2021 Individuals with Disabilities Education Act (IDEA) Part B State Performance Plan (SPP) Indicator 17 State Systemic Improvement Plan (SSIP) Phase III Year 7, which reports on the progress of the implementation plan and outcomes developed as the vehicle for improvement in infrastructure development and implementation of evidence-based practices for meeting Guam’s SSIP State-Identified Measurable Results (SIMR). In Phase 1 of the SSIP submitted to OSEP on April 1, 2015, Guam identified the following as its SIMR:</w:t>
      </w:r>
      <w:r w:rsidRPr="00781112">
        <w:rPr>
          <w:color w:val="000000" w:themeColor="text1"/>
        </w:rPr>
        <w:br/>
      </w:r>
      <w:r w:rsidRPr="00781112">
        <w:rPr>
          <w:color w:val="000000" w:themeColor="text1"/>
        </w:rPr>
        <w:br/>
        <w:t>There will be an increased percent of students with disabilities in the 3rd grade that will be proficient in reading in the four participating schools as measured by the district-wide assessment.</w:t>
      </w:r>
    </w:p>
    <w:p w14:paraId="43CABCA3" w14:textId="77777777" w:rsidR="00AE1972" w:rsidRPr="00781112" w:rsidRDefault="00AE1972" w:rsidP="00AE1972">
      <w:pPr>
        <w:rPr>
          <w:b/>
          <w:bCs/>
        </w:rPr>
      </w:pPr>
      <w:bookmarkStart w:id="89"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Changes to GDOE’s Theory of Action (TOA) were made to better reflect and align the high leverage actions being implemented at schools to address the short-term, intermediate, and long-term goals of the SSIP. The TOA was originally developed in 2015. In the span of seven years,  SSIP schools have navigated a multitude of changes related to district and school leadership, staff, curriculum, and most recently changes brought about by the global COVID-19 pandemic. Therefore, the schools felt it was an opportune time to pause, reflect, and review the TOA to determine if the changes experienced in the system have impacted the TOA. On May 19, 2022, school teams composed of representatives of stakeholder groups (teachers, principals, and families) from the four target schools and the four scale-up schools came together to review the TOA and provide input on possible modifications. Input was compiled and on October 13, 2022, school teams met again to finalize the changes in the TOA.  </w:t>
      </w:r>
      <w:r w:rsidRPr="00781112">
        <w:br/>
        <w:t>The updates to the TOA include the following:</w:t>
      </w:r>
      <w:r w:rsidRPr="00781112">
        <w:br/>
      </w:r>
      <w:r w:rsidRPr="00781112">
        <w:br/>
        <w:t>1.</w:t>
      </w:r>
      <w:r w:rsidRPr="00781112">
        <w:tab/>
        <w:t xml:space="preserve">Continuum of Supports was changed to Improvement Science.   Improvement Science encompasses the comprehensive and systematic process that schools have been engaged in to address the reading deficits in classrooms.  This process includes data-based decision making in which data from the universal screener is analyzed and used to develop a goal for improvement.  This component sets the stage for the Plan-Do-Study-Act wherein data is used to identify a goal for improvement (Plan), implement an evidence-based strategy to address the goal (Do), collect and analyze data to monitor the outcomes for progress or problems (Study), and finally adapt, adopt, or abandon the strategy based on the data that was collected (ACT).  </w:t>
      </w:r>
      <w:r w:rsidRPr="00781112">
        <w:br/>
      </w:r>
      <w:r w:rsidRPr="00781112">
        <w:br/>
        <w:t>2.</w:t>
      </w:r>
      <w:r w:rsidRPr="00781112">
        <w:tab/>
        <w:t xml:space="preserve">Parents and Community as Partners was changed to Families and Community as Partners. This change recognizes that engagement goes beyond parents but rather encompasses the entire family, including the student.  </w:t>
      </w:r>
      <w:r w:rsidRPr="00781112">
        <w:br/>
      </w:r>
      <w:r w:rsidRPr="00781112">
        <w:br/>
        <w:t>3. Professional Development was changed to Professional Learning.  This change recognizes the shift in language used in the district’s State Personnel Development Grant (SPDG) and State Strategic Plan that emphasizes the “learning” aspect of training wherein teachers are empowered and recognized as learners, leaders, and knowledgeable professionals who are active participants in their development.</w:t>
      </w:r>
      <w:r w:rsidRPr="00781112">
        <w:br/>
      </w:r>
      <w:r w:rsidRPr="00781112">
        <w:br/>
        <w:t>4. Evidence-Based Practices (EBPs).  EBPs have always been a hallmark of GDOE’s SSIP journey and was included as an objective in the SSIP Action Plan.  However, the strategy was never explicitly detailed in the TOA. Therefore, stakeholders felt it was necessary to include it as a strategy in the TOA to ensure that its use is clear and deliberate and directly connected to the TOA.</w:t>
      </w:r>
      <w:r w:rsidRPr="00781112">
        <w:br/>
      </w:r>
      <w:r w:rsidRPr="00781112">
        <w:br/>
        <w:t xml:space="preserve">5. TA Support, Coaching, &amp; Accountability was changed to TA Support &amp; Coaching.  By deleting the term “accountability” from the coherent improvement strategy, SSIP stakeholders acknowledge that TA Support and Coaching </w:t>
      </w:r>
      <w:proofErr w:type="spellStart"/>
      <w:r w:rsidRPr="00781112">
        <w:t>can not</w:t>
      </w:r>
      <w:proofErr w:type="spellEnd"/>
      <w:r w:rsidRPr="00781112">
        <w:t xml:space="preserve"> be successful if coaches and TA providers also function as an evaluator. The term “accountability” evokes this premise and therefore may detract from the goal and purpose of coaching.</w:t>
      </w:r>
      <w:r w:rsidRPr="00781112">
        <w:br/>
      </w:r>
      <w:r w:rsidRPr="00781112">
        <w:br/>
        <w:t>6. Development, Implementation, and Monitoring of Individualized Education Program (IEP) was added as a coherent improvement strategy.  An integral element of GDOE’s SSIP has been in the development of IEPs that are procedurally and substantively sound.  This process ensures that students receive the appropriate Specially Designed Instruction (SDI) that addresses their unique needs. However, the original TOA did not explicitly convey this priority thus prompting this addition.</w:t>
      </w:r>
      <w:r w:rsidRPr="00781112">
        <w:br/>
      </w:r>
      <w:r w:rsidRPr="00781112">
        <w:br/>
        <w:t>7. Using Data to Make Informed Decisions was replaced by Monitoring &amp; Accountability.  Using Data to Make Informed Decisions is encompassed in the Improvement Science process under the first strategy.  Therefore, isolating it as a separate strategy will be redundant and unnecessary.  In addition, as aforementioned, Monitoring &amp; Accountability should not be grouped in the same category as TA Support &amp; Coaching as both are distinct and should stand alone.</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lastRenderedPageBreak/>
        <w:t>The link to Guam Part B's current Theory of Action is as follows:</w:t>
      </w:r>
      <w:r w:rsidRPr="00781112">
        <w:br/>
      </w:r>
      <w:r w:rsidRPr="00781112">
        <w:br/>
        <w:t>https://www.gdoe.net/District/Department/2-Special-Education/1874-State-Performance-Plan-and-Annual-Performance-Report.html</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 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0.00%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0.00%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10.00%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10.00%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Grade 3 IEP Students Scored Proficient in Target Schools</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Grade 3 IEP Students in Target Schools with Valid Scores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10F636D2" w:rsidR="00AE1972" w:rsidRPr="00781112" w:rsidRDefault="001F2957" w:rsidP="00FE5C1F">
            <w:pPr>
              <w:jc w:val="center"/>
              <w:rPr>
                <w:color w:val="000000" w:themeColor="text1"/>
                <w:szCs w:val="16"/>
              </w:rPr>
            </w:pPr>
            <w:r>
              <w:rPr>
                <w:color w:val="000000" w:themeColor="text1"/>
                <w:szCs w:val="16"/>
              </w:rPr>
              <w:t>x</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w:t>
            </w:r>
          </w:p>
        </w:tc>
        <w:tc>
          <w:tcPr>
            <w:tcW w:w="667" w:type="pct"/>
            <w:shd w:val="clear" w:color="auto" w:fill="auto"/>
          </w:tcPr>
          <w:p w14:paraId="75E02A3E" w14:textId="682568A0" w:rsidR="00AE1972" w:rsidRPr="00781112" w:rsidRDefault="001F2957" w:rsidP="00FE5C1F">
            <w:pPr>
              <w:jc w:val="center"/>
              <w:rPr>
                <w:color w:val="000000" w:themeColor="text1"/>
                <w:szCs w:val="16"/>
              </w:rPr>
            </w:pPr>
            <w:r>
              <w:rPr>
                <w:color w:val="000000" w:themeColor="text1"/>
                <w:szCs w:val="16"/>
              </w:rPr>
              <w:t>x</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0.00%</w:t>
            </w:r>
          </w:p>
        </w:tc>
        <w:tc>
          <w:tcPr>
            <w:tcW w:w="584" w:type="pct"/>
            <w:shd w:val="clear" w:color="auto" w:fill="auto"/>
          </w:tcPr>
          <w:p w14:paraId="22FE7038" w14:textId="6D49DF06" w:rsidR="00AE1972" w:rsidRPr="00781112" w:rsidRDefault="001F2957" w:rsidP="00FE5C1F">
            <w:pPr>
              <w:jc w:val="center"/>
              <w:rPr>
                <w:color w:val="000000" w:themeColor="text1"/>
                <w:szCs w:val="16"/>
              </w:rPr>
            </w:pPr>
            <w:r>
              <w:rPr>
                <w:rFonts w:cs="Arial"/>
                <w:color w:val="000000" w:themeColor="text1"/>
                <w:szCs w:val="16"/>
              </w:rPr>
              <w:t>x</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source for the FFY 2021 data is the district-wide assessment results for the FFY 2021 (SY2021-2022) assessments which include the ACT Aspire and the Multi-State Alternate Assessment (MSAA) based on Alternate Academic Achievement Standards (AA-AAAS) for students with significant cognitive disabilities, conducted in Spring 2022.  The ACT Aspire is a </w:t>
      </w:r>
      <w:proofErr w:type="gramStart"/>
      <w:r w:rsidRPr="00781112">
        <w:rPr>
          <w:color w:val="000000" w:themeColor="text1"/>
        </w:rPr>
        <w:t>vertically-scaled</w:t>
      </w:r>
      <w:proofErr w:type="gramEnd"/>
      <w:r w:rsidRPr="00781112">
        <w:rPr>
          <w:color w:val="000000" w:themeColor="text1"/>
        </w:rPr>
        <w:t xml:space="preserve"> and benchmarked system of standards-based assessment that can be used to track progress toward the Common Core State Standards and the ACT College Readiness Standards.  It is designed to measure students’ progress in English, Reading, Math, Science, and Writing from grades 3 to 10 toward readiness for college and career, allowing for comparisons from one grade-level to another and one cohort to another (Guam Annual State of Public Education Report, 2019).  The MSAA are assessments in English Language Arts (ELA) and Math and are designed for students with significant cognitive disabilities in grades 3-8 and grade 11.  The MSAA covers grade-level content standards at a simplified level, and it includes many built-in supports, modified materials, and accommodations.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Due to the COVID-19 pandemic, GDOE began SY 2021-2022 implementing two modes of learning: online instruction and in-person learning. In September 2021, the district shifted to on-line instruction because of a spike in COVID cases. In October, the district implemented a cohort model for in-person learning but by the end of November, the cohort model was replaced by 5-days of in-person instruction. Moreover, online instruction continued seamlessly until the end of the school year. All students receiving in-person instruction participated in the district-wide assessment (ACT Aspire). Online students were asked to come on-campus to take the ACT Aspire. For the ACT Aspire, the student’s raw score is transmuted into a three-digit scaled score that provides a common language for discussing student achievement over time. Scaled scores that are above, at-grade level, below, or significantly below the ACT readiness benchmark are respectively categorized as “Exceeding” (Level 4</w:t>
      </w:r>
      <w:proofErr w:type="gramStart"/>
      <w:r w:rsidRPr="00781112">
        <w:rPr>
          <w:color w:val="000000" w:themeColor="text1"/>
        </w:rPr>
        <w:t>) ,</w:t>
      </w:r>
      <w:proofErr w:type="gramEnd"/>
      <w:r w:rsidRPr="00781112">
        <w:rPr>
          <w:color w:val="000000" w:themeColor="text1"/>
        </w:rPr>
        <w:t xml:space="preserve"> “Ready” (Level 3), “Close” (Level 2), and “In Need of Support” (Level 1). In relation to the </w:t>
      </w:r>
      <w:proofErr w:type="spellStart"/>
      <w:r w:rsidRPr="00781112">
        <w:rPr>
          <w:color w:val="000000" w:themeColor="text1"/>
        </w:rPr>
        <w:t>SiMR</w:t>
      </w:r>
      <w:proofErr w:type="spellEnd"/>
      <w:r w:rsidRPr="00781112">
        <w:rPr>
          <w:color w:val="000000" w:themeColor="text1"/>
        </w:rPr>
        <w:t>, students placed in Levels 3 and 4 are considered “Proficient”.</w:t>
      </w:r>
      <w:r w:rsidRPr="00781112">
        <w:rPr>
          <w:color w:val="000000" w:themeColor="text1"/>
        </w:rPr>
        <w:br/>
      </w:r>
      <w:r w:rsidRPr="00781112">
        <w:rPr>
          <w:color w:val="000000" w:themeColor="text1"/>
        </w:rPr>
        <w:br/>
        <w:t>Although the MSAA is an online assessment tool, there is no mechanism for students with disabilities to take this assessment remotely. The students need to be physically in school to be assessed by their teachers using the online tool. The students who participated in this assessment were the students who received in-person instruction and online students who came on-campus to take the assessment. Depending on the response modes used by the student (i.e., the student uses eye-gaze or uses gestures or points to responses), the student’s response is entered into the MSAA system by the teacher; or the student enters the response to the questions independently. Students participating in the MSAA are scored on alternate achievement standards and given a scaled score and a corresponding performance level based on their responses. The performance levels are Level 4, Level 3, Level 2, and Level 1. Students who achieved a scaled score and a performance level of 3 or 4 meet expectations of proficiency and would be counted in the SIMR.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2BABE9B0" w:rsidR="00AE1972" w:rsidRDefault="00AE1972" w:rsidP="00AE1972">
      <w:pPr>
        <w:rPr>
          <w:color w:val="000000" w:themeColor="text1"/>
        </w:rPr>
      </w:pPr>
      <w:r w:rsidRPr="00781112">
        <w:rPr>
          <w:color w:val="000000" w:themeColor="text1"/>
        </w:rPr>
        <w:t xml:space="preserve">Universal Screener: </w:t>
      </w:r>
      <w:proofErr w:type="spellStart"/>
      <w:r w:rsidRPr="00781112">
        <w:rPr>
          <w:color w:val="000000" w:themeColor="text1"/>
        </w:rPr>
        <w:t>aimswebPlus</w:t>
      </w:r>
      <w:proofErr w:type="spellEnd"/>
      <w:r w:rsidRPr="00781112">
        <w:rPr>
          <w:color w:val="000000" w:themeColor="text1"/>
        </w:rPr>
        <w:br/>
      </w:r>
      <w:r w:rsidRPr="00781112">
        <w:rPr>
          <w:color w:val="000000" w:themeColor="text1"/>
        </w:rPr>
        <w:br/>
        <w:t xml:space="preserve">Participation Rates </w:t>
      </w:r>
      <w:r w:rsidRPr="00781112">
        <w:rPr>
          <w:color w:val="000000" w:themeColor="text1"/>
        </w:rPr>
        <w:br/>
        <w:t xml:space="preserve">The participation rate for all students is determined by dividing the number of students screened in the 4 target schools by the number of enrolled students from the same schools. The participation rate for students with IEPs is determined by dividing the # of students with IEPs screened in the 4 target schools by the # of students with IEPs from the same schools. </w:t>
      </w:r>
      <w:r w:rsidRPr="00781112">
        <w:rPr>
          <w:color w:val="000000" w:themeColor="text1"/>
        </w:rPr>
        <w:br/>
      </w:r>
      <w:r w:rsidRPr="00781112">
        <w:rPr>
          <w:color w:val="000000" w:themeColor="text1"/>
        </w:rPr>
        <w:lastRenderedPageBreak/>
        <w:t>All students</w:t>
      </w:r>
      <w:r w:rsidRPr="00781112">
        <w:rPr>
          <w:color w:val="000000" w:themeColor="text1"/>
        </w:rPr>
        <w:br/>
        <w:t xml:space="preserve">Fall (F) ‘21: 97% (1016/1047) </w:t>
      </w:r>
      <w:r w:rsidRPr="00781112">
        <w:rPr>
          <w:color w:val="000000" w:themeColor="text1"/>
        </w:rPr>
        <w:br/>
        <w:t xml:space="preserve">Winter (W) ‘22: 85% (958/1121) </w:t>
      </w:r>
      <w:r w:rsidRPr="00781112">
        <w:rPr>
          <w:color w:val="000000" w:themeColor="text1"/>
        </w:rPr>
        <w:br/>
        <w:t xml:space="preserve">Spring (S) ‘22: 91% (1061/1161) </w:t>
      </w:r>
      <w:r w:rsidRPr="00781112">
        <w:rPr>
          <w:color w:val="000000" w:themeColor="text1"/>
        </w:rPr>
        <w:br/>
        <w:t xml:space="preserve">F‘22: 95% (1101/1156) </w:t>
      </w:r>
      <w:r w:rsidRPr="00781112">
        <w:rPr>
          <w:color w:val="000000" w:themeColor="text1"/>
        </w:rPr>
        <w:br/>
        <w:t>IEP Students</w:t>
      </w:r>
      <w:r w:rsidRPr="00781112">
        <w:rPr>
          <w:color w:val="000000" w:themeColor="text1"/>
        </w:rPr>
        <w:br/>
        <w:t>F’21: 72% (26/36)</w:t>
      </w:r>
      <w:r w:rsidRPr="00781112">
        <w:rPr>
          <w:color w:val="000000" w:themeColor="text1"/>
        </w:rPr>
        <w:br/>
        <w:t>W ‘22: 80% (32/40)</w:t>
      </w:r>
      <w:r w:rsidRPr="00781112">
        <w:rPr>
          <w:color w:val="000000" w:themeColor="text1"/>
        </w:rPr>
        <w:br/>
        <w:t>S ‘22: 77% (27/35)</w:t>
      </w:r>
      <w:r w:rsidRPr="00781112">
        <w:rPr>
          <w:color w:val="000000" w:themeColor="text1"/>
        </w:rPr>
        <w:br/>
        <w:t>F ‘22: 66% (23/35)</w:t>
      </w:r>
      <w:r w:rsidRPr="00781112">
        <w:rPr>
          <w:color w:val="000000" w:themeColor="text1"/>
        </w:rPr>
        <w:br/>
      </w:r>
      <w:r w:rsidRPr="00781112">
        <w:rPr>
          <w:color w:val="000000" w:themeColor="text1"/>
        </w:rPr>
        <w:br/>
        <w:t>Performance Rates</w:t>
      </w:r>
      <w:r w:rsidRPr="00781112">
        <w:rPr>
          <w:color w:val="000000" w:themeColor="text1"/>
        </w:rPr>
        <w:br/>
        <w:t>Data shows the percent of students performing average &amp; above (26th percentile &amp; above) in Early Literacy (EL) measures for Kindergarten (K), Oral Reading Fluency (ORF) for grades 1st-3rd &amp; Reading Comprehension (RC) for grades 2nd-3rd. The performance rates were determined by calculating the # of students performing at or above the 26th percentile divided by the total # of students screened. Cohort data largely represents the same group of students as they move from one grade-level to the next; there are some variations in the cohort as new students may have entered the school &amp; some students may have transferred to other schools.</w:t>
      </w:r>
      <w:r w:rsidRPr="00781112">
        <w:rPr>
          <w:color w:val="000000" w:themeColor="text1"/>
        </w:rPr>
        <w:br/>
        <w:t>K: Initial Sounds (IS)</w:t>
      </w:r>
      <w:r w:rsidRPr="00781112">
        <w:rPr>
          <w:color w:val="000000" w:themeColor="text1"/>
        </w:rPr>
        <w:br/>
        <w:t xml:space="preserve">All Students: Cohort </w:t>
      </w:r>
      <w:r w:rsidRPr="00781112">
        <w:rPr>
          <w:color w:val="000000" w:themeColor="text1"/>
        </w:rPr>
        <w:br/>
        <w:t xml:space="preserve">F ‘21: 43.4% (117/275) </w:t>
      </w:r>
      <w:r w:rsidRPr="00781112">
        <w:rPr>
          <w:color w:val="000000" w:themeColor="text1"/>
        </w:rPr>
        <w:br/>
        <w:t xml:space="preserve">W ‘22: 54% (148/276) </w:t>
      </w:r>
      <w:r w:rsidRPr="00781112">
        <w:rPr>
          <w:color w:val="000000" w:themeColor="text1"/>
        </w:rPr>
        <w:br/>
        <w:t xml:space="preserve">S ‘22: Not tested in Spring </w:t>
      </w:r>
      <w:r w:rsidRPr="00781112">
        <w:rPr>
          <w:color w:val="000000" w:themeColor="text1"/>
        </w:rPr>
        <w:br/>
        <w:t>All Students: SY ‘22-’23</w:t>
      </w:r>
      <w:r w:rsidRPr="00781112">
        <w:rPr>
          <w:color w:val="000000" w:themeColor="text1"/>
        </w:rPr>
        <w:br/>
        <w:t>F ‘22 (K): 29% (68/235)</w:t>
      </w:r>
      <w:r w:rsidRPr="00781112">
        <w:rPr>
          <w:color w:val="000000" w:themeColor="text1"/>
        </w:rPr>
        <w:br/>
        <w:t>IEP Students: Cohort</w:t>
      </w:r>
      <w:r w:rsidRPr="00781112">
        <w:rPr>
          <w:color w:val="000000" w:themeColor="text1"/>
        </w:rPr>
        <w:br/>
        <w:t xml:space="preserve">F ‘21: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/7)</w:t>
      </w:r>
      <w:r w:rsidRPr="00781112">
        <w:rPr>
          <w:color w:val="000000" w:themeColor="text1"/>
        </w:rPr>
        <w:br/>
        <w:t xml:space="preserve">W ‘22: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/7)</w:t>
      </w:r>
      <w:r w:rsidRPr="00781112">
        <w:rPr>
          <w:color w:val="000000" w:themeColor="text1"/>
        </w:rPr>
        <w:br/>
        <w:t>S ‘22: Not tested in Spring</w:t>
      </w:r>
      <w:r w:rsidRPr="00781112">
        <w:rPr>
          <w:color w:val="000000" w:themeColor="text1"/>
        </w:rPr>
        <w:br/>
        <w:t>IEP Students: SY ‘22-’23</w:t>
      </w:r>
      <w:r w:rsidRPr="00781112">
        <w:rPr>
          <w:color w:val="000000" w:themeColor="text1"/>
        </w:rPr>
        <w:br/>
        <w:t xml:space="preserve">Fall ‘22 (K):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/12)</w:t>
      </w:r>
      <w:r w:rsidRPr="00781112">
        <w:rPr>
          <w:color w:val="000000" w:themeColor="text1"/>
        </w:rPr>
        <w:br/>
      </w:r>
      <w:r w:rsidRPr="00781112">
        <w:rPr>
          <w:color w:val="000000" w:themeColor="text1"/>
        </w:rPr>
        <w:br/>
        <w:t>K: Letter Naming Fluency (LNF)</w:t>
      </w:r>
      <w:r w:rsidRPr="00781112">
        <w:rPr>
          <w:color w:val="000000" w:themeColor="text1"/>
        </w:rPr>
        <w:br/>
        <w:t xml:space="preserve">All Students: Cohort </w:t>
      </w:r>
      <w:r w:rsidRPr="00781112">
        <w:rPr>
          <w:color w:val="000000" w:themeColor="text1"/>
        </w:rPr>
        <w:br/>
        <w:t xml:space="preserve">F ‘21: 33.8% (93/275) </w:t>
      </w:r>
      <w:r w:rsidRPr="00781112">
        <w:rPr>
          <w:color w:val="000000" w:themeColor="text1"/>
        </w:rPr>
        <w:br/>
        <w:t xml:space="preserve">W ‘22: 45% (125/277) </w:t>
      </w:r>
      <w:r w:rsidRPr="00781112">
        <w:rPr>
          <w:color w:val="000000" w:themeColor="text1"/>
        </w:rPr>
        <w:br/>
        <w:t>S ‘22: 54% (159/295)</w:t>
      </w:r>
      <w:r w:rsidRPr="00781112">
        <w:rPr>
          <w:color w:val="000000" w:themeColor="text1"/>
        </w:rPr>
        <w:br/>
        <w:t>All Students: SY ‘22-’23</w:t>
      </w:r>
      <w:r w:rsidRPr="00781112">
        <w:rPr>
          <w:color w:val="000000" w:themeColor="text1"/>
        </w:rPr>
        <w:br/>
        <w:t>F ‘22: 34% (79/235)</w:t>
      </w:r>
      <w:r w:rsidRPr="00781112">
        <w:rPr>
          <w:color w:val="000000" w:themeColor="text1"/>
        </w:rPr>
        <w:br/>
        <w:t>IEP Students: Cohort</w:t>
      </w:r>
      <w:r w:rsidRPr="00781112">
        <w:rPr>
          <w:color w:val="000000" w:themeColor="text1"/>
        </w:rPr>
        <w:br/>
        <w:t xml:space="preserve">F ‘21: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/7)</w:t>
      </w:r>
      <w:r w:rsidRPr="00781112">
        <w:rPr>
          <w:color w:val="000000" w:themeColor="text1"/>
        </w:rPr>
        <w:br/>
        <w:t xml:space="preserve">W ‘22: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/7)</w:t>
      </w:r>
      <w:r w:rsidRPr="00781112">
        <w:rPr>
          <w:color w:val="000000" w:themeColor="text1"/>
        </w:rPr>
        <w:br/>
        <w:t xml:space="preserve">S ‘22: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/7)</w:t>
      </w:r>
      <w:r w:rsidRPr="00781112">
        <w:rPr>
          <w:color w:val="000000" w:themeColor="text1"/>
        </w:rPr>
        <w:br/>
        <w:t>IEP Students: SY ‘22-’23</w:t>
      </w:r>
      <w:r w:rsidRPr="00781112">
        <w:rPr>
          <w:color w:val="000000" w:themeColor="text1"/>
        </w:rPr>
        <w:br/>
        <w:t>F ‘22 (K): 25% (3/12)</w:t>
      </w:r>
      <w:r w:rsidRPr="00781112">
        <w:rPr>
          <w:color w:val="000000" w:themeColor="text1"/>
        </w:rPr>
        <w:br/>
      </w:r>
      <w:r w:rsidRPr="00781112">
        <w:rPr>
          <w:color w:val="000000" w:themeColor="text1"/>
        </w:rPr>
        <w:br/>
        <w:t>1st: ORF: SY ‘22-’23</w:t>
      </w:r>
      <w:r w:rsidRPr="00781112">
        <w:rPr>
          <w:color w:val="000000" w:themeColor="text1"/>
        </w:rPr>
        <w:br/>
        <w:t xml:space="preserve">All Students </w:t>
      </w:r>
      <w:r w:rsidRPr="00781112">
        <w:rPr>
          <w:color w:val="000000" w:themeColor="text1"/>
        </w:rPr>
        <w:br/>
        <w:t>F ‘22: 30% (101/332)</w:t>
      </w:r>
      <w:r w:rsidRPr="00781112">
        <w:rPr>
          <w:color w:val="000000" w:themeColor="text1"/>
        </w:rPr>
        <w:br/>
        <w:t xml:space="preserve">IEP Students </w:t>
      </w:r>
      <w:r w:rsidRPr="00781112">
        <w:rPr>
          <w:color w:val="000000" w:themeColor="text1"/>
        </w:rPr>
        <w:br/>
        <w:t xml:space="preserve">F ‘22: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/5)</w:t>
      </w:r>
      <w:r w:rsidRPr="00781112">
        <w:rPr>
          <w:color w:val="000000" w:themeColor="text1"/>
        </w:rPr>
        <w:br/>
      </w:r>
      <w:r w:rsidRPr="00781112">
        <w:rPr>
          <w:color w:val="000000" w:themeColor="text1"/>
        </w:rPr>
        <w:br/>
        <w:t>2nd: ORF: Cohort</w:t>
      </w:r>
      <w:r w:rsidRPr="00781112">
        <w:rPr>
          <w:color w:val="000000" w:themeColor="text1"/>
        </w:rPr>
        <w:br/>
        <w:t xml:space="preserve">All Students </w:t>
      </w:r>
      <w:r w:rsidRPr="00781112">
        <w:rPr>
          <w:color w:val="000000" w:themeColor="text1"/>
        </w:rPr>
        <w:br/>
        <w:t>F ‘21 (1st): 21.8% (47/225)</w:t>
      </w:r>
      <w:r w:rsidRPr="00781112">
        <w:rPr>
          <w:color w:val="000000" w:themeColor="text1"/>
        </w:rPr>
        <w:br/>
        <w:t>W ‘22 (1st): 29% (63/220)</w:t>
      </w:r>
      <w:r w:rsidRPr="00781112">
        <w:rPr>
          <w:color w:val="000000" w:themeColor="text1"/>
        </w:rPr>
        <w:br/>
        <w:t>S ‘22 (1st): 32% (69/215)</w:t>
      </w:r>
      <w:r w:rsidRPr="00781112">
        <w:rPr>
          <w:color w:val="000000" w:themeColor="text1"/>
        </w:rPr>
        <w:br/>
        <w:t>F ‘22 (2nd): 31% (75/240)</w:t>
      </w:r>
      <w:r w:rsidRPr="00781112">
        <w:rPr>
          <w:color w:val="000000" w:themeColor="text1"/>
        </w:rPr>
        <w:br/>
        <w:t>IEP Students</w:t>
      </w:r>
      <w:r w:rsidRPr="00781112">
        <w:rPr>
          <w:color w:val="000000" w:themeColor="text1"/>
        </w:rPr>
        <w:br/>
        <w:t xml:space="preserve">F ‘21 (1st):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/5)</w:t>
      </w:r>
      <w:r w:rsidRPr="00781112">
        <w:rPr>
          <w:color w:val="000000" w:themeColor="text1"/>
        </w:rPr>
        <w:br/>
        <w:t xml:space="preserve">W ‘22: (1st):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/3)</w:t>
      </w:r>
      <w:r w:rsidRPr="00781112">
        <w:rPr>
          <w:color w:val="000000" w:themeColor="text1"/>
        </w:rPr>
        <w:br/>
        <w:t xml:space="preserve">S ‘22 (1st): </w:t>
      </w:r>
      <w:r w:rsidR="006063CE">
        <w:rPr>
          <w:color w:val="000000" w:themeColor="text1"/>
        </w:rPr>
        <w:t>x</w:t>
      </w:r>
      <w:r w:rsidRPr="00781112">
        <w:rPr>
          <w:color w:val="000000" w:themeColor="text1"/>
        </w:rPr>
        <w:t>% (</w:t>
      </w:r>
      <w:r w:rsidR="006063CE">
        <w:rPr>
          <w:color w:val="000000" w:themeColor="text1"/>
        </w:rPr>
        <w:t>x</w:t>
      </w:r>
      <w:r w:rsidRPr="00781112">
        <w:rPr>
          <w:color w:val="000000" w:themeColor="text1"/>
        </w:rPr>
        <w:t>/4)</w:t>
      </w:r>
      <w:r w:rsidRPr="00781112">
        <w:rPr>
          <w:color w:val="000000" w:themeColor="text1"/>
        </w:rPr>
        <w:br/>
        <w:t xml:space="preserve">F ‘22 (2nd): </w:t>
      </w:r>
      <w:r w:rsidR="006063CE">
        <w:rPr>
          <w:color w:val="000000" w:themeColor="text1"/>
        </w:rPr>
        <w:t>x</w:t>
      </w:r>
      <w:r w:rsidRPr="00781112">
        <w:rPr>
          <w:color w:val="000000" w:themeColor="text1"/>
        </w:rPr>
        <w:t>% (</w:t>
      </w:r>
      <w:r w:rsidR="003F2AE9">
        <w:rPr>
          <w:color w:val="000000" w:themeColor="text1"/>
        </w:rPr>
        <w:t>x</w:t>
      </w:r>
      <w:r w:rsidRPr="00781112">
        <w:rPr>
          <w:color w:val="000000" w:themeColor="text1"/>
        </w:rPr>
        <w:t>/7)</w:t>
      </w:r>
      <w:r w:rsidRPr="00781112">
        <w:rPr>
          <w:color w:val="000000" w:themeColor="text1"/>
        </w:rPr>
        <w:br/>
      </w:r>
      <w:r w:rsidRPr="00781112">
        <w:rPr>
          <w:color w:val="000000" w:themeColor="text1"/>
        </w:rPr>
        <w:br/>
        <w:t>2nd: RC-Cohort</w:t>
      </w:r>
      <w:r w:rsidRPr="00781112">
        <w:rPr>
          <w:color w:val="000000" w:themeColor="text1"/>
        </w:rPr>
        <w:br/>
        <w:t xml:space="preserve">All Students </w:t>
      </w:r>
      <w:r w:rsidRPr="00781112">
        <w:rPr>
          <w:color w:val="000000" w:themeColor="text1"/>
        </w:rPr>
        <w:br/>
        <w:t>Note: RC is not tested in the 1st grade.</w:t>
      </w:r>
      <w:r w:rsidRPr="00781112">
        <w:rPr>
          <w:color w:val="000000" w:themeColor="text1"/>
        </w:rPr>
        <w:br/>
        <w:t>F ‘22 (2nd): 79% (187/238)</w:t>
      </w:r>
      <w:r w:rsidRPr="00781112">
        <w:rPr>
          <w:color w:val="000000" w:themeColor="text1"/>
        </w:rPr>
        <w:br/>
        <w:t>IEP Students</w:t>
      </w:r>
      <w:r w:rsidRPr="00781112">
        <w:rPr>
          <w:color w:val="000000" w:themeColor="text1"/>
        </w:rPr>
        <w:br/>
        <w:t>F ‘22 (2nd): 86% (6/7)</w:t>
      </w:r>
      <w:r w:rsidRPr="00781112">
        <w:rPr>
          <w:color w:val="000000" w:themeColor="text1"/>
        </w:rPr>
        <w:br/>
      </w:r>
      <w:r w:rsidRPr="00781112">
        <w:rPr>
          <w:color w:val="000000" w:themeColor="text1"/>
        </w:rPr>
        <w:br/>
        <w:t>3rd: ORF- Cohort</w:t>
      </w:r>
      <w:r w:rsidRPr="00781112">
        <w:rPr>
          <w:color w:val="000000" w:themeColor="text1"/>
        </w:rPr>
        <w:br/>
        <w:t xml:space="preserve">All Students </w:t>
      </w:r>
      <w:r w:rsidRPr="00781112">
        <w:rPr>
          <w:color w:val="000000" w:themeColor="text1"/>
        </w:rPr>
        <w:br/>
        <w:t>F ‘21 (2nd): 34% (95/281)</w:t>
      </w:r>
      <w:r w:rsidRPr="00781112">
        <w:rPr>
          <w:color w:val="000000" w:themeColor="text1"/>
        </w:rPr>
        <w:br/>
        <w:t>W ‘22 (2nd): 37% (90/246)</w:t>
      </w:r>
      <w:r w:rsidRPr="00781112">
        <w:rPr>
          <w:color w:val="000000" w:themeColor="text1"/>
        </w:rPr>
        <w:br/>
        <w:t>S ‘22 (2nd): 39% (107/277)</w:t>
      </w:r>
      <w:r w:rsidRPr="00781112">
        <w:rPr>
          <w:color w:val="000000" w:themeColor="text1"/>
        </w:rPr>
        <w:br/>
        <w:t>F ‘22 (3rd): 35% (98/281)</w:t>
      </w:r>
      <w:r w:rsidRPr="00781112">
        <w:rPr>
          <w:color w:val="000000" w:themeColor="text1"/>
        </w:rPr>
        <w:br/>
        <w:t>3rd: All Students: SY ‘21-’22</w:t>
      </w:r>
      <w:r w:rsidRPr="00781112">
        <w:rPr>
          <w:color w:val="000000" w:themeColor="text1"/>
        </w:rPr>
        <w:br/>
      </w:r>
      <w:r w:rsidRPr="00781112">
        <w:rPr>
          <w:color w:val="000000" w:themeColor="text1"/>
        </w:rPr>
        <w:lastRenderedPageBreak/>
        <w:t>W ‘22 (3rd): 49% (128/262)</w:t>
      </w:r>
      <w:r w:rsidRPr="00781112">
        <w:rPr>
          <w:color w:val="000000" w:themeColor="text1"/>
        </w:rPr>
        <w:br/>
        <w:t>S ‘22 (3rd): 46% (129/280)</w:t>
      </w:r>
      <w:r w:rsidRPr="00781112">
        <w:rPr>
          <w:color w:val="000000" w:themeColor="text1"/>
        </w:rPr>
        <w:br/>
        <w:t>IEP Students</w:t>
      </w:r>
      <w:r w:rsidRPr="00781112">
        <w:rPr>
          <w:color w:val="000000" w:themeColor="text1"/>
        </w:rPr>
        <w:br/>
        <w:t xml:space="preserve">W ‘22: (2nd):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/5)</w:t>
      </w:r>
      <w:r w:rsidRPr="00781112">
        <w:rPr>
          <w:color w:val="000000" w:themeColor="text1"/>
        </w:rPr>
        <w:br/>
        <w:t xml:space="preserve">S ‘22 (2nd):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/7)</w:t>
      </w:r>
      <w:r w:rsidRPr="00781112">
        <w:rPr>
          <w:color w:val="000000" w:themeColor="text1"/>
        </w:rPr>
        <w:br/>
        <w:t xml:space="preserve">F ‘22 (3rd):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/8)</w:t>
      </w:r>
      <w:r w:rsidRPr="00781112">
        <w:rPr>
          <w:color w:val="000000" w:themeColor="text1"/>
        </w:rPr>
        <w:br/>
        <w:t>IEP Students: SY 2021-2022</w:t>
      </w:r>
      <w:r w:rsidRPr="00781112">
        <w:rPr>
          <w:color w:val="000000" w:themeColor="text1"/>
        </w:rPr>
        <w:br/>
        <w:t xml:space="preserve">W ‘22 (3rd):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/8)</w:t>
      </w:r>
      <w:r w:rsidRPr="00781112">
        <w:rPr>
          <w:color w:val="000000" w:themeColor="text1"/>
        </w:rPr>
        <w:br/>
        <w:t xml:space="preserve">S ‘22 (3rd):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/9)</w:t>
      </w:r>
      <w:r w:rsidRPr="00781112">
        <w:rPr>
          <w:color w:val="000000" w:themeColor="text1"/>
        </w:rPr>
        <w:br/>
      </w:r>
      <w:r w:rsidRPr="00781112">
        <w:rPr>
          <w:color w:val="000000" w:themeColor="text1"/>
        </w:rPr>
        <w:br/>
        <w:t>3rd: RC-Cohort</w:t>
      </w:r>
      <w:r w:rsidRPr="00781112">
        <w:rPr>
          <w:color w:val="000000" w:themeColor="text1"/>
        </w:rPr>
        <w:br/>
        <w:t xml:space="preserve">All Students </w:t>
      </w:r>
      <w:r w:rsidRPr="00781112">
        <w:rPr>
          <w:color w:val="000000" w:themeColor="text1"/>
        </w:rPr>
        <w:br/>
        <w:t>F ‘21 (2nd): 53% (149/281)</w:t>
      </w:r>
      <w:r w:rsidRPr="00781112">
        <w:rPr>
          <w:color w:val="000000" w:themeColor="text1"/>
        </w:rPr>
        <w:br/>
        <w:t>W ‘22 (2nd): 43% (108/252)</w:t>
      </w:r>
      <w:r w:rsidRPr="00781112">
        <w:rPr>
          <w:color w:val="000000" w:themeColor="text1"/>
        </w:rPr>
        <w:br/>
        <w:t>S ‘22 (2nd): 48% (134/282)</w:t>
      </w:r>
      <w:r w:rsidRPr="00781112">
        <w:rPr>
          <w:color w:val="000000" w:themeColor="text1"/>
        </w:rPr>
        <w:br/>
        <w:t>F ‘22 (3rd): 59% (165/279)</w:t>
      </w:r>
      <w:r w:rsidRPr="00781112">
        <w:rPr>
          <w:color w:val="000000" w:themeColor="text1"/>
        </w:rPr>
        <w:br/>
        <w:t>3rd: All Students: SY ‘21-’22</w:t>
      </w:r>
      <w:r w:rsidRPr="00781112">
        <w:rPr>
          <w:color w:val="000000" w:themeColor="text1"/>
        </w:rPr>
        <w:br/>
        <w:t>W ‘22 (3rd): 48% (127/267)</w:t>
      </w:r>
      <w:r w:rsidRPr="00781112">
        <w:rPr>
          <w:color w:val="000000" w:themeColor="text1"/>
        </w:rPr>
        <w:br/>
        <w:t>S ‘22 (3rd): 42% (116/278)</w:t>
      </w:r>
      <w:r w:rsidRPr="00781112">
        <w:rPr>
          <w:color w:val="000000" w:themeColor="text1"/>
        </w:rPr>
        <w:br/>
        <w:t>IEP Students</w:t>
      </w:r>
      <w:r w:rsidRPr="00781112">
        <w:rPr>
          <w:color w:val="000000" w:themeColor="text1"/>
        </w:rPr>
        <w:br/>
        <w:t xml:space="preserve">W ‘22 (2nd):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/5)</w:t>
      </w:r>
      <w:r w:rsidRPr="00781112">
        <w:rPr>
          <w:color w:val="000000" w:themeColor="text1"/>
        </w:rPr>
        <w:br/>
        <w:t xml:space="preserve">S ‘22 (2nd):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/7)</w:t>
      </w:r>
      <w:r w:rsidRPr="00781112">
        <w:rPr>
          <w:color w:val="000000" w:themeColor="text1"/>
        </w:rPr>
        <w:br/>
        <w:t xml:space="preserve">F ‘22 (3rd):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/8)</w:t>
      </w:r>
      <w:r w:rsidRPr="00781112">
        <w:rPr>
          <w:color w:val="000000" w:themeColor="text1"/>
        </w:rPr>
        <w:br/>
        <w:t>IEP Students: SY ‘21-’22</w:t>
      </w:r>
      <w:r w:rsidRPr="00781112">
        <w:rPr>
          <w:color w:val="000000" w:themeColor="text1"/>
        </w:rPr>
        <w:br/>
        <w:t>W ‘22 (3rd): 38% (</w:t>
      </w:r>
      <w:r w:rsidR="003F2AE9">
        <w:rPr>
          <w:color w:val="000000" w:themeColor="text1"/>
        </w:rPr>
        <w:t>3</w:t>
      </w:r>
      <w:r w:rsidRPr="00781112">
        <w:rPr>
          <w:color w:val="000000" w:themeColor="text1"/>
        </w:rPr>
        <w:t>/8)</w:t>
      </w:r>
      <w:r w:rsidRPr="00781112">
        <w:rPr>
          <w:color w:val="000000" w:themeColor="text1"/>
        </w:rPr>
        <w:br/>
        <w:t xml:space="preserve">S ‘22 (3rd): </w:t>
      </w:r>
      <w:r w:rsidR="003F2AE9">
        <w:rPr>
          <w:color w:val="000000" w:themeColor="text1"/>
        </w:rPr>
        <w:t>x</w:t>
      </w:r>
      <w:r w:rsidRPr="00781112">
        <w:rPr>
          <w:color w:val="000000" w:themeColor="text1"/>
        </w:rPr>
        <w:t>% (</w:t>
      </w:r>
      <w:r w:rsidR="003F2AE9">
        <w:rPr>
          <w:color w:val="000000" w:themeColor="text1"/>
        </w:rPr>
        <w:t>x</w:t>
      </w:r>
      <w:r w:rsidRPr="00781112">
        <w:rPr>
          <w:color w:val="000000" w:themeColor="text1"/>
        </w:rPr>
        <w:t>/9)</w:t>
      </w:r>
      <w:r w:rsidRPr="00781112">
        <w:rPr>
          <w:color w:val="000000" w:themeColor="text1"/>
        </w:rPr>
        <w:br/>
      </w:r>
      <w:r w:rsidRPr="00781112">
        <w:rPr>
          <w:color w:val="000000" w:themeColor="text1"/>
        </w:rPr>
        <w:br/>
        <w:t xml:space="preserve">Benchmark data shows the percent of students performing at or above the 35th percentile in EL measures &amp; the 45th percentile in Reading measures. The 35th &amp; 45th percentiles demonstrate </w:t>
      </w:r>
      <w:proofErr w:type="spellStart"/>
      <w:r w:rsidRPr="00781112">
        <w:rPr>
          <w:color w:val="000000" w:themeColor="text1"/>
        </w:rPr>
        <w:t>aimswebPlus</w:t>
      </w:r>
      <w:proofErr w:type="spellEnd"/>
      <w:r w:rsidRPr="00781112">
        <w:rPr>
          <w:color w:val="000000" w:themeColor="text1"/>
        </w:rPr>
        <w:t xml:space="preserve">’ success probability target scores. Students scoring at these target benchmarks have an 80% or more likelihood of passing the 3rd grade district assessment. The performance rates were determined by calculating the # of students performing at or above the 35th or 45th percentile divided by the total # of students screened. </w:t>
      </w:r>
      <w:r w:rsidRPr="00781112">
        <w:rPr>
          <w:color w:val="000000" w:themeColor="text1"/>
        </w:rPr>
        <w:br/>
      </w:r>
      <w:r w:rsidRPr="00781112">
        <w:rPr>
          <w:color w:val="000000" w:themeColor="text1"/>
        </w:rPr>
        <w:br/>
        <w:t>K: IS</w:t>
      </w:r>
      <w:r w:rsidRPr="00781112">
        <w:rPr>
          <w:color w:val="000000" w:themeColor="text1"/>
        </w:rPr>
        <w:br/>
        <w:t xml:space="preserve">All Students: Cohort </w:t>
      </w:r>
      <w:r w:rsidRPr="00781112">
        <w:rPr>
          <w:color w:val="000000" w:themeColor="text1"/>
        </w:rPr>
        <w:br/>
        <w:t xml:space="preserve">F ‘21: 30.6% (82/268) </w:t>
      </w:r>
      <w:r w:rsidRPr="00781112">
        <w:rPr>
          <w:color w:val="000000" w:themeColor="text1"/>
        </w:rPr>
        <w:br/>
        <w:t xml:space="preserve">W ‘22: 41% (112/276) </w:t>
      </w:r>
      <w:r w:rsidRPr="00781112">
        <w:rPr>
          <w:color w:val="000000" w:themeColor="text1"/>
        </w:rPr>
        <w:br/>
        <w:t>S ‘22: Not tested in Spring</w:t>
      </w:r>
      <w:r w:rsidRPr="00781112">
        <w:rPr>
          <w:color w:val="000000" w:themeColor="text1"/>
        </w:rPr>
        <w:br/>
        <w:t>All Students: SY ‘22-’23</w:t>
      </w:r>
      <w:r w:rsidRPr="00781112">
        <w:rPr>
          <w:color w:val="000000" w:themeColor="text1"/>
        </w:rPr>
        <w:br/>
        <w:t>F ‘22 (K): 23% (54/235)</w:t>
      </w:r>
      <w:r w:rsidRPr="00781112">
        <w:rPr>
          <w:color w:val="000000" w:themeColor="text1"/>
        </w:rPr>
        <w:br/>
        <w:t>IEP Students: Cohort</w:t>
      </w:r>
      <w:r w:rsidRPr="00781112">
        <w:rPr>
          <w:color w:val="000000" w:themeColor="text1"/>
        </w:rPr>
        <w:br/>
        <w:t xml:space="preserve">F ‘21: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t xml:space="preserve">W ‘22: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t>S ‘22: Not tested in Spring</w:t>
      </w:r>
      <w:r w:rsidRPr="00781112">
        <w:rPr>
          <w:color w:val="000000" w:themeColor="text1"/>
        </w:rPr>
        <w:br/>
        <w:t>IEP Students: SY ‘22-’23</w:t>
      </w:r>
      <w:r w:rsidRPr="00781112">
        <w:rPr>
          <w:color w:val="000000" w:themeColor="text1"/>
        </w:rPr>
        <w:br/>
        <w:t xml:space="preserve">F ‘22 (K):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/12)</w:t>
      </w:r>
      <w:r w:rsidRPr="00781112">
        <w:rPr>
          <w:color w:val="000000" w:themeColor="text1"/>
        </w:rPr>
        <w:br/>
      </w:r>
      <w:r w:rsidRPr="00781112">
        <w:rPr>
          <w:color w:val="000000" w:themeColor="text1"/>
        </w:rPr>
        <w:br/>
        <w:t>K: LNF</w:t>
      </w:r>
      <w:r w:rsidRPr="00781112">
        <w:rPr>
          <w:color w:val="000000" w:themeColor="text1"/>
        </w:rPr>
        <w:br/>
        <w:t xml:space="preserve">All Students: Cohort </w:t>
      </w:r>
      <w:r w:rsidRPr="00781112">
        <w:rPr>
          <w:color w:val="000000" w:themeColor="text1"/>
        </w:rPr>
        <w:br/>
        <w:t xml:space="preserve">F ‘21: 32.8% (88/268) </w:t>
      </w:r>
      <w:r w:rsidRPr="00781112">
        <w:rPr>
          <w:color w:val="000000" w:themeColor="text1"/>
        </w:rPr>
        <w:br/>
        <w:t xml:space="preserve">W ‘22: 39% (107/277) </w:t>
      </w:r>
      <w:r w:rsidRPr="00781112">
        <w:rPr>
          <w:color w:val="000000" w:themeColor="text1"/>
        </w:rPr>
        <w:br/>
        <w:t>S ‘22: 54% (159/295)</w:t>
      </w:r>
      <w:r w:rsidRPr="00781112">
        <w:rPr>
          <w:color w:val="000000" w:themeColor="text1"/>
        </w:rPr>
        <w:br/>
      </w:r>
      <w:r w:rsidRPr="00781112">
        <w:rPr>
          <w:color w:val="000000" w:themeColor="text1"/>
        </w:rPr>
        <w:br/>
        <w:t xml:space="preserve">All Students: SY ‘22-’23 </w:t>
      </w:r>
      <w:r w:rsidRPr="00781112">
        <w:rPr>
          <w:color w:val="000000" w:themeColor="text1"/>
        </w:rPr>
        <w:br/>
        <w:t>F ‘22: 23% (54/235)</w:t>
      </w:r>
      <w:r w:rsidRPr="00781112">
        <w:rPr>
          <w:color w:val="000000" w:themeColor="text1"/>
        </w:rPr>
        <w:br/>
        <w:t>IEP Students: Cohort</w:t>
      </w:r>
      <w:r w:rsidRPr="00781112">
        <w:rPr>
          <w:color w:val="000000" w:themeColor="text1"/>
        </w:rPr>
        <w:br/>
        <w:t xml:space="preserve">F ‘21: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t>W ‘22:</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t xml:space="preserve">S ‘22: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t>IEP Students: SY ‘22-’23</w:t>
      </w:r>
      <w:r w:rsidRPr="00781112">
        <w:rPr>
          <w:color w:val="000000" w:themeColor="text1"/>
        </w:rPr>
        <w:br/>
        <w:t>F ‘22 (K): 25% (3/12)</w:t>
      </w:r>
      <w:r w:rsidRPr="00781112">
        <w:rPr>
          <w:color w:val="000000" w:themeColor="text1"/>
        </w:rPr>
        <w:br/>
      </w:r>
      <w:r w:rsidRPr="00781112">
        <w:rPr>
          <w:color w:val="000000" w:themeColor="text1"/>
        </w:rPr>
        <w:br/>
        <w:t>1st: ORF: SY ‘22-’23</w:t>
      </w:r>
      <w:r w:rsidRPr="00781112">
        <w:rPr>
          <w:color w:val="000000" w:themeColor="text1"/>
        </w:rPr>
        <w:br/>
        <w:t xml:space="preserve">All Students </w:t>
      </w:r>
      <w:r w:rsidRPr="00781112">
        <w:rPr>
          <w:color w:val="000000" w:themeColor="text1"/>
        </w:rPr>
        <w:br/>
        <w:t>F ‘22: 23% (75/332)</w:t>
      </w:r>
      <w:r w:rsidRPr="00781112">
        <w:rPr>
          <w:color w:val="000000" w:themeColor="text1"/>
        </w:rPr>
        <w:br/>
        <w:t>IEP Students</w:t>
      </w:r>
      <w:r w:rsidRPr="00781112">
        <w:rPr>
          <w:color w:val="000000" w:themeColor="text1"/>
        </w:rPr>
        <w:br/>
        <w:t xml:space="preserve">F ‘22: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/5)</w:t>
      </w:r>
      <w:r w:rsidRPr="00781112">
        <w:rPr>
          <w:color w:val="000000" w:themeColor="text1"/>
        </w:rPr>
        <w:br/>
      </w:r>
      <w:r w:rsidRPr="00781112">
        <w:rPr>
          <w:color w:val="000000" w:themeColor="text1"/>
        </w:rPr>
        <w:br/>
        <w:t xml:space="preserve">2nd: ORF-Cohort </w:t>
      </w:r>
      <w:r w:rsidRPr="00781112">
        <w:rPr>
          <w:color w:val="000000" w:themeColor="text1"/>
        </w:rPr>
        <w:br/>
        <w:t xml:space="preserve">All Students </w:t>
      </w:r>
      <w:r w:rsidRPr="00781112">
        <w:rPr>
          <w:color w:val="000000" w:themeColor="text1"/>
        </w:rPr>
        <w:br/>
        <w:t>F ‘21 (1st): 17.4% (38/219)</w:t>
      </w:r>
      <w:r w:rsidRPr="00781112">
        <w:rPr>
          <w:color w:val="000000" w:themeColor="text1"/>
        </w:rPr>
        <w:br/>
        <w:t>W ‘22 (1st): 28% (61/220)</w:t>
      </w:r>
      <w:r w:rsidRPr="00781112">
        <w:rPr>
          <w:color w:val="000000" w:themeColor="text1"/>
        </w:rPr>
        <w:br/>
        <w:t>S ‘22 (1st): 22% (48/215)</w:t>
      </w:r>
      <w:r w:rsidRPr="00781112">
        <w:rPr>
          <w:color w:val="000000" w:themeColor="text1"/>
        </w:rPr>
        <w:br/>
        <w:t>F ‘22 (2nd): 19% (45/240)</w:t>
      </w:r>
      <w:r w:rsidRPr="00781112">
        <w:rPr>
          <w:color w:val="000000" w:themeColor="text1"/>
        </w:rPr>
        <w:br/>
        <w:t>IEP Students</w:t>
      </w:r>
      <w:r w:rsidRPr="00781112">
        <w:rPr>
          <w:color w:val="000000" w:themeColor="text1"/>
        </w:rPr>
        <w:br/>
        <w:t xml:space="preserve">F ‘21 (1st):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/5)</w:t>
      </w:r>
      <w:r w:rsidRPr="00781112">
        <w:rPr>
          <w:color w:val="000000" w:themeColor="text1"/>
        </w:rPr>
        <w:br/>
        <w:t xml:space="preserve">W ‘22 (1st):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/3)</w:t>
      </w:r>
      <w:r w:rsidRPr="00781112">
        <w:rPr>
          <w:color w:val="000000" w:themeColor="text1"/>
        </w:rPr>
        <w:br/>
        <w:t xml:space="preserve">S‘22 (1st):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/4)</w:t>
      </w:r>
      <w:r w:rsidRPr="00781112">
        <w:rPr>
          <w:color w:val="000000" w:themeColor="text1"/>
        </w:rPr>
        <w:br/>
      </w:r>
      <w:r w:rsidRPr="00781112">
        <w:rPr>
          <w:color w:val="000000" w:themeColor="text1"/>
        </w:rPr>
        <w:lastRenderedPageBreak/>
        <w:t xml:space="preserve">F ‘22 (2nd):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r>
      <w:r w:rsidRPr="00781112">
        <w:rPr>
          <w:color w:val="000000" w:themeColor="text1"/>
        </w:rPr>
        <w:br/>
        <w:t xml:space="preserve">2nd: RC-Cohort </w:t>
      </w:r>
      <w:r w:rsidRPr="00781112">
        <w:rPr>
          <w:color w:val="000000" w:themeColor="text1"/>
        </w:rPr>
        <w:br/>
        <w:t xml:space="preserve">All Students </w:t>
      </w:r>
      <w:r w:rsidRPr="00781112">
        <w:rPr>
          <w:color w:val="000000" w:themeColor="text1"/>
        </w:rPr>
        <w:br/>
        <w:t>Note: RC is not tested in 1st grade.</w:t>
      </w:r>
      <w:r w:rsidRPr="00781112">
        <w:rPr>
          <w:color w:val="000000" w:themeColor="text1"/>
        </w:rPr>
        <w:br/>
        <w:t>F ‘22 (2nd): 31% (73/238)</w:t>
      </w:r>
      <w:r w:rsidRPr="00781112">
        <w:rPr>
          <w:color w:val="000000" w:themeColor="text1"/>
        </w:rPr>
        <w:br/>
        <w:t>IEP Students</w:t>
      </w:r>
      <w:r w:rsidRPr="00781112">
        <w:rPr>
          <w:color w:val="000000" w:themeColor="text1"/>
        </w:rPr>
        <w:br/>
        <w:t>Note: RC is not tested in 1st grade.</w:t>
      </w:r>
      <w:r w:rsidRPr="00781112">
        <w:rPr>
          <w:color w:val="000000" w:themeColor="text1"/>
        </w:rPr>
        <w:br/>
        <w:t xml:space="preserve">F ‘22 (2nd): </w:t>
      </w:r>
      <w:r w:rsidR="001E4328">
        <w:rPr>
          <w:color w:val="000000" w:themeColor="text1"/>
        </w:rPr>
        <w:t>x</w:t>
      </w:r>
      <w:r w:rsidRPr="00781112">
        <w:rPr>
          <w:color w:val="000000" w:themeColor="text1"/>
        </w:rPr>
        <w:t>% (</w:t>
      </w:r>
      <w:r w:rsidR="001E4328">
        <w:rPr>
          <w:color w:val="000000" w:themeColor="text1"/>
        </w:rPr>
        <w:t>x</w:t>
      </w:r>
      <w:r w:rsidRPr="00781112">
        <w:rPr>
          <w:color w:val="000000" w:themeColor="text1"/>
        </w:rPr>
        <w:t>/7)</w:t>
      </w:r>
      <w:r w:rsidRPr="00781112">
        <w:rPr>
          <w:color w:val="000000" w:themeColor="text1"/>
        </w:rPr>
        <w:br/>
      </w:r>
      <w:r w:rsidRPr="00781112">
        <w:rPr>
          <w:color w:val="000000" w:themeColor="text1"/>
        </w:rPr>
        <w:br/>
        <w:t xml:space="preserve">3rd: ORF- Cohort </w:t>
      </w:r>
      <w:r w:rsidRPr="00781112">
        <w:rPr>
          <w:color w:val="000000" w:themeColor="text1"/>
        </w:rPr>
        <w:br/>
        <w:t xml:space="preserve">All Students </w:t>
      </w:r>
      <w:r w:rsidRPr="00781112">
        <w:rPr>
          <w:color w:val="000000" w:themeColor="text1"/>
        </w:rPr>
        <w:br/>
        <w:t>F ‘21 (2nd): 24% (68/281)</w:t>
      </w:r>
      <w:r w:rsidRPr="00781112">
        <w:rPr>
          <w:color w:val="000000" w:themeColor="text1"/>
        </w:rPr>
        <w:br/>
        <w:t>W ‘22 (2nd): 23% (57/246)</w:t>
      </w:r>
      <w:r w:rsidRPr="00781112">
        <w:rPr>
          <w:color w:val="000000" w:themeColor="text1"/>
        </w:rPr>
        <w:br/>
        <w:t>S ‘22 (2nd): 25% (70/277)</w:t>
      </w:r>
      <w:r w:rsidRPr="00781112">
        <w:rPr>
          <w:color w:val="000000" w:themeColor="text1"/>
        </w:rPr>
        <w:br/>
        <w:t>F ‘22 (3rd): 17% (48/281)</w:t>
      </w:r>
      <w:r w:rsidRPr="00781112">
        <w:rPr>
          <w:color w:val="000000" w:themeColor="text1"/>
        </w:rPr>
        <w:br/>
        <w:t>3rd: All Students: SY ‘21-’22</w:t>
      </w:r>
      <w:r w:rsidRPr="00781112">
        <w:rPr>
          <w:color w:val="000000" w:themeColor="text1"/>
        </w:rPr>
        <w:br/>
        <w:t>W ‘22 (3rd): 24% (64/262)</w:t>
      </w:r>
      <w:r w:rsidRPr="00781112">
        <w:rPr>
          <w:color w:val="000000" w:themeColor="text1"/>
        </w:rPr>
        <w:br/>
        <w:t>S ‘22 (3rd): 28% (79/280)</w:t>
      </w:r>
      <w:r w:rsidRPr="00781112">
        <w:rPr>
          <w:color w:val="000000" w:themeColor="text1"/>
        </w:rPr>
        <w:br/>
        <w:t>IEP Students</w:t>
      </w:r>
      <w:r w:rsidRPr="00781112">
        <w:rPr>
          <w:color w:val="000000" w:themeColor="text1"/>
        </w:rPr>
        <w:br/>
        <w:t xml:space="preserve">W ‘22 (2nd): </w:t>
      </w:r>
      <w:r w:rsidR="00416B4D">
        <w:rPr>
          <w:color w:val="000000" w:themeColor="text1"/>
        </w:rPr>
        <w:t>x</w:t>
      </w:r>
      <w:r w:rsidRPr="00781112">
        <w:rPr>
          <w:color w:val="000000" w:themeColor="text1"/>
        </w:rPr>
        <w:t>% (</w:t>
      </w:r>
      <w:r w:rsidR="00416B4D">
        <w:rPr>
          <w:color w:val="000000" w:themeColor="text1"/>
        </w:rPr>
        <w:t>x</w:t>
      </w:r>
      <w:r w:rsidRPr="00781112">
        <w:rPr>
          <w:color w:val="000000" w:themeColor="text1"/>
        </w:rPr>
        <w:t>/5)</w:t>
      </w:r>
      <w:r w:rsidRPr="00781112">
        <w:rPr>
          <w:color w:val="000000" w:themeColor="text1"/>
        </w:rPr>
        <w:br/>
        <w:t xml:space="preserve">S ‘22 (2nd): </w:t>
      </w:r>
      <w:r w:rsidR="00416B4D">
        <w:rPr>
          <w:color w:val="000000" w:themeColor="text1"/>
        </w:rPr>
        <w:t>x</w:t>
      </w:r>
      <w:r w:rsidRPr="00781112">
        <w:rPr>
          <w:color w:val="000000" w:themeColor="text1"/>
        </w:rPr>
        <w:t>% (</w:t>
      </w:r>
      <w:r w:rsidR="00416B4D">
        <w:rPr>
          <w:color w:val="000000" w:themeColor="text1"/>
        </w:rPr>
        <w:t>x</w:t>
      </w:r>
      <w:r w:rsidRPr="00781112">
        <w:rPr>
          <w:color w:val="000000" w:themeColor="text1"/>
        </w:rPr>
        <w:t>/7)</w:t>
      </w:r>
      <w:r w:rsidRPr="00781112">
        <w:rPr>
          <w:color w:val="000000" w:themeColor="text1"/>
        </w:rPr>
        <w:br/>
        <w:t xml:space="preserve">F ‘22 (3rd): </w:t>
      </w:r>
      <w:r w:rsidR="00416B4D">
        <w:rPr>
          <w:color w:val="000000" w:themeColor="text1"/>
        </w:rPr>
        <w:t>x</w:t>
      </w:r>
      <w:r w:rsidRPr="00781112">
        <w:rPr>
          <w:color w:val="000000" w:themeColor="text1"/>
        </w:rPr>
        <w:t>% (</w:t>
      </w:r>
      <w:r w:rsidR="00416B4D">
        <w:rPr>
          <w:color w:val="000000" w:themeColor="text1"/>
        </w:rPr>
        <w:t>x</w:t>
      </w:r>
      <w:r w:rsidRPr="00781112">
        <w:rPr>
          <w:color w:val="000000" w:themeColor="text1"/>
        </w:rPr>
        <w:t>/8)</w:t>
      </w:r>
      <w:r w:rsidRPr="00781112">
        <w:rPr>
          <w:color w:val="000000" w:themeColor="text1"/>
        </w:rPr>
        <w:br/>
        <w:t>IEP Students: SY ‘21-’22</w:t>
      </w:r>
      <w:r w:rsidRPr="00781112">
        <w:rPr>
          <w:color w:val="000000" w:themeColor="text1"/>
        </w:rPr>
        <w:br/>
        <w:t xml:space="preserve">W ‘22 (3rd):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/8)</w:t>
      </w:r>
      <w:r w:rsidRPr="00781112">
        <w:rPr>
          <w:color w:val="000000" w:themeColor="text1"/>
        </w:rPr>
        <w:br/>
        <w:t xml:space="preserve">S ‘22 (3rd):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/9)</w:t>
      </w:r>
      <w:r w:rsidRPr="00781112">
        <w:rPr>
          <w:color w:val="000000" w:themeColor="text1"/>
        </w:rPr>
        <w:br/>
      </w:r>
      <w:r w:rsidRPr="00781112">
        <w:rPr>
          <w:color w:val="000000" w:themeColor="text1"/>
        </w:rPr>
        <w:br/>
        <w:t>3rd: RC-Cohort</w:t>
      </w:r>
      <w:r w:rsidRPr="00781112">
        <w:rPr>
          <w:color w:val="000000" w:themeColor="text1"/>
        </w:rPr>
        <w:br/>
        <w:t xml:space="preserve">All Students </w:t>
      </w:r>
      <w:r w:rsidRPr="00781112">
        <w:rPr>
          <w:color w:val="000000" w:themeColor="text1"/>
        </w:rPr>
        <w:br/>
        <w:t>F ‘21 (2nd): 26% (72/281)</w:t>
      </w:r>
      <w:r w:rsidRPr="00781112">
        <w:rPr>
          <w:color w:val="000000" w:themeColor="text1"/>
        </w:rPr>
        <w:br/>
        <w:t>W ‘22 (2nd): 25% (62/252)</w:t>
      </w:r>
      <w:r w:rsidRPr="00781112">
        <w:rPr>
          <w:color w:val="000000" w:themeColor="text1"/>
        </w:rPr>
        <w:br/>
        <w:t xml:space="preserve">S ‘22 (2nd): 26% (74/282) </w:t>
      </w:r>
      <w:r w:rsidRPr="00781112">
        <w:rPr>
          <w:color w:val="000000" w:themeColor="text1"/>
        </w:rPr>
        <w:br/>
        <w:t>F ‘22 (3rd): 33% (93/279)</w:t>
      </w:r>
      <w:r w:rsidRPr="00781112">
        <w:rPr>
          <w:color w:val="000000" w:themeColor="text1"/>
        </w:rPr>
        <w:br/>
        <w:t>3rd:All Students: SY ‘21-’22</w:t>
      </w:r>
      <w:r w:rsidRPr="00781112">
        <w:rPr>
          <w:color w:val="000000" w:themeColor="text1"/>
        </w:rPr>
        <w:br/>
        <w:t>W ‘22: 36% (96/267)</w:t>
      </w:r>
      <w:r w:rsidRPr="00781112">
        <w:rPr>
          <w:color w:val="000000" w:themeColor="text1"/>
        </w:rPr>
        <w:br/>
        <w:t>S ‘22: 28% (78/278)</w:t>
      </w:r>
      <w:r w:rsidRPr="00781112">
        <w:rPr>
          <w:color w:val="000000" w:themeColor="text1"/>
        </w:rPr>
        <w:br/>
        <w:t>IEP Students</w:t>
      </w:r>
      <w:r w:rsidRPr="00781112">
        <w:rPr>
          <w:color w:val="000000" w:themeColor="text1"/>
        </w:rPr>
        <w:br/>
        <w:t xml:space="preserve">W ‘22 (2nd):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/5)</w:t>
      </w:r>
      <w:r w:rsidRPr="00781112">
        <w:rPr>
          <w:color w:val="000000" w:themeColor="text1"/>
        </w:rPr>
        <w:br/>
        <w:t xml:space="preserve">S ‘22 (2nd):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/7)</w:t>
      </w:r>
      <w:r w:rsidRPr="00781112">
        <w:rPr>
          <w:color w:val="000000" w:themeColor="text1"/>
        </w:rPr>
        <w:br/>
        <w:t xml:space="preserve">F ‘22 (3rd):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/8)</w:t>
      </w:r>
      <w:r w:rsidRPr="00781112">
        <w:rPr>
          <w:color w:val="000000" w:themeColor="text1"/>
        </w:rPr>
        <w:br/>
        <w:t>Students w/IEPs: SY ‘21-’22</w:t>
      </w:r>
      <w:r w:rsidRPr="00781112">
        <w:rPr>
          <w:color w:val="000000" w:themeColor="text1"/>
        </w:rPr>
        <w:br/>
        <w:t xml:space="preserve">W ‘22 (3rd):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/8)</w:t>
      </w:r>
      <w:r w:rsidRPr="00781112">
        <w:rPr>
          <w:color w:val="000000" w:themeColor="text1"/>
        </w:rPr>
        <w:br/>
        <w:t xml:space="preserve">S ‘22 (3rd): </w:t>
      </w:r>
      <w:r w:rsidR="006546DF">
        <w:rPr>
          <w:color w:val="000000" w:themeColor="text1"/>
        </w:rPr>
        <w:t>x</w:t>
      </w:r>
      <w:r w:rsidRPr="00781112">
        <w:rPr>
          <w:color w:val="000000" w:themeColor="text1"/>
        </w:rPr>
        <w:t>% (</w:t>
      </w:r>
      <w:r w:rsidR="006546DF">
        <w:rPr>
          <w:color w:val="000000" w:themeColor="text1"/>
        </w:rPr>
        <w:t>x</w:t>
      </w:r>
      <w:r w:rsidRPr="00781112">
        <w:rPr>
          <w:color w:val="000000" w:themeColor="text1"/>
        </w:rPr>
        <w:t>/9)</w:t>
      </w:r>
      <w:r w:rsidRPr="00781112">
        <w:rPr>
          <w:color w:val="000000" w:themeColor="text1"/>
        </w:rPr>
        <w:br/>
      </w:r>
      <w:r w:rsidRPr="00781112">
        <w:rPr>
          <w:color w:val="000000" w:themeColor="text1"/>
        </w:rPr>
        <w:br/>
        <w:t>Summary: Participation Rates</w:t>
      </w:r>
      <w:r w:rsidRPr="00781112">
        <w:rPr>
          <w:color w:val="000000" w:themeColor="text1"/>
        </w:rPr>
        <w:br/>
        <w:t xml:space="preserve">The participation rate for all students, inclusive of those with IEPs, decreased by 2% from the last reporting period (F‘21) with 95% students screened in F‘22 as compared to 97% in F‘21. However, the disaggregation of the data by students with IEPs indicates there was an 8% decrease in participation from the last reporting period for students with IEPs with only 66% screened in F‘22 as compared to 72% in F‘21. The data indicate a large gap between the participation of all students &amp; students with IEPs. Recommendations include a root cause analysis be conducted to understand the considerable disparity between the 2 groups </w:t>
      </w:r>
      <w:proofErr w:type="gramStart"/>
      <w:r w:rsidRPr="00781112">
        <w:rPr>
          <w:color w:val="000000" w:themeColor="text1"/>
        </w:rPr>
        <w:t>in order to</w:t>
      </w:r>
      <w:proofErr w:type="gramEnd"/>
      <w:r w:rsidRPr="00781112">
        <w:rPr>
          <w:color w:val="000000" w:themeColor="text1"/>
        </w:rPr>
        <w:t xml:space="preserve"> identify strategies to increase participation rates for students with IEPs.</w:t>
      </w:r>
      <w:r w:rsidRPr="00781112">
        <w:rPr>
          <w:color w:val="000000" w:themeColor="text1"/>
        </w:rPr>
        <w:br/>
      </w:r>
      <w:r w:rsidRPr="00781112">
        <w:rPr>
          <w:color w:val="000000" w:themeColor="text1"/>
        </w:rPr>
        <w:br/>
        <w:t>Performance Rates</w:t>
      </w:r>
      <w:r w:rsidRPr="00781112">
        <w:rPr>
          <w:color w:val="000000" w:themeColor="text1"/>
        </w:rPr>
        <w:br/>
        <w:t xml:space="preserve">The performance rates looked at cohort data as students in the same cohort moved from one grade-level to the next. Data was examined for both “average &amp; above'' &amp; “benchmark &amp; above” categories to assess progress towards the </w:t>
      </w:r>
      <w:proofErr w:type="spellStart"/>
      <w:r w:rsidRPr="00781112">
        <w:rPr>
          <w:color w:val="000000" w:themeColor="text1"/>
        </w:rPr>
        <w:t>SiMR</w:t>
      </w:r>
      <w:proofErr w:type="spellEnd"/>
      <w:r w:rsidRPr="00781112">
        <w:rPr>
          <w:color w:val="000000" w:themeColor="text1"/>
        </w:rPr>
        <w:t>. In examining the data, the results indicate progress being made when looking at the data for all students in grades K-3. However, in disaggregating the data by students with IEPs, there is a gap between the performance of all students &amp; students with IEPs. Percent change between F’21 data &amp; the latest data point was calculated by finding the difference between the two percentages, dividing the answer by the 2nd percentage, &amp; multiplying the # by 100 to determine the percent of increase or decrease. Notable increases in performance percentages are detailed below:</w:t>
      </w:r>
      <w:r w:rsidRPr="00781112">
        <w:rPr>
          <w:color w:val="000000" w:themeColor="text1"/>
        </w:rPr>
        <w:br/>
      </w:r>
      <w:r w:rsidRPr="00781112">
        <w:rPr>
          <w:color w:val="000000" w:themeColor="text1"/>
        </w:rPr>
        <w:br/>
        <w:t>Average &amp; Above</w:t>
      </w:r>
      <w:r w:rsidRPr="00781112">
        <w:rPr>
          <w:color w:val="000000" w:themeColor="text1"/>
        </w:rPr>
        <w:br/>
        <w:t xml:space="preserve">24% increase in IS for K from F‘21-W ‘22 for all students </w:t>
      </w:r>
      <w:r w:rsidRPr="00781112">
        <w:rPr>
          <w:color w:val="000000" w:themeColor="text1"/>
        </w:rPr>
        <w:br/>
        <w:t>59% increase in LNF for K from F ‘21-W ‘22 for all students</w:t>
      </w:r>
      <w:r w:rsidRPr="00781112">
        <w:rPr>
          <w:color w:val="000000" w:themeColor="text1"/>
        </w:rPr>
        <w:br/>
        <w:t>102% increase in LNF for K from F ‘21-W ‘22 for IEP students</w:t>
      </w:r>
      <w:r w:rsidRPr="00781112">
        <w:rPr>
          <w:color w:val="000000" w:themeColor="text1"/>
        </w:rPr>
        <w:br/>
        <w:t>42% increase in ORF for 2nd GR from F ‘21 when students were in 1st GR to F ‘22 when they entered 2nd GR (all students)</w:t>
      </w:r>
      <w:r w:rsidRPr="00781112">
        <w:rPr>
          <w:color w:val="000000" w:themeColor="text1"/>
        </w:rPr>
        <w:br/>
        <w:t>2% increase in RC for 3rd GR from F ‘21 when students were in 2nd GR to F ‘22 when they entered 3rd GR (all students)</w:t>
      </w:r>
      <w:r w:rsidRPr="00781112">
        <w:rPr>
          <w:color w:val="000000" w:themeColor="text1"/>
        </w:rPr>
        <w:br/>
      </w:r>
      <w:r w:rsidRPr="00781112">
        <w:rPr>
          <w:color w:val="000000" w:themeColor="text1"/>
        </w:rPr>
        <w:br/>
        <w:t>Benchmark &amp; Above</w:t>
      </w:r>
      <w:r w:rsidRPr="00781112">
        <w:rPr>
          <w:color w:val="000000" w:themeColor="text1"/>
        </w:rPr>
        <w:br/>
        <w:t>33% increase in IS for K from F ‘21-W ‘22 for all students</w:t>
      </w:r>
      <w:r w:rsidRPr="00781112">
        <w:rPr>
          <w:color w:val="000000" w:themeColor="text1"/>
        </w:rPr>
        <w:br/>
        <w:t>64% increase in LNF for K from F ‘21-W ‘22 for all students</w:t>
      </w:r>
      <w:r w:rsidRPr="00781112">
        <w:rPr>
          <w:color w:val="000000" w:themeColor="text1"/>
        </w:rPr>
        <w:br/>
        <w:t>102% increase in LNF for K from F ‘21-W ‘22 for IEP students</w:t>
      </w:r>
      <w:r w:rsidRPr="00781112">
        <w:rPr>
          <w:color w:val="000000" w:themeColor="text1"/>
        </w:rPr>
        <w:br/>
        <w:t>26% increase in RC for 3rd GR from F ‘21 when students were in 2nd GR to F ‘22 when they entered 3rd GR (all students)</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lastRenderedPageBreak/>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In November 2021, in-person instruction resumed for 5-days a week. Students not receiving in-person instruction received online instruction. The ACT Aspire and MSAA summative assessments were conducted in the Spring of 2022. Students receiving in-person instruction participated in the district’s summative assessments. However, online students were asked to come on-campus to take the summative assessments. Not all online students abided with the district’s request to report to campus for testing. </w:t>
      </w:r>
      <w:proofErr w:type="gramStart"/>
      <w:r w:rsidRPr="00781112">
        <w:rPr>
          <w:color w:val="000000" w:themeColor="text1"/>
        </w:rPr>
        <w:t>As a consequence</w:t>
      </w:r>
      <w:proofErr w:type="gramEnd"/>
      <w:r w:rsidRPr="00781112">
        <w:rPr>
          <w:color w:val="000000" w:themeColor="text1"/>
        </w:rPr>
        <w:t xml:space="preserve">, data completeness was significantly impacted due to the COVID-19 pandemic. In SY 2018-2019, pre-pandemic participation rates for all 3rd grade students </w:t>
      </w:r>
      <w:proofErr w:type="gramStart"/>
      <w:r w:rsidRPr="00781112">
        <w:rPr>
          <w:color w:val="000000" w:themeColor="text1"/>
        </w:rPr>
        <w:t>was</w:t>
      </w:r>
      <w:proofErr w:type="gramEnd"/>
      <w:r w:rsidRPr="00781112">
        <w:rPr>
          <w:color w:val="000000" w:themeColor="text1"/>
        </w:rPr>
        <w:t xml:space="preserve"> 96% (2102/2189). For 3rd grade students with IEPs, the participation rate for the same school year was 100% (80/80) (GDOE ASPER, 2019). For SY 2020-2021, the participation rate for all 3rd grade students was 42% (880/2110). For 3rd grade students with IEPs, the participation rate was 43% (30/69) (GDOE ASPER, 2021). For this reporting year, participation rates for 3rd graders increased to 87% (1692/1928). Third-grade students with IEP’s who participated in the ACT Aspire were 86% (56/65). Though there was an increase in participation rates from the previous school year, the pandemic participation rates remain 10% lower than pre-pandemic participation rates. For students with disabilities who were tested in the district-wide assessment using an alternate assessment using alternate achievement standards (AA-AAS), the participation rate for 3rd-grade students was 75% (9/12). The pre-pandemic participation rate for students on the AA-AAS was 100% (21/21).</w:t>
      </w:r>
      <w:r w:rsidRPr="00781112">
        <w:rPr>
          <w:color w:val="000000" w:themeColor="text1"/>
        </w:rPr>
        <w:br/>
      </w:r>
      <w:r w:rsidRPr="00781112">
        <w:rPr>
          <w:color w:val="000000" w:themeColor="text1"/>
        </w:rPr>
        <w:br/>
        <w:t xml:space="preserve">For the four SSIP target schools, the participation rate for 3rd grade students with IEPs was 89% (8/9) which is an increase from the last reporting period which had a participation rate of 44% (4/9). For general education students in the target schools, the participation rate was also 89% (270/302) which is an increase from last year’s rate of 79% (165/210). In both groups of students, there were significant increases from the last reporting </w:t>
      </w:r>
      <w:proofErr w:type="gramStart"/>
      <w:r w:rsidRPr="00781112">
        <w:rPr>
          <w:color w:val="000000" w:themeColor="text1"/>
        </w:rPr>
        <w:t>year</w:t>
      </w:r>
      <w:proofErr w:type="gramEnd"/>
      <w:r w:rsidRPr="00781112">
        <w:rPr>
          <w:color w:val="000000" w:themeColor="text1"/>
        </w:rPr>
        <w:t xml:space="preserve"> but the rates were still lower than pre-pandemic rates. Therefore, data completeness was impacted </w:t>
      </w:r>
      <w:proofErr w:type="gramStart"/>
      <w:r w:rsidRPr="00781112">
        <w:rPr>
          <w:color w:val="000000" w:themeColor="text1"/>
        </w:rPr>
        <w:t>as a result of</w:t>
      </w:r>
      <w:proofErr w:type="gramEnd"/>
      <w:r w:rsidRPr="00781112">
        <w:rPr>
          <w:color w:val="000000" w:themeColor="text1"/>
        </w:rPr>
        <w:t xml:space="preserve"> COVID-19.</w:t>
      </w:r>
      <w:r w:rsidRPr="00781112">
        <w:rPr>
          <w:color w:val="000000" w:themeColor="text1"/>
        </w:rPr>
        <w:br/>
      </w:r>
      <w:r w:rsidRPr="00781112">
        <w:rPr>
          <w:color w:val="000000" w:themeColor="text1"/>
        </w:rPr>
        <w:br/>
        <w:t>To mitigate the impact of COVID-19 on the data collection, GDOE called families of students who were receiving online instruction and highly encouraged them to bring their child/ren to the school campus to take the district-wide assessment.</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link to Guam Part B's current Evaluation Plan is as follows:</w:t>
      </w:r>
      <w:r w:rsidRPr="00781112">
        <w:rPr>
          <w:color w:val="000000" w:themeColor="text1"/>
        </w:rPr>
        <w:br/>
      </w:r>
      <w:r w:rsidRPr="00781112">
        <w:rPr>
          <w:color w:val="000000" w:themeColor="text1"/>
        </w:rPr>
        <w:br/>
        <w:t>https://www.gdoe.net/District/Department/2-Special-Education/1874-State-Performance-Plan-and-Annual-Performance-Report.html</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changes to the evaluation plan are reflective of the changes in the TOA which were changed to better align with the improvement activities conducted at SSIP schools – see changes in Coherent Improvement Strategies under prompt: Please provide a description of the changes and updates to the theory of action.</w:t>
      </w:r>
      <w:r w:rsidRPr="00781112">
        <w:rPr>
          <w:color w:val="000000" w:themeColor="text1"/>
        </w:rPr>
        <w:br/>
      </w:r>
      <w:r w:rsidRPr="00781112">
        <w:rPr>
          <w:color w:val="000000" w:themeColor="text1"/>
        </w:rPr>
        <w:br/>
        <w:t>In addition to the changes in the Coherent Improvement Strategies, the following changes were incorporated into the evaluation plan:</w:t>
      </w:r>
      <w:r w:rsidRPr="00781112">
        <w:rPr>
          <w:color w:val="000000" w:themeColor="text1"/>
        </w:rPr>
        <w:br/>
        <w:t>- development of a scoring criteria to measure the level of activity implementation. A score of “1” indicates little or no implementation; “2” is some implementation; “3” is moderate implementation; and “4” is strong implementation;</w:t>
      </w:r>
      <w:r w:rsidRPr="00781112">
        <w:rPr>
          <w:color w:val="000000" w:themeColor="text1"/>
        </w:rPr>
        <w:br/>
        <w:t>- identification of evaluation roles and responsibilities;</w:t>
      </w:r>
      <w:r w:rsidRPr="00781112">
        <w:rPr>
          <w:color w:val="000000" w:themeColor="text1"/>
        </w:rPr>
        <w:br/>
        <w:t>- clear articulation of the linkages between the improvement strategies and the intended outputs and outcomes; and</w:t>
      </w:r>
      <w:r w:rsidRPr="00781112">
        <w:rPr>
          <w:color w:val="000000" w:themeColor="text1"/>
        </w:rPr>
        <w:br/>
        <w:t>- update of evaluation questions and performance indicators to reflect the revised Coherent Improvement Strategies and to ensure that only the most important and meaningful outcomes related to the SSIP are being evaluated.</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SSIP evaluation plan had not been revisited since 2015. Within this time, significant changes in the system occurred including the impact of the COVID-19 pandemic. As a result, the SSIP Core Team felt it was imperative to revisit the TOA, the Logic </w:t>
      </w:r>
      <w:proofErr w:type="gramStart"/>
      <w:r w:rsidRPr="00781112">
        <w:rPr>
          <w:color w:val="000000" w:themeColor="text1"/>
        </w:rPr>
        <w:t>Model</w:t>
      </w:r>
      <w:proofErr w:type="gramEnd"/>
      <w:r w:rsidRPr="00781112">
        <w:rPr>
          <w:color w:val="000000" w:themeColor="text1"/>
        </w:rPr>
        <w:t xml:space="preserve"> and the evaluation plan to identify strengths, gaps, and weaknesses. Stakeholders were involved in this self-assessment of the evaluation process. Two work sessions with stakeholders were held and input was collected on possible changes to the evaluation plan, TOA, and Logic Model. This process resulted in changes in all three components. The rationale for the changes </w:t>
      </w:r>
      <w:proofErr w:type="gramStart"/>
      <w:r w:rsidRPr="00781112">
        <w:rPr>
          <w:color w:val="000000" w:themeColor="text1"/>
        </w:rPr>
        <w:t>are</w:t>
      </w:r>
      <w:proofErr w:type="gramEnd"/>
      <w:r w:rsidRPr="00781112">
        <w:rPr>
          <w:color w:val="000000" w:themeColor="text1"/>
        </w:rPr>
        <w:t xml:space="preserve"> centered in ensuring that there is a clear connection between outputs, outcomes, and activities. In addition, stakeholders assessed whether there was an evident articulation between the outcomes, the TOA, and the Logic Model. In the original evaluation plan, the connection to the three elements was not well-defined. In addition, performance indicators were revisited to certify that they are Specific, Measurable, Achievable, Relevant, and Timely (S.M.A.R.T.). </w:t>
      </w:r>
      <w:r w:rsidRPr="00781112">
        <w:rPr>
          <w:color w:val="000000" w:themeColor="text1"/>
        </w:rPr>
        <w:br/>
      </w:r>
      <w:r w:rsidRPr="00781112">
        <w:rPr>
          <w:color w:val="000000" w:themeColor="text1"/>
        </w:rPr>
        <w:br/>
      </w:r>
      <w:proofErr w:type="gramStart"/>
      <w:r w:rsidRPr="00781112">
        <w:rPr>
          <w:color w:val="000000" w:themeColor="text1"/>
        </w:rPr>
        <w:t>As a consequence of</w:t>
      </w:r>
      <w:proofErr w:type="gramEnd"/>
      <w:r w:rsidRPr="00781112">
        <w:rPr>
          <w:color w:val="000000" w:themeColor="text1"/>
        </w:rPr>
        <w:t xml:space="preserve"> the stakeholder work sessions, specific changes in the evaluation plan were made. These changes included the following:</w:t>
      </w:r>
      <w:r w:rsidRPr="00781112">
        <w:rPr>
          <w:color w:val="000000" w:themeColor="text1"/>
        </w:rPr>
        <w:br/>
        <w:t>- development of a scoring criteria to measure the level of activity implementation;</w:t>
      </w:r>
      <w:r w:rsidRPr="00781112">
        <w:rPr>
          <w:color w:val="000000" w:themeColor="text1"/>
        </w:rPr>
        <w:br/>
        <w:t>- identification of evaluation roles and responsibilities;</w:t>
      </w:r>
      <w:r w:rsidRPr="00781112">
        <w:rPr>
          <w:color w:val="000000" w:themeColor="text1"/>
        </w:rPr>
        <w:br/>
        <w:t>- clear articulation of the linkages between the improvement strategies and the intended outputs and outcomes; and</w:t>
      </w:r>
      <w:r w:rsidRPr="00781112">
        <w:rPr>
          <w:color w:val="000000" w:themeColor="text1"/>
        </w:rPr>
        <w:br/>
        <w:t>- update of evaluation questions and performance indicators to reflect the revised Coherent Improvement Strategies and to ensure that only the most important and meaningful outcomes related to the SSIP are being evaluated.</w:t>
      </w:r>
      <w:r w:rsidRPr="00781112">
        <w:rPr>
          <w:color w:val="000000" w:themeColor="text1"/>
        </w:rPr>
        <w:br/>
      </w:r>
      <w:r w:rsidRPr="00781112">
        <w:rPr>
          <w:color w:val="000000" w:themeColor="text1"/>
        </w:rPr>
        <w:br/>
        <w:t>In summary, the rationale for the changes in the evaluation plan are centered on solidifying the connection between outcomes, the TOA, and the Logic Model and ensuring that evaluation activities are relevant and meaningful and can be operationalized in tandem with implementation efforts.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SSIP Logic Model (LM) provided the framework for how support was provided to the participating schools to improve infrastructure at the district and school levels. Each of the outcomes in the LM was aligned with the Coherent Improvement Strategies (CIS) in the Theory of Action (TOA). Each outcome is supported by activities that demonstrate how the LM is implemented. The TOA, which is linked in this report, demonstrates the connection between the CIS to the goals of the SSIP. The following details each CIS, the corresponding outcomes from the LM and the related activities and is organized the following way: </w:t>
      </w:r>
      <w:r w:rsidRPr="00781112">
        <w:rPr>
          <w:color w:val="000000" w:themeColor="text1"/>
        </w:rPr>
        <w:br/>
        <w:t xml:space="preserve">- CIS: Infrastructure improvement strategies that will guide the development and implementation of specific activities that support the achievement of </w:t>
      </w:r>
      <w:r w:rsidRPr="00781112">
        <w:rPr>
          <w:color w:val="000000" w:themeColor="text1"/>
        </w:rPr>
        <w:lastRenderedPageBreak/>
        <w:t>SSIP goals</w:t>
      </w:r>
      <w:r w:rsidRPr="00781112">
        <w:rPr>
          <w:color w:val="000000" w:themeColor="text1"/>
        </w:rPr>
        <w:br/>
        <w:t>- Outcomes: Targets in the SSIP LM that define the success of each CIS</w:t>
      </w:r>
      <w:r w:rsidRPr="00781112">
        <w:rPr>
          <w:color w:val="000000" w:themeColor="text1"/>
        </w:rPr>
        <w:br/>
        <w:t>- Activities: The specific steps related to the CIS that were implemented to achieve the SSIP goals</w:t>
      </w:r>
      <w:r w:rsidRPr="00781112">
        <w:rPr>
          <w:color w:val="000000" w:themeColor="text1"/>
        </w:rPr>
        <w:br/>
      </w:r>
      <w:r w:rsidRPr="00781112">
        <w:rPr>
          <w:color w:val="000000" w:themeColor="text1"/>
        </w:rPr>
        <w:br/>
        <w:t>CIS #1: Improvement Science</w:t>
      </w:r>
      <w:r w:rsidRPr="00781112">
        <w:rPr>
          <w:color w:val="000000" w:themeColor="text1"/>
        </w:rPr>
        <w:br/>
        <w:t>Short-term Outcome: Administrators, teachers, and instructional coaches at SSIP schools have increased knowledge in improvement science.</w:t>
      </w:r>
      <w:r w:rsidRPr="00781112">
        <w:rPr>
          <w:color w:val="000000" w:themeColor="text1"/>
        </w:rPr>
        <w:br/>
        <w:t xml:space="preserve">Intermediate Outcomes: </w:t>
      </w:r>
      <w:r w:rsidRPr="00781112">
        <w:rPr>
          <w:color w:val="000000" w:themeColor="text1"/>
        </w:rPr>
        <w:br/>
        <w:t>- Administrators and teachers implement PDSA cycles as designed and modify as needed.</w:t>
      </w:r>
      <w:r w:rsidRPr="00781112">
        <w:rPr>
          <w:color w:val="000000" w:themeColor="text1"/>
        </w:rPr>
        <w:br/>
        <w:t>- Teachers have increased knowledge in data-based decision making.</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xml:space="preserve">- Professional Learning (PL) sessions on PDSAs, data literacy, data-based decision making, and EBPs </w:t>
      </w:r>
      <w:r w:rsidRPr="00781112">
        <w:rPr>
          <w:color w:val="000000" w:themeColor="text1"/>
        </w:rPr>
        <w:br/>
        <w:t>- Fidelity observations on the administration of the universal screener</w:t>
      </w:r>
      <w:r w:rsidRPr="00781112">
        <w:rPr>
          <w:color w:val="000000" w:themeColor="text1"/>
        </w:rPr>
        <w:br/>
        <w:t>- Observations and feedback on classroom PDSAs</w:t>
      </w:r>
      <w:r w:rsidRPr="00781112">
        <w:rPr>
          <w:color w:val="000000" w:themeColor="text1"/>
        </w:rPr>
        <w:br/>
      </w:r>
      <w:r w:rsidRPr="00781112">
        <w:rPr>
          <w:color w:val="000000" w:themeColor="text1"/>
        </w:rPr>
        <w:br/>
        <w:t>CIS #2: Families and Community as Partners</w:t>
      </w:r>
      <w:r w:rsidRPr="00781112">
        <w:rPr>
          <w:color w:val="000000" w:themeColor="text1"/>
        </w:rPr>
        <w:br/>
        <w:t>Short-Term Outcome: Administrators and teachers at SSIP schools have increased knowledge and skills in implementing evidence-based family engagement strategies to support improved reading.</w:t>
      </w:r>
      <w:r w:rsidRPr="00781112">
        <w:rPr>
          <w:color w:val="000000" w:themeColor="text1"/>
        </w:rPr>
        <w:br/>
        <w:t xml:space="preserve">Intermediate Outcomes: </w:t>
      </w:r>
      <w:r w:rsidRPr="00781112">
        <w:rPr>
          <w:color w:val="000000" w:themeColor="text1"/>
        </w:rPr>
        <w:br/>
        <w:t>- SSIP schools are implementing family engagement strategies for improving reading.</w:t>
      </w:r>
      <w:r w:rsidRPr="00781112">
        <w:rPr>
          <w:color w:val="000000" w:themeColor="text1"/>
        </w:rPr>
        <w:br/>
        <w:t>- Families reported that they are knowledgeable about strategies for supporting reading at home and in the community.</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Leveraging State Personnel Development Grant (SPDG) work team sessions to include SSIP principals, an SSIP teacher, and SSIP parents</w:t>
      </w:r>
      <w:r w:rsidRPr="00781112">
        <w:rPr>
          <w:color w:val="000000" w:themeColor="text1"/>
        </w:rPr>
        <w:br/>
        <w:t>- SPDG Leading by Convening trainers include an SSIP principal, teacher, and parent</w:t>
      </w:r>
      <w:r w:rsidRPr="00781112">
        <w:rPr>
          <w:color w:val="000000" w:themeColor="text1"/>
        </w:rPr>
        <w:br/>
        <w:t>- GAPSD-considered Guam’s Part B “broad” stakeholder group of individuals who provide input, suggestions, and recommendations for improving special education and related services for children with disabilities on Guam. One of the SSIP Core Team members is also a GAPSD member and a GEB member who shares information with the panel and board members, respectively.</w:t>
      </w:r>
      <w:r w:rsidRPr="00781112">
        <w:rPr>
          <w:color w:val="000000" w:themeColor="text1"/>
        </w:rPr>
        <w:br/>
      </w:r>
      <w:r w:rsidRPr="00781112">
        <w:rPr>
          <w:color w:val="000000" w:themeColor="text1"/>
        </w:rPr>
        <w:br/>
        <w:t>CIS #3: Professional Learning (PL)</w:t>
      </w:r>
      <w:r w:rsidRPr="00781112">
        <w:rPr>
          <w:color w:val="000000" w:themeColor="text1"/>
        </w:rPr>
        <w:br/>
        <w:t>Short-Term Outcome: PL policy and procedures were developed that encompassed research-based practices and elements of high-quality practice-based opportunities.</w:t>
      </w:r>
      <w:r w:rsidRPr="00781112">
        <w:rPr>
          <w:color w:val="000000" w:themeColor="text1"/>
        </w:rPr>
        <w:br/>
        <w:t>Intermediate Outcomes:</w:t>
      </w:r>
      <w:r w:rsidRPr="00781112">
        <w:rPr>
          <w:color w:val="000000" w:themeColor="text1"/>
        </w:rPr>
        <w:br/>
        <w:t>- PL activities adhered to established professional learning policy and procedures.</w:t>
      </w:r>
      <w:r w:rsidRPr="00781112">
        <w:rPr>
          <w:color w:val="000000" w:themeColor="text1"/>
        </w:rPr>
        <w:br/>
        <w:t xml:space="preserve">- Teachers at SSIP schools reported they were satisfied with the quantity and intensity of the professional learning activities provided by GDOE. </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Discussion &amp; research on the procedures &amp; standards for quality, evidence-based PL</w:t>
      </w:r>
      <w:r w:rsidRPr="00781112">
        <w:rPr>
          <w:color w:val="000000" w:themeColor="text1"/>
        </w:rPr>
        <w:br/>
        <w:t>- Leveraging SPDG to engage stakeholders in building a more responsive PL system to improve reading</w:t>
      </w:r>
      <w:r w:rsidRPr="00781112">
        <w:rPr>
          <w:color w:val="000000" w:themeColor="text1"/>
        </w:rPr>
        <w:br/>
      </w:r>
      <w:r w:rsidRPr="00781112">
        <w:rPr>
          <w:color w:val="000000" w:themeColor="text1"/>
        </w:rPr>
        <w:br/>
        <w:t>CIS#4: EBPs</w:t>
      </w:r>
      <w:r w:rsidRPr="00781112">
        <w:rPr>
          <w:color w:val="000000" w:themeColor="text1"/>
        </w:rPr>
        <w:br/>
        <w:t>Short-Term Outcome: Teachers at the SSIP schools have increased knowledge in the implementation of EBPs and supplemental interventions in reading.</w:t>
      </w:r>
      <w:r w:rsidRPr="00781112">
        <w:rPr>
          <w:color w:val="000000" w:themeColor="text1"/>
        </w:rPr>
        <w:br/>
        <w:t xml:space="preserve">Intermediate Outcomes: </w:t>
      </w:r>
      <w:r w:rsidRPr="00781112">
        <w:rPr>
          <w:color w:val="000000" w:themeColor="text1"/>
        </w:rPr>
        <w:br/>
        <w:t>- Teachers at the SSIP schools implemented EBPs in reading with fidelity.</w:t>
      </w:r>
      <w:r w:rsidRPr="00781112">
        <w:rPr>
          <w:color w:val="000000" w:themeColor="text1"/>
        </w:rPr>
        <w:br/>
        <w:t>- Teachers in the SSIP schools implemented EBPs for supplemental interventions in reading for struggling readers.</w:t>
      </w:r>
      <w:r w:rsidRPr="00781112">
        <w:rPr>
          <w:color w:val="000000" w:themeColor="text1"/>
        </w:rPr>
        <w:br/>
        <w:t xml:space="preserve">Long-Term Outcomes: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PL sessions on EBPs for reading (Science of Reading)</w:t>
      </w:r>
      <w:r w:rsidRPr="00781112">
        <w:rPr>
          <w:color w:val="000000" w:themeColor="text1"/>
        </w:rPr>
        <w:br/>
        <w:t>- PL sessions on the Reading Mastery program for RRTs</w:t>
      </w:r>
      <w:r w:rsidRPr="00781112">
        <w:rPr>
          <w:color w:val="000000" w:themeColor="text1"/>
        </w:rPr>
        <w:br/>
      </w:r>
      <w:r w:rsidRPr="00781112">
        <w:rPr>
          <w:color w:val="000000" w:themeColor="text1"/>
        </w:rPr>
        <w:br/>
        <w:t>CIS #5: TA Support &amp; Coaching</w:t>
      </w:r>
      <w:r w:rsidRPr="00781112">
        <w:rPr>
          <w:color w:val="000000" w:themeColor="text1"/>
        </w:rPr>
        <w:br/>
        <w:t>Short-Term Outcome: Teachers at SSIP schools receiving TA support and coaching reported increased knowledge and skills in reading instruction.</w:t>
      </w:r>
      <w:r w:rsidRPr="00781112">
        <w:rPr>
          <w:color w:val="000000" w:themeColor="text1"/>
        </w:rPr>
        <w:br/>
        <w:t>Intermediate Outcome: Teachers at SSIP schools implemented EBPs and supplemental interventions with fidelity.</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xml:space="preserve">- PL sessions provided by the district and the Progress Center for </w:t>
      </w:r>
      <w:proofErr w:type="spellStart"/>
      <w:r w:rsidRPr="00781112">
        <w:rPr>
          <w:color w:val="000000" w:themeColor="text1"/>
        </w:rPr>
        <w:t>SpEd</w:t>
      </w:r>
      <w:proofErr w:type="spellEnd"/>
      <w:r w:rsidRPr="00781112">
        <w:rPr>
          <w:color w:val="000000" w:themeColor="text1"/>
        </w:rPr>
        <w:t xml:space="preserve"> coaches on IEP components and development </w:t>
      </w:r>
      <w:r w:rsidRPr="00781112">
        <w:rPr>
          <w:color w:val="000000" w:themeColor="text1"/>
        </w:rPr>
        <w:br/>
        <w:t>- PL provided by the district to build the capacity of Instructional Coaches (ICs) to include training from REL on improving teacher performance through instructional coaching and training to ICs on the district’s universal screener</w:t>
      </w:r>
      <w:r w:rsidRPr="00781112">
        <w:rPr>
          <w:color w:val="000000" w:themeColor="text1"/>
        </w:rPr>
        <w:br/>
        <w:t xml:space="preserve">- IC coaching activities for SSIP schools: Creating SMART goals and PDSAs, </w:t>
      </w:r>
      <w:proofErr w:type="spellStart"/>
      <w:r w:rsidRPr="00781112">
        <w:rPr>
          <w:color w:val="000000" w:themeColor="text1"/>
        </w:rPr>
        <w:t>aimswebPlus</w:t>
      </w:r>
      <w:proofErr w:type="spellEnd"/>
      <w:r w:rsidRPr="00781112">
        <w:rPr>
          <w:color w:val="000000" w:themeColor="text1"/>
        </w:rPr>
        <w:t xml:space="preserve"> data analysis, coaching for </w:t>
      </w:r>
      <w:proofErr w:type="spellStart"/>
      <w:r w:rsidRPr="00781112">
        <w:rPr>
          <w:color w:val="000000" w:themeColor="text1"/>
        </w:rPr>
        <w:t>aimswebPlus</w:t>
      </w:r>
      <w:proofErr w:type="spellEnd"/>
      <w:r w:rsidRPr="00781112">
        <w:rPr>
          <w:color w:val="000000" w:themeColor="text1"/>
        </w:rPr>
        <w:t xml:space="preserve"> school managers, classroom observations with feedback, and supporting new teachers </w:t>
      </w:r>
      <w:r w:rsidRPr="00781112">
        <w:rPr>
          <w:color w:val="000000" w:themeColor="text1"/>
        </w:rPr>
        <w:br/>
        <w:t xml:space="preserve">- </w:t>
      </w:r>
      <w:proofErr w:type="spellStart"/>
      <w:r w:rsidRPr="00781112">
        <w:rPr>
          <w:color w:val="000000" w:themeColor="text1"/>
        </w:rPr>
        <w:t>SpEd</w:t>
      </w:r>
      <w:proofErr w:type="spellEnd"/>
      <w:r w:rsidRPr="00781112">
        <w:rPr>
          <w:color w:val="000000" w:themeColor="text1"/>
        </w:rPr>
        <w:t xml:space="preserve"> coaches activities for SSIP schools: Coaching on the development of PLAAFP and goals </w:t>
      </w:r>
      <w:r w:rsidRPr="00781112">
        <w:rPr>
          <w:color w:val="000000" w:themeColor="text1"/>
        </w:rPr>
        <w:br/>
      </w:r>
      <w:r w:rsidRPr="00781112">
        <w:rPr>
          <w:color w:val="000000" w:themeColor="text1"/>
        </w:rPr>
        <w:br/>
        <w:t>CIS # 6: Development, Implementation, and Monitoring of Individualized Education Program (IEP)</w:t>
      </w:r>
      <w:r w:rsidRPr="00781112">
        <w:rPr>
          <w:color w:val="000000" w:themeColor="text1"/>
        </w:rPr>
        <w:br/>
        <w:t>Short-term Outcome: IEP teams increased their knowledge and skills in the development of IEP components for students with IEPs.</w:t>
      </w:r>
      <w:r w:rsidRPr="00781112">
        <w:rPr>
          <w:color w:val="000000" w:themeColor="text1"/>
        </w:rPr>
        <w:br/>
        <w:t>Intermediate Outcome: IEP Teams developed, reviewed, and revised IEPs to ensure they are procedurally and substantively sound.</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t>Activities:</w:t>
      </w:r>
      <w:r w:rsidRPr="00781112">
        <w:rPr>
          <w:color w:val="000000" w:themeColor="text1"/>
        </w:rPr>
        <w:br/>
        <w:t xml:space="preserve">- PL sessions for </w:t>
      </w:r>
      <w:proofErr w:type="spellStart"/>
      <w:r w:rsidRPr="00781112">
        <w:rPr>
          <w:color w:val="000000" w:themeColor="text1"/>
        </w:rPr>
        <w:t>SpEd</w:t>
      </w:r>
      <w:proofErr w:type="spellEnd"/>
      <w:r w:rsidRPr="00781112">
        <w:rPr>
          <w:color w:val="000000" w:themeColor="text1"/>
        </w:rPr>
        <w:t xml:space="preserve"> coaches on IEP development from the Progress Center</w:t>
      </w:r>
      <w:r w:rsidRPr="00781112">
        <w:rPr>
          <w:color w:val="000000" w:themeColor="text1"/>
        </w:rPr>
        <w:br/>
        <w:t xml:space="preserve">- PL session for </w:t>
      </w:r>
      <w:proofErr w:type="spellStart"/>
      <w:r w:rsidRPr="00781112">
        <w:rPr>
          <w:color w:val="000000" w:themeColor="text1"/>
        </w:rPr>
        <w:t>SpEd</w:t>
      </w:r>
      <w:proofErr w:type="spellEnd"/>
      <w:r w:rsidRPr="00781112">
        <w:rPr>
          <w:color w:val="000000" w:themeColor="text1"/>
        </w:rPr>
        <w:t xml:space="preserve"> coaches in using universal screener for PLAAFP development</w:t>
      </w:r>
      <w:r w:rsidRPr="00781112">
        <w:rPr>
          <w:color w:val="000000" w:themeColor="text1"/>
        </w:rPr>
        <w:br/>
        <w:t xml:space="preserve">- Coaching on IEP development provided to IEP teams by </w:t>
      </w:r>
      <w:proofErr w:type="spellStart"/>
      <w:r w:rsidRPr="00781112">
        <w:rPr>
          <w:color w:val="000000" w:themeColor="text1"/>
        </w:rPr>
        <w:t>SpEd</w:t>
      </w:r>
      <w:proofErr w:type="spellEnd"/>
      <w:r w:rsidRPr="00781112">
        <w:rPr>
          <w:color w:val="000000" w:themeColor="text1"/>
        </w:rPr>
        <w:t xml:space="preserve"> coaches</w:t>
      </w:r>
      <w:r w:rsidRPr="00781112">
        <w:rPr>
          <w:color w:val="000000" w:themeColor="text1"/>
        </w:rPr>
        <w:br/>
        <w:t xml:space="preserve">- Coaching on specific IEP stipulations by </w:t>
      </w:r>
      <w:proofErr w:type="spellStart"/>
      <w:r w:rsidRPr="00781112">
        <w:rPr>
          <w:color w:val="000000" w:themeColor="text1"/>
        </w:rPr>
        <w:t>SpEd</w:t>
      </w:r>
      <w:proofErr w:type="spellEnd"/>
      <w:r w:rsidRPr="00781112">
        <w:rPr>
          <w:color w:val="000000" w:themeColor="text1"/>
        </w:rPr>
        <w:t xml:space="preserve"> coaches</w:t>
      </w:r>
      <w:r w:rsidRPr="00781112">
        <w:rPr>
          <w:color w:val="000000" w:themeColor="text1"/>
        </w:rPr>
        <w:br/>
      </w:r>
      <w:r w:rsidRPr="00781112">
        <w:rPr>
          <w:color w:val="000000" w:themeColor="text1"/>
        </w:rPr>
        <w:br/>
        <w:t>CIS #7: Monitoring &amp; Accountability</w:t>
      </w:r>
      <w:r w:rsidRPr="00781112">
        <w:rPr>
          <w:color w:val="000000" w:themeColor="text1"/>
        </w:rPr>
        <w:br/>
        <w:t>Short-term Outcome: Teachers at SSIP schools have increased knowledge in EBPs for supplemental interventions and SDI in reading.</w:t>
      </w:r>
      <w:r w:rsidRPr="00781112">
        <w:rPr>
          <w:color w:val="000000" w:themeColor="text1"/>
        </w:rPr>
        <w:br/>
        <w:t>Intermediate Outcome: Teachers at SSIP schools implemented EBPs for supplemental interventions and SDI in reading with fidelity.</w:t>
      </w:r>
      <w:r w:rsidRPr="00781112">
        <w:rPr>
          <w:color w:val="000000" w:themeColor="text1"/>
        </w:rPr>
        <w:br/>
        <w:t xml:space="preserve">Long-Term Outcome: </w:t>
      </w:r>
      <w:proofErr w:type="spellStart"/>
      <w:r w:rsidRPr="00781112">
        <w:rPr>
          <w:color w:val="000000" w:themeColor="text1"/>
        </w:rPr>
        <w:t>SiMR</w:t>
      </w:r>
      <w:proofErr w:type="spellEnd"/>
      <w:r w:rsidRPr="00781112">
        <w:rPr>
          <w:color w:val="000000" w:themeColor="text1"/>
        </w:rPr>
        <w:br/>
      </w:r>
      <w:r w:rsidRPr="00781112">
        <w:rPr>
          <w:color w:val="000000" w:themeColor="text1"/>
        </w:rPr>
        <w:lastRenderedPageBreak/>
        <w:t>Activities:</w:t>
      </w:r>
      <w:r w:rsidRPr="00781112">
        <w:rPr>
          <w:color w:val="000000" w:themeColor="text1"/>
        </w:rPr>
        <w:br/>
        <w:t>- Fidelity observations for the implementation of Reading Mastery in the Resource Room</w:t>
      </w:r>
      <w:r w:rsidRPr="00781112">
        <w:rPr>
          <w:color w:val="000000" w:themeColor="text1"/>
        </w:rPr>
        <w:br/>
        <w:t>- Classroom observations on the implementation of PDSAs</w:t>
      </w:r>
      <w:r w:rsidRPr="00781112">
        <w:rPr>
          <w:color w:val="000000" w:themeColor="text1"/>
        </w:rPr>
        <w:br/>
        <w:t>- Fidelity observations on the administration of the universal screener</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CIS#1: Improvement Science</w:t>
      </w:r>
      <w:r w:rsidRPr="00781112">
        <w:rPr>
          <w:color w:val="000000" w:themeColor="text1"/>
        </w:rPr>
        <w:br/>
        <w:t xml:space="preserve">Outcomes achieved: </w:t>
      </w:r>
      <w:r w:rsidRPr="00781112">
        <w:rPr>
          <w:color w:val="000000" w:themeColor="text1"/>
        </w:rPr>
        <w:br/>
        <w:t>- Administrators, teachers, &amp; instructional coaches have increased knowledge in improvement science.</w:t>
      </w:r>
      <w:r w:rsidRPr="00781112">
        <w:rPr>
          <w:color w:val="000000" w:themeColor="text1"/>
        </w:rPr>
        <w:br/>
        <w:t>- Administrators &amp; teachers implement PDSA cycles as designed and modify as needed.</w:t>
      </w:r>
      <w:r w:rsidRPr="00781112">
        <w:rPr>
          <w:color w:val="000000" w:themeColor="text1"/>
        </w:rPr>
        <w:br/>
        <w:t xml:space="preserve">The outcomes for CIS#1 support governance as it ensures that leadership at the school &amp; local levels advocate for appropriate resources &amp; effectively plan, communicate, &amp; collaborate to drive ongoing system improvement. It is also related to data and accountability/monitoring &amp; quality standards as data is used to inform decisions &amp; to support the implementation of quality programs. CIS#1 supports system change &amp; is necessary for the achievement of the </w:t>
      </w:r>
      <w:proofErr w:type="spellStart"/>
      <w:r w:rsidRPr="00781112">
        <w:rPr>
          <w:color w:val="000000" w:themeColor="text1"/>
        </w:rPr>
        <w:t>SiMR</w:t>
      </w:r>
      <w:proofErr w:type="spellEnd"/>
      <w:r w:rsidRPr="00781112">
        <w:rPr>
          <w:color w:val="000000" w:themeColor="text1"/>
        </w:rPr>
        <w:t>, sustainability of systems improvements efforts &amp; scale-up by ensuring administrators &amp; teachers are equipped with the knowledge &amp; skills to guide the implementation of EBPs &amp; data-based decision making. Data collected to assess the outcome for this CIS are classroom observations, teachers surveys, &amp; document reviews.</w:t>
      </w:r>
      <w:r w:rsidRPr="00781112">
        <w:rPr>
          <w:color w:val="000000" w:themeColor="text1"/>
        </w:rPr>
        <w:br/>
      </w:r>
      <w:r w:rsidRPr="00781112">
        <w:rPr>
          <w:color w:val="000000" w:themeColor="text1"/>
        </w:rPr>
        <w:br/>
        <w:t>CIS#2: Family and Community Partners</w:t>
      </w:r>
      <w:r w:rsidRPr="00781112">
        <w:rPr>
          <w:color w:val="000000" w:themeColor="text1"/>
        </w:rPr>
        <w:br/>
        <w:t>Outcomes still in progress:</w:t>
      </w:r>
      <w:r w:rsidRPr="00781112">
        <w:rPr>
          <w:color w:val="000000" w:themeColor="text1"/>
        </w:rPr>
        <w:br/>
        <w:t>-SSIP schools are implementing family engagement strategies for improving reading.</w:t>
      </w:r>
      <w:r w:rsidRPr="00781112">
        <w:rPr>
          <w:color w:val="000000" w:themeColor="text1"/>
        </w:rPr>
        <w:br/>
        <w:t>- Families reported they are knowledgeable about strategies for supporting reading at home &amp; in the community.</w:t>
      </w:r>
      <w:r w:rsidRPr="00781112">
        <w:rPr>
          <w:color w:val="000000" w:themeColor="text1"/>
        </w:rPr>
        <w:br/>
        <w:t xml:space="preserve">The outcomes for CIS#2 are related to governance, professional development, &amp; technical assistance. The focus of CIS#2 is on building administrative structures that maximize family engagement. CIS#2 involves providing opportunities for families to engage in learning opportunities centered on what they can do at home &amp; in the community to support their child/ren’s reading progress, which supports achievement of the </w:t>
      </w:r>
      <w:proofErr w:type="spellStart"/>
      <w:r w:rsidRPr="00781112">
        <w:rPr>
          <w:color w:val="000000" w:themeColor="text1"/>
        </w:rPr>
        <w:t>SiMR</w:t>
      </w:r>
      <w:proofErr w:type="spellEnd"/>
      <w:r w:rsidRPr="00781112">
        <w:rPr>
          <w:color w:val="000000" w:themeColor="text1"/>
        </w:rPr>
        <w:t xml:space="preserve">. No formal TA activities were conducted for this reporting period as the focus was on alleviating the impacts of the pandemic on learning through a targeted focus on classroom instruction. However, SSIP classroom teachers have been working directly with families to engage them in activities to support families at home. Parent interviews were conducted to gather information from families with a child/ren with an IEP on how schools were helping families to support their child/ren in reading during &amp; after the pandemic. </w:t>
      </w:r>
      <w:r w:rsidRPr="00781112">
        <w:rPr>
          <w:color w:val="000000" w:themeColor="text1"/>
        </w:rPr>
        <w:br/>
      </w:r>
      <w:r w:rsidRPr="00781112">
        <w:rPr>
          <w:color w:val="000000" w:themeColor="text1"/>
        </w:rPr>
        <w:br/>
        <w:t>CIS#3: PL</w:t>
      </w:r>
      <w:r w:rsidRPr="00781112">
        <w:rPr>
          <w:color w:val="000000" w:themeColor="text1"/>
        </w:rPr>
        <w:br/>
        <w:t>Outcome achieved: Teachers from the SSIP Schools were satisfied with the quantity and intensity of the professional learning provided by GDOE.</w:t>
      </w:r>
      <w:r w:rsidRPr="00781112">
        <w:rPr>
          <w:color w:val="000000" w:themeColor="text1"/>
        </w:rPr>
        <w:br/>
        <w:t xml:space="preserve">The outcome for CIS#3 is related to professional development/technical assistance, data, &amp; quality standards. Key to building the capacity of teachers is using data to determine critical areas for PL &amp; to inform practices. The intended outputs accomplished </w:t>
      </w:r>
      <w:proofErr w:type="gramStart"/>
      <w:r w:rsidRPr="00781112">
        <w:rPr>
          <w:color w:val="000000" w:themeColor="text1"/>
        </w:rPr>
        <w:t>as a result of</w:t>
      </w:r>
      <w:proofErr w:type="gramEnd"/>
      <w:r w:rsidRPr="00781112">
        <w:rPr>
          <w:color w:val="000000" w:themeColor="text1"/>
        </w:rPr>
        <w:t xml:space="preserve"> the implementation activities include the number of school-level, job-embedded sessions that were conducted. Improvement Science PL sessions were primarily focused on scale-up schools. Target schools received PL related to the Reading Mastery program which is used as an intervention in the resource room &amp; to assist in the delivery of SDI for students with IEPs.  </w:t>
      </w:r>
      <w:r w:rsidRPr="00781112">
        <w:rPr>
          <w:color w:val="000000" w:themeColor="text1"/>
        </w:rPr>
        <w:br/>
        <w:t xml:space="preserve">Another outcome that is still in progress is the development of PL standards &amp; procedures to ensure that the PL is of high quality. This outcome is aligned with GDOE’s SPDG which is focused on creating a more responsive &amp; relevant PL system that engages all stakeholders, including families. By leveraging the resources from the SPDG, the goal is to create a PL system that is sustained, intensive, collaborative, job-embedded, data-driven, &amp; classroom focused. In doing so, GDOE recognizes the benefits of calibrating initiatives &amp; supports to meet the diverse needs of students with disabilities. These indicators support system change &amp; are necessary for achievement towards the </w:t>
      </w:r>
      <w:proofErr w:type="spellStart"/>
      <w:r w:rsidRPr="00781112">
        <w:rPr>
          <w:color w:val="000000" w:themeColor="text1"/>
        </w:rPr>
        <w:t>SiMR</w:t>
      </w:r>
      <w:proofErr w:type="spellEnd"/>
      <w:r w:rsidRPr="00781112">
        <w:rPr>
          <w:color w:val="000000" w:themeColor="text1"/>
        </w:rPr>
        <w:t xml:space="preserve"> because it is centered on developing the </w:t>
      </w:r>
      <w:proofErr w:type="gramStart"/>
      <w:r w:rsidRPr="00781112">
        <w:rPr>
          <w:color w:val="000000" w:themeColor="text1"/>
        </w:rPr>
        <w:t>skill-set</w:t>
      </w:r>
      <w:proofErr w:type="gramEnd"/>
      <w:r w:rsidRPr="00781112">
        <w:rPr>
          <w:color w:val="000000" w:themeColor="text1"/>
        </w:rPr>
        <w:t xml:space="preserve"> of front-line implementers in the use of EBPs through high-quality PL. End of PL teacher surveys were conducted to determine the perception of knowledge gained after sessions and to communicate achievement of the outcome. </w:t>
      </w:r>
      <w:r w:rsidRPr="00781112">
        <w:rPr>
          <w:color w:val="000000" w:themeColor="text1"/>
        </w:rPr>
        <w:br/>
      </w:r>
      <w:r w:rsidRPr="00781112">
        <w:rPr>
          <w:color w:val="000000" w:themeColor="text1"/>
        </w:rPr>
        <w:br/>
        <w:t>CIS#4: EBPs</w:t>
      </w:r>
      <w:r w:rsidRPr="00781112">
        <w:rPr>
          <w:color w:val="000000" w:themeColor="text1"/>
        </w:rPr>
        <w:br/>
        <w:t>Outcome achieved: Teachers at the SSIP schools have increased knowledge in the implementation of EBPs &amp; interventions in reading.</w:t>
      </w:r>
      <w:r w:rsidRPr="00781112">
        <w:rPr>
          <w:color w:val="000000" w:themeColor="text1"/>
        </w:rPr>
        <w:br/>
        <w:t xml:space="preserve">This outcome is related to professional development/technical assistance, data, accountability/monitoring, &amp; quality standards. The use of EBPs in reading increases the likelihood of positive student outcomes &amp; increases responsiveness to learner needs. Therefore, this CIS supports system change &amp; is necessary for achievement towards the </w:t>
      </w:r>
      <w:proofErr w:type="spellStart"/>
      <w:r w:rsidRPr="00781112">
        <w:rPr>
          <w:color w:val="000000" w:themeColor="text1"/>
        </w:rPr>
        <w:t>SiMR</w:t>
      </w:r>
      <w:proofErr w:type="spellEnd"/>
      <w:r w:rsidRPr="00781112">
        <w:rPr>
          <w:color w:val="000000" w:themeColor="text1"/>
        </w:rPr>
        <w:t xml:space="preserve">. </w:t>
      </w:r>
      <w:r w:rsidRPr="00781112">
        <w:rPr>
          <w:color w:val="000000" w:themeColor="text1"/>
        </w:rPr>
        <w:br/>
        <w:t xml:space="preserve">The outputs that have been accomplished </w:t>
      </w:r>
      <w:proofErr w:type="gramStart"/>
      <w:r w:rsidRPr="00781112">
        <w:rPr>
          <w:color w:val="000000" w:themeColor="text1"/>
        </w:rPr>
        <w:t>as a result of</w:t>
      </w:r>
      <w:proofErr w:type="gramEnd"/>
      <w:r w:rsidRPr="00781112">
        <w:rPr>
          <w:color w:val="000000" w:themeColor="text1"/>
        </w:rPr>
        <w:t xml:space="preserve"> the implementation activities include the number of PL &amp; coaching sessions provided to RRTs in Direct Instruction (Reading Mastery &amp; Corrective Reading) in order to ensure implementation to fidelity of EBP reading interventions for students with IEPs. The outcome was assessed through classroom observations &amp; teacher surveys.</w:t>
      </w:r>
      <w:r w:rsidRPr="00781112">
        <w:rPr>
          <w:color w:val="000000" w:themeColor="text1"/>
        </w:rPr>
        <w:br/>
      </w:r>
      <w:r w:rsidRPr="00781112">
        <w:rPr>
          <w:color w:val="000000" w:themeColor="text1"/>
        </w:rPr>
        <w:br/>
        <w:t>CIS#5: TA Support &amp; Coaching</w:t>
      </w:r>
      <w:r w:rsidRPr="00781112">
        <w:rPr>
          <w:color w:val="000000" w:themeColor="text1"/>
        </w:rPr>
        <w:br/>
        <w:t>Outcome achieved: Teachers at SSIP schools implemented EBPs &amp; interventions with fidelity.</w:t>
      </w:r>
      <w:r w:rsidRPr="00781112">
        <w:rPr>
          <w:color w:val="000000" w:themeColor="text1"/>
        </w:rPr>
        <w:br/>
        <w:t xml:space="preserve">The goal of CIS#5 is that teachers </w:t>
      </w:r>
      <w:proofErr w:type="gramStart"/>
      <w:r w:rsidRPr="00781112">
        <w:rPr>
          <w:color w:val="000000" w:themeColor="text1"/>
        </w:rPr>
        <w:t>are knowledgeable &amp; capable of delivering</w:t>
      </w:r>
      <w:proofErr w:type="gramEnd"/>
      <w:r w:rsidRPr="00781112">
        <w:rPr>
          <w:color w:val="000000" w:themeColor="text1"/>
        </w:rPr>
        <w:t xml:space="preserve"> EBPs &amp; interventions in reading. Therefore, the outcome is related to professional development/technical assistance, data, &amp; quality standards. </w:t>
      </w:r>
      <w:r w:rsidRPr="00781112">
        <w:rPr>
          <w:color w:val="000000" w:themeColor="text1"/>
        </w:rPr>
        <w:br/>
        <w:t xml:space="preserve">Coaching supports fidelity of implementation through a focus on adherence of instructional procedures, duration, &amp; quality of delivery. This process supports system change, impacts the achievement of the </w:t>
      </w:r>
      <w:proofErr w:type="spellStart"/>
      <w:r w:rsidRPr="00781112">
        <w:rPr>
          <w:color w:val="000000" w:themeColor="text1"/>
        </w:rPr>
        <w:t>SiMR</w:t>
      </w:r>
      <w:proofErr w:type="spellEnd"/>
      <w:r w:rsidRPr="00781112">
        <w:rPr>
          <w:color w:val="000000" w:themeColor="text1"/>
        </w:rPr>
        <w:t xml:space="preserve">, &amp; supports scale-up. However, for coaches to competently provide coaching, GDOE must support coaches by building their capacity through PL. </w:t>
      </w:r>
      <w:r w:rsidRPr="00781112">
        <w:rPr>
          <w:color w:val="000000" w:themeColor="text1"/>
        </w:rPr>
        <w:br/>
        <w:t xml:space="preserve">For this reporting period, coaching was provided in the implementation of Direct Instruction (Reading Mastery &amp; Corrective Reading) for students with IEPs in the Resource Room to address their Specially Designed Instruction (SDI) </w:t>
      </w:r>
      <w:proofErr w:type="gramStart"/>
      <w:r w:rsidRPr="00781112">
        <w:rPr>
          <w:color w:val="000000" w:themeColor="text1"/>
        </w:rPr>
        <w:t>on a monthly basis</w:t>
      </w:r>
      <w:proofErr w:type="gramEnd"/>
      <w:r w:rsidRPr="00781112">
        <w:rPr>
          <w:color w:val="000000" w:themeColor="text1"/>
        </w:rPr>
        <w:t xml:space="preserve">. CIS#5 is implemented in tandem with CIS#4 (EBPs) &amp; CIS#6 in which TA support &amp; coaching is provided to ensure effective implementation of EBPs &amp; the development of substantive IEPs. The outcome was assessed through classroom fidelity observations. </w:t>
      </w:r>
      <w:r w:rsidRPr="00781112">
        <w:rPr>
          <w:color w:val="000000" w:themeColor="text1"/>
        </w:rPr>
        <w:br/>
      </w:r>
      <w:r w:rsidRPr="00781112">
        <w:rPr>
          <w:color w:val="000000" w:themeColor="text1"/>
        </w:rPr>
        <w:br/>
        <w:t>CIS#6: Development, Implementation, &amp; Monitoring of IEPs</w:t>
      </w:r>
      <w:r w:rsidRPr="00781112">
        <w:rPr>
          <w:color w:val="000000" w:themeColor="text1"/>
        </w:rPr>
        <w:br/>
        <w:t>Outcome in Progress: IEP teams increase knowledge &amp; skills in the development of IEP components for students with IEPs. The outcome for CIS#5 is related to professional development/technical assistance &amp; quality standards.</w:t>
      </w:r>
      <w:r w:rsidRPr="00781112">
        <w:rPr>
          <w:color w:val="000000" w:themeColor="text1"/>
        </w:rPr>
        <w:br/>
        <w:t xml:space="preserve">The focus of CIS#6 for this reporting period has been building the capacity of </w:t>
      </w:r>
      <w:proofErr w:type="spellStart"/>
      <w:r w:rsidRPr="00781112">
        <w:rPr>
          <w:color w:val="000000" w:themeColor="text1"/>
        </w:rPr>
        <w:t>SpEd</w:t>
      </w:r>
      <w:proofErr w:type="spellEnd"/>
      <w:r w:rsidRPr="00781112">
        <w:rPr>
          <w:color w:val="000000" w:themeColor="text1"/>
        </w:rPr>
        <w:t xml:space="preserve"> coaches through TA from the Progress Center in the development of the IEP components. </w:t>
      </w:r>
      <w:proofErr w:type="spellStart"/>
      <w:r w:rsidRPr="00781112">
        <w:rPr>
          <w:color w:val="000000" w:themeColor="text1"/>
        </w:rPr>
        <w:t>SpEd</w:t>
      </w:r>
      <w:proofErr w:type="spellEnd"/>
      <w:r w:rsidRPr="00781112">
        <w:rPr>
          <w:color w:val="000000" w:themeColor="text1"/>
        </w:rPr>
        <w:t xml:space="preserve"> coaches are at the frontlines in the delivery of technical assistance for teachers &amp; IEP teams. Therefore, the district has invested resources in building their capacity to support teachers &amp; IEP teams. Outputs for this strategy are centered on the number of IEP coaching sessions provided to SSIP schools &amp; the number of IEP reviews conducted. However, since the district has newly adopted the role of </w:t>
      </w:r>
      <w:proofErr w:type="spellStart"/>
      <w:r w:rsidRPr="00781112">
        <w:rPr>
          <w:color w:val="000000" w:themeColor="text1"/>
        </w:rPr>
        <w:t>SpEd</w:t>
      </w:r>
      <w:proofErr w:type="spellEnd"/>
      <w:r w:rsidRPr="00781112">
        <w:rPr>
          <w:color w:val="000000" w:themeColor="text1"/>
        </w:rPr>
        <w:t xml:space="preserve"> coaches, </w:t>
      </w:r>
      <w:r w:rsidRPr="00781112">
        <w:rPr>
          <w:color w:val="000000" w:themeColor="text1"/>
        </w:rPr>
        <w:lastRenderedPageBreak/>
        <w:t xml:space="preserve">time has been spent on providing PL to </w:t>
      </w:r>
      <w:proofErr w:type="spellStart"/>
      <w:r w:rsidRPr="00781112">
        <w:rPr>
          <w:color w:val="000000" w:themeColor="text1"/>
        </w:rPr>
        <w:t>SpEd</w:t>
      </w:r>
      <w:proofErr w:type="spellEnd"/>
      <w:r w:rsidRPr="00781112">
        <w:rPr>
          <w:color w:val="000000" w:themeColor="text1"/>
        </w:rPr>
        <w:t xml:space="preserve"> coaches to build their knowledge and skills to coach. The outcome was assessed through a </w:t>
      </w:r>
      <w:proofErr w:type="gramStart"/>
      <w:r w:rsidRPr="00781112">
        <w:rPr>
          <w:color w:val="000000" w:themeColor="text1"/>
        </w:rPr>
        <w:t>case study methodology &amp; IEP reviews</w:t>
      </w:r>
      <w:proofErr w:type="gramEnd"/>
      <w:r w:rsidRPr="00781112">
        <w:rPr>
          <w:color w:val="000000" w:themeColor="text1"/>
        </w:rPr>
        <w:t>.</w:t>
      </w:r>
      <w:r w:rsidRPr="00781112">
        <w:rPr>
          <w:color w:val="000000" w:themeColor="text1"/>
        </w:rPr>
        <w:br/>
      </w:r>
      <w:r w:rsidRPr="00781112">
        <w:rPr>
          <w:color w:val="000000" w:themeColor="text1"/>
        </w:rPr>
        <w:br/>
        <w:t>CIS#7: Monitoring &amp; Accountability</w:t>
      </w:r>
      <w:r w:rsidRPr="00781112">
        <w:rPr>
          <w:color w:val="000000" w:themeColor="text1"/>
        </w:rPr>
        <w:br/>
        <w:t>Outcome achieved: Teachers at SSIP schools implemented EBPs &amp; supplemental interventions with fidelity.</w:t>
      </w:r>
      <w:r w:rsidRPr="00781112">
        <w:rPr>
          <w:color w:val="000000" w:themeColor="text1"/>
        </w:rPr>
        <w:br/>
        <w:t xml:space="preserve">This outcome is related to governance &amp; quality standards. The focus of CIS#7 is the development of a systematic monitoring system to ensure implementation to fidelity of EBPs &amp; interventions. This is driven by the need to guarantee that all students receive a high-quality education. CIS#7 is tethered to all other CIS as it ensures that all practices are ingrained in the system. This involves classroom observations, core team meetings, &amp; data reviews. As a result, CIS#7 supports achievement towards the </w:t>
      </w:r>
      <w:proofErr w:type="spellStart"/>
      <w:r w:rsidRPr="00781112">
        <w:rPr>
          <w:color w:val="000000" w:themeColor="text1"/>
        </w:rPr>
        <w:t>SiMR</w:t>
      </w:r>
      <w:proofErr w:type="spellEnd"/>
      <w:r w:rsidRPr="00781112">
        <w:rPr>
          <w:color w:val="000000" w:themeColor="text1"/>
        </w:rPr>
        <w:t>, sustainability of system improvement efforts, &amp; scale-up. The outcome was assessed through the collection of fidelity data through observations &amp; document reviews.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1.</w:t>
      </w:r>
      <w:r w:rsidRPr="00781112">
        <w:rPr>
          <w:color w:val="000000" w:themeColor="text1"/>
        </w:rPr>
        <w:tab/>
        <w:t xml:space="preserve">Continuum of Supports was changed to Improvement Science.   Improvement Science encompasses the comprehensive and systematic process that schools have been engaged in to address the reading deficits in classrooms.  This process includes data-based decision making in which data from the universal screener is analyzed and used to develop a goal for improvement.  This component sets the stage for the Plan-Do-Study-Act wherein data is used to identify a goal for improvement (Plan), implement an evidence-based strategy to address the goal (Do), collect and analyze data to monitor the outcomes for progress or problems (Study), and finally adapt, adopt, or abandon the strategy based on the data that was collected (ACT).  </w:t>
      </w:r>
      <w:r w:rsidRPr="00781112">
        <w:rPr>
          <w:color w:val="000000" w:themeColor="text1"/>
        </w:rPr>
        <w:br/>
      </w:r>
      <w:r w:rsidRPr="00781112">
        <w:rPr>
          <w:color w:val="000000" w:themeColor="text1"/>
        </w:rPr>
        <w:br/>
        <w:t>2.</w:t>
      </w:r>
      <w:r w:rsidRPr="00781112">
        <w:rPr>
          <w:color w:val="000000" w:themeColor="text1"/>
        </w:rPr>
        <w:tab/>
        <w:t xml:space="preserve">Parents and Community as Partners was changed to Families and Community as Partners. This change recognizes that engagement goes beyond parents but rather encompasses the entire family, including the student.  </w:t>
      </w:r>
      <w:r w:rsidRPr="00781112">
        <w:rPr>
          <w:color w:val="000000" w:themeColor="text1"/>
        </w:rPr>
        <w:br/>
      </w:r>
      <w:r w:rsidRPr="00781112">
        <w:rPr>
          <w:color w:val="000000" w:themeColor="text1"/>
        </w:rPr>
        <w:br/>
        <w:t>3. Professional Development was changed to Professional Learning.  This change recognizes the shift in language used in the district’s State Personnel Development Grant (SPDG) and State Strategic Plan that emphasizes the “learning” aspect of training wherein teachers are empowered and recognized as learners, leaders, and knowledgeable professionals who are active participants in their development.</w:t>
      </w:r>
      <w:r w:rsidRPr="00781112">
        <w:rPr>
          <w:color w:val="000000" w:themeColor="text1"/>
        </w:rPr>
        <w:br/>
      </w:r>
      <w:r w:rsidRPr="00781112">
        <w:rPr>
          <w:color w:val="000000" w:themeColor="text1"/>
        </w:rPr>
        <w:br/>
        <w:t>4. Evidence-Based Practices (EBPs).  EBPs have always been a hallmark of GDOE’s SSIP journey and was included as an objective in the SSIP Action Plan.  However, the strategy was never explicitly detailed in the TOA. Therefore, stakeholders felt it was necessary to include it as a strategy in the TOA to ensure that its use is clear and deliberate and directly connected to the TOA.</w:t>
      </w:r>
      <w:r w:rsidRPr="00781112">
        <w:rPr>
          <w:color w:val="000000" w:themeColor="text1"/>
        </w:rPr>
        <w:br/>
      </w:r>
      <w:r w:rsidRPr="00781112">
        <w:rPr>
          <w:color w:val="000000" w:themeColor="text1"/>
        </w:rPr>
        <w:br/>
        <w:t xml:space="preserve">5. TA Support, Coaching, &amp; Accountability was changed to TA Support &amp; Coaching.  By deleting the term “accountability” from the coherent improvement strategy, SSIP stakeholders acknowledge that TA Support and Coaching </w:t>
      </w:r>
      <w:proofErr w:type="spellStart"/>
      <w:r w:rsidRPr="00781112">
        <w:rPr>
          <w:color w:val="000000" w:themeColor="text1"/>
        </w:rPr>
        <w:t>can not</w:t>
      </w:r>
      <w:proofErr w:type="spellEnd"/>
      <w:r w:rsidRPr="00781112">
        <w:rPr>
          <w:color w:val="000000" w:themeColor="text1"/>
        </w:rPr>
        <w:t xml:space="preserve"> be successful if coaches and TA providers also function as an evaluator. The term “accountability” evokes this premise and therefore may detract from the goal and purpose of coaching.</w:t>
      </w:r>
      <w:r w:rsidRPr="00781112">
        <w:rPr>
          <w:color w:val="000000" w:themeColor="text1"/>
        </w:rPr>
        <w:br/>
      </w:r>
      <w:r w:rsidRPr="00781112">
        <w:rPr>
          <w:color w:val="000000" w:themeColor="text1"/>
        </w:rPr>
        <w:br/>
        <w:t>6. Development, Implementation, and Monitoring of Individualized Education Program (IEP) was added as a coherent improvement strategy.  An integral element of GDOE’s SSIP has been in the development of IEPs that are procedurally and substantively sound.  This process ensures that students receive the appropriate Specially Designed Instruction (SDI) that addresses their unique needs. However, the original TOA did not explicitly convey this priority thus prompting this addition.</w:t>
      </w:r>
      <w:r w:rsidRPr="00781112">
        <w:rPr>
          <w:color w:val="000000" w:themeColor="text1"/>
        </w:rPr>
        <w:br/>
      </w:r>
      <w:r w:rsidRPr="00781112">
        <w:rPr>
          <w:color w:val="000000" w:themeColor="text1"/>
        </w:rPr>
        <w:br/>
        <w:t>7. Using Data to Make Informed Decisions was replaced by Monitoring &amp; Accountability.  Using Data to Make Informed Decisions is encompassed in the Improvement Science process under the first strategy.  Therefore, isolating it as a separate strategy will be redundant and unnecessary.  In addition, as aforementioned, Monitoring &amp; Accountability should not be grouped in the same category as TA Support &amp; Coaching as both are distinct and should stand alone.</w:t>
      </w:r>
      <w:r w:rsidRPr="00781112">
        <w:rPr>
          <w:color w:val="000000" w:themeColor="text1"/>
        </w:rPr>
        <w:br/>
      </w:r>
      <w:r w:rsidRPr="00781112">
        <w:rPr>
          <w:color w:val="000000" w:themeColor="text1"/>
        </w:rPr>
        <w:br/>
        <w:t>Note:  Short-term and intermediate outcomes achieved were discussed in the previous section.</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CIS #1: Improvement Science </w:t>
      </w:r>
      <w:r w:rsidRPr="00781112">
        <w:rPr>
          <w:color w:val="000000" w:themeColor="text1"/>
        </w:rPr>
        <w:br/>
        <w:t>Next Steps:</w:t>
      </w:r>
      <w:r w:rsidRPr="00781112">
        <w:rPr>
          <w:color w:val="000000" w:themeColor="text1"/>
        </w:rPr>
        <w:br/>
        <w:t>- Continued coaching and professional learning on the implementation of PDSAs</w:t>
      </w:r>
      <w:r w:rsidRPr="00781112">
        <w:rPr>
          <w:color w:val="000000" w:themeColor="text1"/>
        </w:rPr>
        <w:br/>
        <w:t>Anticipated Outcomes:</w:t>
      </w:r>
      <w:r w:rsidRPr="00781112">
        <w:rPr>
          <w:color w:val="000000" w:themeColor="text1"/>
        </w:rPr>
        <w:br/>
        <w:t>- Increased implementation of PDSAs in scale-up and target schools</w:t>
      </w:r>
      <w:r w:rsidRPr="00781112">
        <w:rPr>
          <w:color w:val="000000" w:themeColor="text1"/>
        </w:rPr>
        <w:br/>
        <w:t>- Increased fidelity in the implementation of the universal screener</w:t>
      </w:r>
      <w:r w:rsidRPr="00781112">
        <w:rPr>
          <w:color w:val="000000" w:themeColor="text1"/>
        </w:rPr>
        <w:br/>
        <w:t>- Increased knowledge for K-3 teachers in data literacy and data-based decision-making</w:t>
      </w:r>
      <w:r w:rsidRPr="00781112">
        <w:rPr>
          <w:color w:val="000000" w:themeColor="text1"/>
        </w:rPr>
        <w:br/>
        <w:t>- Implementation of at least 3 PDSA cycles a year</w:t>
      </w:r>
      <w:r w:rsidRPr="00781112">
        <w:rPr>
          <w:color w:val="000000" w:themeColor="text1"/>
        </w:rPr>
        <w:br/>
      </w:r>
      <w:r w:rsidRPr="00781112">
        <w:rPr>
          <w:color w:val="000000" w:themeColor="text1"/>
        </w:rPr>
        <w:br/>
        <w:t xml:space="preserve">CIS #2: Families and Community as Partners </w:t>
      </w:r>
      <w:r w:rsidRPr="00781112">
        <w:rPr>
          <w:color w:val="000000" w:themeColor="text1"/>
        </w:rPr>
        <w:br/>
        <w:t>Next Steps:</w:t>
      </w:r>
      <w:r w:rsidRPr="00781112">
        <w:rPr>
          <w:color w:val="000000" w:themeColor="text1"/>
        </w:rPr>
        <w:br/>
        <w:t>- Coaching and support to SSIP schools on the implementation of evidence-based family engagement strategies from the Institute of Education Sciences</w:t>
      </w:r>
      <w:r w:rsidRPr="00781112">
        <w:rPr>
          <w:color w:val="000000" w:themeColor="text1"/>
        </w:rPr>
        <w:br/>
        <w:t xml:space="preserve">- Leveraging the work done through the GDOE SPDG to capitalize on the Leading by Convening framework and activities as a mechanism to engage SSIP families </w:t>
      </w:r>
      <w:r w:rsidRPr="00781112">
        <w:rPr>
          <w:color w:val="000000" w:themeColor="text1"/>
        </w:rPr>
        <w:br/>
        <w:t>Anticipated Outcomes:</w:t>
      </w:r>
      <w:r w:rsidRPr="00781112">
        <w:rPr>
          <w:color w:val="000000" w:themeColor="text1"/>
        </w:rPr>
        <w:br/>
        <w:t>- Increased family engagement activities at SSIP schools</w:t>
      </w:r>
      <w:r w:rsidRPr="00781112">
        <w:rPr>
          <w:color w:val="000000" w:themeColor="text1"/>
        </w:rPr>
        <w:br/>
        <w:t>- Increased knowledge of families in strategies for supporting reading at home</w:t>
      </w:r>
      <w:r w:rsidRPr="00781112">
        <w:rPr>
          <w:color w:val="000000" w:themeColor="text1"/>
        </w:rPr>
        <w:br/>
      </w:r>
      <w:r w:rsidRPr="00781112">
        <w:rPr>
          <w:color w:val="000000" w:themeColor="text1"/>
        </w:rPr>
        <w:br/>
        <w:t>CIS #3: Professional Learning</w:t>
      </w:r>
      <w:r w:rsidRPr="00781112">
        <w:rPr>
          <w:color w:val="000000" w:themeColor="text1"/>
        </w:rPr>
        <w:br/>
        <w:t>Next Steps:</w:t>
      </w:r>
      <w:r w:rsidRPr="00781112">
        <w:rPr>
          <w:color w:val="000000" w:themeColor="text1"/>
        </w:rPr>
        <w:br/>
        <w:t>- Leveraging the work of the GDOE SPDG in developing GDOE’s professional learning policy to encompass the ESEA definition of professional development, the Learning Forward Professional Development Standards, and the Center on Great Teachers and Leaders elements of high-quality practice-based opportunities.</w:t>
      </w:r>
      <w:r w:rsidRPr="00781112">
        <w:rPr>
          <w:color w:val="000000" w:themeColor="text1"/>
        </w:rPr>
        <w:br/>
        <w:t xml:space="preserve">Anticipated Outcomes: </w:t>
      </w:r>
      <w:r w:rsidRPr="00781112">
        <w:rPr>
          <w:color w:val="000000" w:themeColor="text1"/>
        </w:rPr>
        <w:br/>
        <w:t>- Increased professional learning activities that encompasses policy and procedures that constitute quality professional learning</w:t>
      </w:r>
      <w:r w:rsidRPr="00781112">
        <w:rPr>
          <w:color w:val="000000" w:themeColor="text1"/>
        </w:rPr>
        <w:br/>
        <w:t>- Increased percentage of teachers who were satisfied with the quantity and intensity of the professional learning provided</w:t>
      </w:r>
      <w:r w:rsidRPr="00781112">
        <w:rPr>
          <w:color w:val="000000" w:themeColor="text1"/>
        </w:rPr>
        <w:br/>
      </w:r>
      <w:r w:rsidRPr="00781112">
        <w:rPr>
          <w:color w:val="000000" w:themeColor="text1"/>
        </w:rPr>
        <w:lastRenderedPageBreak/>
        <w:br/>
        <w:t xml:space="preserve">CIS #4 Evidence-Based Instructional Practices </w:t>
      </w:r>
      <w:r w:rsidRPr="00781112">
        <w:rPr>
          <w:color w:val="000000" w:themeColor="text1"/>
        </w:rPr>
        <w:br/>
        <w:t>Next Steps:</w:t>
      </w:r>
      <w:r w:rsidRPr="00781112">
        <w:rPr>
          <w:color w:val="000000" w:themeColor="text1"/>
        </w:rPr>
        <w:br/>
        <w:t>- Professional learning and coaching on evidence-based instructional practices.</w:t>
      </w:r>
      <w:r w:rsidRPr="00781112">
        <w:rPr>
          <w:color w:val="000000" w:themeColor="text1"/>
        </w:rPr>
        <w:br/>
        <w:t>- Implementation of Lesson Progress Charts to track lesson completion in Reading Mastery &amp; Corrective Reading for students with IEPs.</w:t>
      </w:r>
      <w:r w:rsidRPr="00781112">
        <w:rPr>
          <w:color w:val="000000" w:themeColor="text1"/>
        </w:rPr>
        <w:br/>
        <w:t xml:space="preserve">Anticipated Outcomes: </w:t>
      </w:r>
      <w:r w:rsidRPr="00781112">
        <w:rPr>
          <w:color w:val="000000" w:themeColor="text1"/>
        </w:rPr>
        <w:br/>
        <w:t>-Implementation to fidelity of EBPs for reading instruction and interventions</w:t>
      </w:r>
      <w:r w:rsidRPr="00781112">
        <w:rPr>
          <w:color w:val="000000" w:themeColor="text1"/>
        </w:rPr>
        <w:br/>
        <w:t>- Improved reading proficiency from one screening to the next for general and special education students.</w:t>
      </w:r>
      <w:r w:rsidRPr="00781112">
        <w:rPr>
          <w:color w:val="000000" w:themeColor="text1"/>
        </w:rPr>
        <w:br/>
      </w:r>
      <w:r w:rsidRPr="00781112">
        <w:rPr>
          <w:color w:val="000000" w:themeColor="text1"/>
        </w:rPr>
        <w:br/>
        <w:t>CIS #5: TA Support &amp; Coaching</w:t>
      </w:r>
      <w:r w:rsidRPr="00781112">
        <w:rPr>
          <w:color w:val="000000" w:themeColor="text1"/>
        </w:rPr>
        <w:br/>
        <w:t>Next Steps:</w:t>
      </w:r>
      <w:r w:rsidRPr="00781112">
        <w:rPr>
          <w:color w:val="000000" w:themeColor="text1"/>
        </w:rPr>
        <w:br/>
        <w:t xml:space="preserve">- Continued professional learning for Instructional and </w:t>
      </w:r>
      <w:proofErr w:type="spellStart"/>
      <w:r w:rsidRPr="00781112">
        <w:rPr>
          <w:color w:val="000000" w:themeColor="text1"/>
        </w:rPr>
        <w:t>SpEd</w:t>
      </w:r>
      <w:proofErr w:type="spellEnd"/>
      <w:r w:rsidRPr="00781112">
        <w:rPr>
          <w:color w:val="000000" w:themeColor="text1"/>
        </w:rPr>
        <w:t xml:space="preserve"> coaches to build their coaching capacity</w:t>
      </w:r>
      <w:r w:rsidRPr="00781112">
        <w:rPr>
          <w:color w:val="000000" w:themeColor="text1"/>
        </w:rPr>
        <w:br/>
        <w:t>- Continued coaching for general and special education teachers in evidence-based instructional practices</w:t>
      </w:r>
      <w:r w:rsidRPr="00781112">
        <w:rPr>
          <w:color w:val="000000" w:themeColor="text1"/>
        </w:rPr>
        <w:br/>
        <w:t xml:space="preserve">Anticipated Outcomes: </w:t>
      </w:r>
      <w:r w:rsidRPr="00781112">
        <w:rPr>
          <w:color w:val="000000" w:themeColor="text1"/>
        </w:rPr>
        <w:br/>
        <w:t>- Increased knowledge and skills of teachers in EBPs for reading instruction and interventions</w:t>
      </w:r>
      <w:r w:rsidRPr="00781112">
        <w:rPr>
          <w:color w:val="000000" w:themeColor="text1"/>
        </w:rPr>
        <w:br/>
        <w:t>- Improved reading proficiency from one screening to the next for general and special education students.</w:t>
      </w:r>
      <w:r w:rsidRPr="00781112">
        <w:rPr>
          <w:color w:val="000000" w:themeColor="text1"/>
        </w:rPr>
        <w:br/>
      </w:r>
      <w:r w:rsidRPr="00781112">
        <w:rPr>
          <w:color w:val="000000" w:themeColor="text1"/>
        </w:rPr>
        <w:br/>
        <w:t>6. CIS #6: Development, Implementation, and Monitoring of Individualized Education Program (IEP)</w:t>
      </w:r>
      <w:r w:rsidRPr="00781112">
        <w:rPr>
          <w:color w:val="000000" w:themeColor="text1"/>
        </w:rPr>
        <w:br/>
        <w:t>Next Steps:</w:t>
      </w:r>
      <w:r w:rsidRPr="00781112">
        <w:rPr>
          <w:color w:val="000000" w:themeColor="text1"/>
        </w:rPr>
        <w:br/>
        <w:t>- Continued professional learning and coaching on IEP development</w:t>
      </w:r>
      <w:r w:rsidRPr="00781112">
        <w:rPr>
          <w:color w:val="000000" w:themeColor="text1"/>
        </w:rPr>
        <w:br/>
        <w:t xml:space="preserve"> Anticipated Outcomes:</w:t>
      </w:r>
      <w:r w:rsidRPr="00781112">
        <w:rPr>
          <w:color w:val="000000" w:themeColor="text1"/>
        </w:rPr>
        <w:br/>
        <w:t>- Increased alignment between IEP components</w:t>
      </w:r>
      <w:r w:rsidRPr="00781112">
        <w:rPr>
          <w:color w:val="000000" w:themeColor="text1"/>
        </w:rPr>
        <w:br/>
        <w:t>- Increased use of appropriate accommodations</w:t>
      </w:r>
      <w:r w:rsidRPr="00781112">
        <w:rPr>
          <w:color w:val="000000" w:themeColor="text1"/>
        </w:rPr>
        <w:br/>
        <w:t xml:space="preserve"> </w:t>
      </w:r>
      <w:r w:rsidRPr="00781112">
        <w:rPr>
          <w:color w:val="000000" w:themeColor="text1"/>
        </w:rPr>
        <w:br/>
        <w:t>7.</w:t>
      </w:r>
      <w:r w:rsidRPr="00781112">
        <w:rPr>
          <w:color w:val="000000" w:themeColor="text1"/>
        </w:rPr>
        <w:tab/>
        <w:t xml:space="preserve">CIS #7: Monitoring &amp; Accountability </w:t>
      </w:r>
      <w:r w:rsidRPr="00781112">
        <w:rPr>
          <w:color w:val="000000" w:themeColor="text1"/>
        </w:rPr>
        <w:br/>
        <w:t>Next Steps:</w:t>
      </w:r>
      <w:r w:rsidRPr="00781112">
        <w:rPr>
          <w:color w:val="000000" w:themeColor="text1"/>
        </w:rPr>
        <w:br/>
        <w:t>- Continued monitoring of the delivery of SDI and interventions for reading</w:t>
      </w:r>
      <w:r w:rsidRPr="00781112">
        <w:rPr>
          <w:color w:val="000000" w:themeColor="text1"/>
        </w:rPr>
        <w:br/>
        <w:t>- Monitoring of lesson completion in Reading Mastery &amp; Corrective Reading to ensure that students with IEPs are achieving appropriate lesson progress.</w:t>
      </w:r>
      <w:r w:rsidRPr="00781112">
        <w:rPr>
          <w:color w:val="000000" w:themeColor="text1"/>
        </w:rPr>
        <w:br/>
        <w:t>Anticipated Outcome:</w:t>
      </w:r>
      <w:r w:rsidRPr="00781112">
        <w:rPr>
          <w:color w:val="000000" w:themeColor="text1"/>
        </w:rPr>
        <w:br/>
        <w:t>- Increased fidelity in the implementation of SDI and interventions for reading</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The evidence-based practices implemented during this reporting period include the following:</w:t>
      </w:r>
      <w:r w:rsidRPr="00781112">
        <w:rPr>
          <w:color w:val="000000" w:themeColor="text1"/>
        </w:rPr>
        <w:br/>
        <w:t>1.</w:t>
      </w:r>
      <w:r w:rsidRPr="00781112">
        <w:rPr>
          <w:color w:val="000000" w:themeColor="text1"/>
        </w:rPr>
        <w:tab/>
        <w:t xml:space="preserve">Universal screening </w:t>
      </w:r>
      <w:r w:rsidRPr="00781112">
        <w:rPr>
          <w:color w:val="000000" w:themeColor="text1"/>
        </w:rPr>
        <w:br/>
        <w:t>2. Improvement Science (Plan, Do, Study, Act)</w:t>
      </w:r>
      <w:r w:rsidRPr="00781112">
        <w:rPr>
          <w:color w:val="000000" w:themeColor="text1"/>
        </w:rPr>
        <w:br/>
        <w:t>3. Explicit Instruction (Reading Mastery Program)</w:t>
      </w:r>
      <w:r w:rsidRPr="00781112">
        <w:rPr>
          <w:color w:val="000000" w:themeColor="text1"/>
        </w:rPr>
        <w:br/>
        <w:t>4. Science of Reading (5 Components of Reading)</w:t>
      </w:r>
      <w:r w:rsidRPr="00781112">
        <w:rPr>
          <w:color w:val="000000" w:themeColor="text1"/>
        </w:rPr>
        <w:br/>
        <w:t>5. Coaching</w:t>
      </w:r>
      <w:r w:rsidRPr="00781112">
        <w:rPr>
          <w:color w:val="000000" w:themeColor="text1"/>
        </w:rPr>
        <w:br/>
        <w:t>6. Professional Learning Communities (PLCs)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1.</w:t>
      </w:r>
      <w:r w:rsidRPr="00781112">
        <w:rPr>
          <w:color w:val="000000" w:themeColor="text1"/>
        </w:rPr>
        <w:tab/>
        <w:t xml:space="preserve">Universal Screening </w:t>
      </w:r>
      <w:r w:rsidRPr="00781112">
        <w:rPr>
          <w:color w:val="000000" w:themeColor="text1"/>
        </w:rPr>
        <w:br/>
        <w:t>Aligned with CIS #1, 7</w:t>
      </w:r>
      <w:r w:rsidRPr="00781112">
        <w:rPr>
          <w:color w:val="000000" w:themeColor="text1"/>
        </w:rPr>
        <w:br/>
        <w:t>Universal screening is a critical first step in identifying students who are at-risk for reading difficulties. Once identified, at-risk students can be provided with the appropriate scope of reading supports and interventions in addition to core instruction. Universal screening is essential in ensuring that reading problems are addressed timely before the achievement gap widens.</w:t>
      </w:r>
      <w:r w:rsidRPr="00781112">
        <w:rPr>
          <w:color w:val="000000" w:themeColor="text1"/>
        </w:rPr>
        <w:br/>
      </w:r>
      <w:r w:rsidRPr="00781112">
        <w:rPr>
          <w:color w:val="000000" w:themeColor="text1"/>
        </w:rPr>
        <w:br/>
        <w:t>2. Improvement Science (Plan, Do, Study, Act)</w:t>
      </w:r>
      <w:r w:rsidRPr="00781112">
        <w:rPr>
          <w:color w:val="000000" w:themeColor="text1"/>
        </w:rPr>
        <w:br/>
        <w:t>Aligned with CIS #1, 3, 4, 5, 6, 7</w:t>
      </w:r>
      <w:r w:rsidRPr="00781112">
        <w:rPr>
          <w:color w:val="000000" w:themeColor="text1"/>
        </w:rPr>
        <w:br/>
        <w:t>Improvement science is the basis for continuous improvement. It is centered on the premise that sustainable change is an ongoing process based on data collection, adaptation, and learning. Continuous improvement is focused on a specific problem and in testing practices and adapting them based on ongoing data collection. Three main questions guide the continuous improvement cycle (</w:t>
      </w:r>
      <w:proofErr w:type="spellStart"/>
      <w:r w:rsidRPr="00781112">
        <w:rPr>
          <w:color w:val="000000" w:themeColor="text1"/>
        </w:rPr>
        <w:t>Shakman</w:t>
      </w:r>
      <w:proofErr w:type="spellEnd"/>
      <w:r w:rsidRPr="00781112">
        <w:rPr>
          <w:color w:val="000000" w:themeColor="text1"/>
        </w:rPr>
        <w:t xml:space="preserve">, K., </w:t>
      </w:r>
      <w:proofErr w:type="spellStart"/>
      <w:r w:rsidRPr="00781112">
        <w:rPr>
          <w:color w:val="000000" w:themeColor="text1"/>
        </w:rPr>
        <w:t>Wogon,D</w:t>
      </w:r>
      <w:proofErr w:type="spellEnd"/>
      <w:r w:rsidRPr="00781112">
        <w:rPr>
          <w:color w:val="000000" w:themeColor="text1"/>
        </w:rPr>
        <w:t>., Rodriguez, S., Boyce, J., &amp; Shaver, D., 2020):</w:t>
      </w:r>
      <w:r w:rsidRPr="00781112">
        <w:rPr>
          <w:color w:val="000000" w:themeColor="text1"/>
        </w:rPr>
        <w:br/>
        <w:t>- What problem are we trying to solve?</w:t>
      </w:r>
      <w:r w:rsidRPr="00781112">
        <w:rPr>
          <w:color w:val="000000" w:themeColor="text1"/>
        </w:rPr>
        <w:br/>
        <w:t>- What change might we introduce and why?</w:t>
      </w:r>
      <w:r w:rsidRPr="00781112">
        <w:rPr>
          <w:color w:val="000000" w:themeColor="text1"/>
        </w:rPr>
        <w:br/>
        <w:t>- How will we know that a change is actually an improvement?</w:t>
      </w:r>
      <w:r w:rsidRPr="00781112">
        <w:rPr>
          <w:color w:val="000000" w:themeColor="text1"/>
        </w:rPr>
        <w:br/>
      </w:r>
      <w:r w:rsidRPr="00781112">
        <w:rPr>
          <w:color w:val="000000" w:themeColor="text1"/>
        </w:rPr>
        <w:br/>
        <w:t>3. Explicit Instruction (Reading Mastery Implementation)</w:t>
      </w:r>
      <w:r w:rsidRPr="00781112">
        <w:rPr>
          <w:color w:val="000000" w:themeColor="text1"/>
        </w:rPr>
        <w:br/>
        <w:t>Aligned with CIS #1, 3, 4, 5, 6, 7</w:t>
      </w:r>
      <w:r w:rsidRPr="00781112">
        <w:rPr>
          <w:color w:val="000000" w:themeColor="text1"/>
        </w:rPr>
        <w:br/>
        <w:t xml:space="preserve">Explicit instruction is a systematic, direct, purposeful way of teaching. </w:t>
      </w:r>
      <w:proofErr w:type="spellStart"/>
      <w:r w:rsidRPr="00781112">
        <w:rPr>
          <w:color w:val="000000" w:themeColor="text1"/>
        </w:rPr>
        <w:t>Rosenshine</w:t>
      </w:r>
      <w:proofErr w:type="spellEnd"/>
      <w:r w:rsidRPr="00781112">
        <w:rPr>
          <w:color w:val="000000" w:themeColor="text1"/>
        </w:rPr>
        <w:t xml:space="preserve"> (1987) defines explicit instruction as “a systematic method of teaching with emphasis on proceeding in small steps, checking for understanding, and achieving active and successful participation by all students”. The components of explicit instruction include having a clear objective, modeling, guided practice, independent practice, and supporting practices. GDOE utilizes the Reading Mastery &amp; Corrective Reading program in the resource room as a mechanism for the delivery of explicit and systematic instruction for students with IEPs in the resource room. </w:t>
      </w:r>
      <w:r w:rsidRPr="00781112">
        <w:rPr>
          <w:color w:val="000000" w:themeColor="text1"/>
        </w:rPr>
        <w:br/>
      </w:r>
      <w:r w:rsidRPr="00781112">
        <w:rPr>
          <w:color w:val="000000" w:themeColor="text1"/>
        </w:rPr>
        <w:br/>
        <w:t>4. Science of Reading (5 Components of Reading Instruction)</w:t>
      </w:r>
      <w:r w:rsidRPr="00781112">
        <w:rPr>
          <w:color w:val="000000" w:themeColor="text1"/>
        </w:rPr>
        <w:br/>
        <w:t>Aligned with CIS #1, 2, 3, 4, 5, 6</w:t>
      </w:r>
      <w:r w:rsidRPr="00781112">
        <w:rPr>
          <w:color w:val="000000" w:themeColor="text1"/>
        </w:rPr>
        <w:br/>
        <w:t xml:space="preserve">The Report of the National Reading Panel: Teaching Children to Read (April 2020) summarized research </w:t>
      </w:r>
      <w:proofErr w:type="gramStart"/>
      <w:r w:rsidRPr="00781112">
        <w:rPr>
          <w:color w:val="000000" w:themeColor="text1"/>
        </w:rPr>
        <w:t>in the area of</w:t>
      </w:r>
      <w:proofErr w:type="gramEnd"/>
      <w:r w:rsidRPr="00781112">
        <w:rPr>
          <w:color w:val="000000" w:themeColor="text1"/>
        </w:rPr>
        <w:t xml:space="preserve"> reading instruction. The National Reading Panel analysis was clear in its assertion that effective reading instruction must be systematic and explicit and must include the following components: phonemic awareness, phonics, vocabulary, fluency, and comprehension.</w:t>
      </w:r>
      <w:r w:rsidRPr="00781112">
        <w:rPr>
          <w:color w:val="000000" w:themeColor="text1"/>
        </w:rPr>
        <w:br/>
      </w:r>
      <w:r w:rsidRPr="00781112">
        <w:rPr>
          <w:color w:val="000000" w:themeColor="text1"/>
        </w:rPr>
        <w:br/>
        <w:t>5. Coaching</w:t>
      </w:r>
      <w:r w:rsidRPr="00781112">
        <w:rPr>
          <w:color w:val="000000" w:themeColor="text1"/>
        </w:rPr>
        <w:br/>
        <w:t>Aligned with CIS #1, 3, 4, 5, 6</w:t>
      </w:r>
      <w:r w:rsidRPr="00781112">
        <w:rPr>
          <w:color w:val="000000" w:themeColor="text1"/>
        </w:rPr>
        <w:br/>
        <w:t xml:space="preserve">Based on research by Joyce and Showers (2002), </w:t>
      </w:r>
      <w:proofErr w:type="gramStart"/>
      <w:r w:rsidRPr="00781112">
        <w:rPr>
          <w:color w:val="000000" w:themeColor="text1"/>
        </w:rPr>
        <w:t>in order for</w:t>
      </w:r>
      <w:proofErr w:type="gramEnd"/>
      <w:r w:rsidRPr="00781112">
        <w:rPr>
          <w:color w:val="000000" w:themeColor="text1"/>
        </w:rPr>
        <w:t xml:space="preserve"> the new skills learned in professional development to be transferred into the classroom, coaching is needed to help teachers successfully implement new knowledge and skills. Through on-going support from coaching, teachers are more </w:t>
      </w:r>
      <w:r w:rsidRPr="00781112">
        <w:rPr>
          <w:color w:val="000000" w:themeColor="text1"/>
        </w:rPr>
        <w:lastRenderedPageBreak/>
        <w:t xml:space="preserve">likely to implement EBPs with greater fidelity. Coaching supports fidelity of implementation through a focus on adherence of instruction procedures, duration, and quality of delivery. </w:t>
      </w:r>
      <w:r w:rsidRPr="00781112">
        <w:rPr>
          <w:color w:val="000000" w:themeColor="text1"/>
        </w:rPr>
        <w:br/>
      </w:r>
      <w:r w:rsidRPr="00781112">
        <w:rPr>
          <w:color w:val="000000" w:themeColor="text1"/>
        </w:rPr>
        <w:br/>
        <w:t>6. Professional Learning Communities (PLCs)</w:t>
      </w:r>
      <w:r w:rsidRPr="00781112">
        <w:rPr>
          <w:color w:val="000000" w:themeColor="text1"/>
        </w:rPr>
        <w:br/>
        <w:t>Aligned with CIS #1, 3, 4, 5, 6, 7</w:t>
      </w:r>
      <w:r w:rsidRPr="00781112">
        <w:rPr>
          <w:color w:val="000000" w:themeColor="text1"/>
        </w:rPr>
        <w:br/>
        <w:t xml:space="preserve">The PLC framework is centered on the tenets of improvement science. It is during PLC meetings where the continuous improvement process unfolds. Three overarching principles undergird the PLC framework: ensure that students learn, a culture of collaboration, and a focus on results. </w:t>
      </w:r>
      <w:proofErr w:type="gramStart"/>
      <w:r w:rsidRPr="00781112">
        <w:rPr>
          <w:color w:val="000000" w:themeColor="text1"/>
        </w:rPr>
        <w:t>In embracing the PLC framework, there</w:t>
      </w:r>
      <w:proofErr w:type="gramEnd"/>
      <w:r w:rsidRPr="00781112">
        <w:rPr>
          <w:color w:val="000000" w:themeColor="text1"/>
        </w:rPr>
        <w:t xml:space="preserve"> is a shift from teaching to learning (Dufour, 2004). There are four focus questions that are threaded through a PLC meeting:</w:t>
      </w:r>
      <w:r w:rsidRPr="00781112">
        <w:rPr>
          <w:color w:val="000000" w:themeColor="text1"/>
        </w:rPr>
        <w:br/>
        <w:t>- What do we want students to learn?</w:t>
      </w:r>
      <w:r w:rsidRPr="00781112">
        <w:rPr>
          <w:color w:val="000000" w:themeColor="text1"/>
        </w:rPr>
        <w:br/>
        <w:t>- How do we know they’ve learned it?</w:t>
      </w:r>
      <w:r w:rsidRPr="00781112">
        <w:rPr>
          <w:color w:val="000000" w:themeColor="text1"/>
        </w:rPr>
        <w:br/>
        <w:t>- What do we do if they haven’t learned it?</w:t>
      </w:r>
      <w:r w:rsidRPr="00781112">
        <w:rPr>
          <w:color w:val="000000" w:themeColor="text1"/>
        </w:rPr>
        <w:br/>
        <w:t>- What do we do if they’ve learned it?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0"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0"/>
    <w:p w14:paraId="3E043DB7" w14:textId="7C3B2CD4" w:rsidR="00AE1972" w:rsidRPr="00781112" w:rsidRDefault="00AE1972" w:rsidP="00AE1972">
      <w:pPr>
        <w:rPr>
          <w:b/>
          <w:bCs/>
        </w:rPr>
      </w:pPr>
      <w:r w:rsidRPr="00781112">
        <w:rPr>
          <w:color w:val="000000" w:themeColor="text1"/>
        </w:rPr>
        <w:t>1.</w:t>
      </w:r>
      <w:r w:rsidRPr="00781112">
        <w:rPr>
          <w:color w:val="000000" w:themeColor="text1"/>
        </w:rPr>
        <w:tab/>
        <w:t xml:space="preserve">Universal Screening </w:t>
      </w:r>
      <w:r w:rsidRPr="00781112">
        <w:rPr>
          <w:color w:val="000000" w:themeColor="text1"/>
        </w:rPr>
        <w:br/>
        <w:t>Aligned with CIS #1, 7</w:t>
      </w:r>
      <w:r w:rsidRPr="00781112">
        <w:rPr>
          <w:color w:val="000000" w:themeColor="text1"/>
        </w:rPr>
        <w:br/>
        <w:t>Activities and strategies that supported its use:</w:t>
      </w:r>
      <w:r w:rsidRPr="00781112">
        <w:rPr>
          <w:color w:val="000000" w:themeColor="text1"/>
        </w:rPr>
        <w:br/>
        <w:t>- Professional learning on administering the universal screener (</w:t>
      </w:r>
      <w:proofErr w:type="spellStart"/>
      <w:r w:rsidRPr="00781112">
        <w:rPr>
          <w:color w:val="000000" w:themeColor="text1"/>
        </w:rPr>
        <w:t>aimswebPlus</w:t>
      </w:r>
      <w:proofErr w:type="spellEnd"/>
      <w:r w:rsidRPr="00781112">
        <w:rPr>
          <w:color w:val="000000" w:themeColor="text1"/>
        </w:rPr>
        <w:t>)</w:t>
      </w:r>
      <w:r w:rsidRPr="00781112">
        <w:rPr>
          <w:color w:val="000000" w:themeColor="text1"/>
        </w:rPr>
        <w:br/>
        <w:t xml:space="preserve">- Professional learning on data analysis using </w:t>
      </w:r>
      <w:proofErr w:type="spellStart"/>
      <w:r w:rsidRPr="00781112">
        <w:rPr>
          <w:color w:val="000000" w:themeColor="text1"/>
        </w:rPr>
        <w:t>aimswebPlus</w:t>
      </w:r>
      <w:proofErr w:type="spellEnd"/>
      <w:r w:rsidRPr="00781112">
        <w:rPr>
          <w:color w:val="000000" w:themeColor="text1"/>
        </w:rPr>
        <w:t xml:space="preserve"> reading data</w:t>
      </w:r>
      <w:r w:rsidRPr="00781112">
        <w:rPr>
          <w:color w:val="000000" w:themeColor="text1"/>
        </w:rPr>
        <w:br/>
        <w:t xml:space="preserve">- Fidelity of administration observations were conducted to ensure that </w:t>
      </w:r>
      <w:proofErr w:type="spellStart"/>
      <w:r w:rsidRPr="00781112">
        <w:rPr>
          <w:color w:val="000000" w:themeColor="text1"/>
        </w:rPr>
        <w:t>aimswebPlus</w:t>
      </w:r>
      <w:proofErr w:type="spellEnd"/>
      <w:r w:rsidRPr="00781112">
        <w:rPr>
          <w:color w:val="000000" w:themeColor="text1"/>
        </w:rPr>
        <w:t xml:space="preserve"> was being administered with fidelity</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br/>
        <w:t>- At-risk students were identified in a timely manner (Change in program practice)</w:t>
      </w:r>
      <w:r w:rsidRPr="00781112">
        <w:rPr>
          <w:color w:val="000000" w:themeColor="text1"/>
        </w:rPr>
        <w:br/>
        <w:t xml:space="preserve">- Data from the screener is used to drive </w:t>
      </w:r>
      <w:proofErr w:type="spellStart"/>
      <w:r w:rsidRPr="00781112">
        <w:rPr>
          <w:color w:val="000000" w:themeColor="text1"/>
        </w:rPr>
        <w:t>classwide</w:t>
      </w:r>
      <w:proofErr w:type="spellEnd"/>
      <w:r w:rsidRPr="00781112">
        <w:rPr>
          <w:color w:val="000000" w:themeColor="text1"/>
        </w:rPr>
        <w:t xml:space="preserve"> and individual interventions (Change in teacher practices)</w:t>
      </w:r>
      <w:r w:rsidRPr="00781112">
        <w:rPr>
          <w:color w:val="000000" w:themeColor="text1"/>
        </w:rPr>
        <w:br/>
        <w:t>- Data from the screener is used for PDSAs (Change in teacher practices)</w:t>
      </w:r>
      <w:r w:rsidRPr="00781112">
        <w:rPr>
          <w:color w:val="000000" w:themeColor="text1"/>
        </w:rPr>
        <w:br/>
      </w:r>
      <w:r w:rsidRPr="00781112">
        <w:rPr>
          <w:color w:val="000000" w:themeColor="text1"/>
        </w:rPr>
        <w:br/>
        <w:t>2.  Improvement Science (Plan, Do, Study, Act-PDSAs)</w:t>
      </w:r>
      <w:r w:rsidRPr="00781112">
        <w:rPr>
          <w:color w:val="000000" w:themeColor="text1"/>
        </w:rPr>
        <w:br/>
        <w:t>Aligned with CIS #1, 3, 4, 5, 6, 7</w:t>
      </w:r>
      <w:r w:rsidRPr="00781112">
        <w:rPr>
          <w:color w:val="000000" w:themeColor="text1"/>
        </w:rPr>
        <w:br/>
        <w:t>Activities and strategies that supported its use:</w:t>
      </w:r>
      <w:r w:rsidRPr="00781112">
        <w:rPr>
          <w:color w:val="000000" w:themeColor="text1"/>
        </w:rPr>
        <w:br/>
        <w:t xml:space="preserve">- Professional learning sessions on improvement science, Science of Reading, data analysis, Reading Mastery &amp; Corrective Reading programs </w:t>
      </w:r>
      <w:r w:rsidRPr="00781112">
        <w:rPr>
          <w:color w:val="000000" w:themeColor="text1"/>
        </w:rPr>
        <w:br/>
        <w:t>- Fidelity observations on the administration of the universal screener</w:t>
      </w:r>
      <w:r w:rsidRPr="00781112">
        <w:rPr>
          <w:color w:val="000000" w:themeColor="text1"/>
        </w:rPr>
        <w:br/>
        <w:t xml:space="preserve">- PDSA classroom observations </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br/>
        <w:t>- Teachers and students use data to develop a goal and strategies to improve deficits in reading. (Change in teacher and student behavior)</w:t>
      </w:r>
      <w:r w:rsidRPr="00781112">
        <w:rPr>
          <w:color w:val="000000" w:themeColor="text1"/>
        </w:rPr>
        <w:br/>
        <w:t>- Students take ownership of their data and their learning. (Change in student behavior)</w:t>
      </w:r>
      <w:r w:rsidRPr="00781112">
        <w:rPr>
          <w:color w:val="000000" w:themeColor="text1"/>
        </w:rPr>
        <w:br/>
        <w:t>- Facilitates an on-going process of data collection, use of evidence-based practices, and adaptation based on data. (Change in teacher and program practices)</w:t>
      </w:r>
      <w:r w:rsidRPr="00781112">
        <w:rPr>
          <w:color w:val="000000" w:themeColor="text1"/>
        </w:rPr>
        <w:br/>
        <w:t>- Provides the basis for the delivery of EBPs and interventions (Change in teacher and program practices)</w:t>
      </w:r>
      <w:r w:rsidRPr="00781112">
        <w:rPr>
          <w:color w:val="000000" w:themeColor="text1"/>
        </w:rPr>
        <w:br/>
      </w:r>
      <w:r w:rsidRPr="00781112">
        <w:rPr>
          <w:color w:val="000000" w:themeColor="text1"/>
        </w:rPr>
        <w:br/>
        <w:t>3.  Explicit Instruction (Reading Mastery Implementation)</w:t>
      </w:r>
      <w:r w:rsidRPr="00781112">
        <w:rPr>
          <w:color w:val="000000" w:themeColor="text1"/>
        </w:rPr>
        <w:br/>
        <w:t>Aligned with CIS #1, 3, 4, 5, 6, 7</w:t>
      </w:r>
      <w:r w:rsidRPr="00781112">
        <w:rPr>
          <w:color w:val="000000" w:themeColor="text1"/>
        </w:rPr>
        <w:br/>
        <w:t>Activities and strategies that supported its use</w:t>
      </w:r>
      <w:r w:rsidRPr="00781112">
        <w:rPr>
          <w:color w:val="000000" w:themeColor="text1"/>
        </w:rPr>
        <w:br/>
        <w:t>- Professional learning for Resource Room Teachers (RRTs) in the use of explicit instruction in the delivery of the Direct Instruction (DI) Reading Mastery and Corrective Reading Programs</w:t>
      </w:r>
      <w:r w:rsidRPr="00781112">
        <w:rPr>
          <w:color w:val="000000" w:themeColor="text1"/>
        </w:rPr>
        <w:br/>
        <w:t>- Coaching for RRTs on the use of explicit instruction with the Reading Mastery and Corrective Reading Programs</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br/>
        <w:t>- Increased proficiency in the delivery of the Reading Mastery and Corrective Reading Programs. (Change in teacher practices)</w:t>
      </w:r>
      <w:r w:rsidRPr="00781112">
        <w:rPr>
          <w:color w:val="000000" w:themeColor="text1"/>
        </w:rPr>
        <w:br/>
        <w:t>- Reading tasks are broken down into smaller steps to reduce the cognitive load for struggling readers. (Change in teacher practices)</w:t>
      </w:r>
      <w:r w:rsidRPr="00781112">
        <w:rPr>
          <w:color w:val="000000" w:themeColor="text1"/>
        </w:rPr>
        <w:br/>
        <w:t>- Practice and corrective feedback are provided in a timely manner to increase the attainment and mastery of reading skills. (Change in teacher practices)</w:t>
      </w:r>
      <w:r w:rsidRPr="00781112">
        <w:rPr>
          <w:color w:val="000000" w:themeColor="text1"/>
        </w:rPr>
        <w:br/>
      </w:r>
      <w:r w:rsidRPr="00781112">
        <w:rPr>
          <w:color w:val="000000" w:themeColor="text1"/>
        </w:rPr>
        <w:br/>
        <w:t>4.  Science of Reading (5 Components of Reading Instruction)</w:t>
      </w:r>
      <w:r w:rsidRPr="00781112">
        <w:rPr>
          <w:color w:val="000000" w:themeColor="text1"/>
        </w:rPr>
        <w:br/>
        <w:t>Aligned with CIS #1, 2, 3, 4, 5, 6</w:t>
      </w:r>
      <w:r w:rsidRPr="00781112">
        <w:rPr>
          <w:color w:val="000000" w:themeColor="text1"/>
        </w:rPr>
        <w:br/>
        <w:t>Activities and strategies that supported its use:</w:t>
      </w:r>
      <w:r w:rsidRPr="00781112">
        <w:rPr>
          <w:color w:val="000000" w:themeColor="text1"/>
        </w:rPr>
        <w:br/>
        <w:t>- Professional learning in the use of knowledge of the 5 Components of Reading instruction in the development of PDSAs</w:t>
      </w:r>
      <w:r w:rsidRPr="00781112">
        <w:rPr>
          <w:color w:val="000000" w:themeColor="text1"/>
        </w:rPr>
        <w:br/>
        <w:t xml:space="preserve">- Professional learning in using data from </w:t>
      </w:r>
      <w:proofErr w:type="spellStart"/>
      <w:r w:rsidRPr="00781112">
        <w:rPr>
          <w:color w:val="000000" w:themeColor="text1"/>
        </w:rPr>
        <w:t>aimswebPlus</w:t>
      </w:r>
      <w:proofErr w:type="spellEnd"/>
      <w:r w:rsidRPr="00781112">
        <w:rPr>
          <w:color w:val="000000" w:themeColor="text1"/>
        </w:rPr>
        <w:t xml:space="preserve"> to determine what area of reading instruction needs to be targeted in instruction and in the development of PDSAs.</w:t>
      </w:r>
      <w:r w:rsidRPr="00781112">
        <w:rPr>
          <w:color w:val="000000" w:themeColor="text1"/>
        </w:rPr>
        <w:br/>
        <w:t>- Professional learning of various EBPs that fall under the 5 Components of Reading instruction (e.g. Elkonin boxes, repeated reading, word building, etc.)</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br/>
        <w:t>- Increased proficiency in the delivery of effective reading instruction. (Change in teacher practices)</w:t>
      </w:r>
      <w:r w:rsidRPr="00781112">
        <w:rPr>
          <w:color w:val="000000" w:themeColor="text1"/>
        </w:rPr>
        <w:br/>
        <w:t>- Students are provided with reading instruction that is balanced and meets their needs. (Change in teacher practices)</w:t>
      </w:r>
      <w:r w:rsidRPr="00781112">
        <w:rPr>
          <w:color w:val="000000" w:themeColor="text1"/>
        </w:rPr>
        <w:br/>
      </w:r>
      <w:r w:rsidRPr="00781112">
        <w:rPr>
          <w:color w:val="000000" w:themeColor="text1"/>
        </w:rPr>
        <w:br/>
        <w:t>5.  Coaching</w:t>
      </w:r>
      <w:r w:rsidRPr="00781112">
        <w:rPr>
          <w:color w:val="000000" w:themeColor="text1"/>
        </w:rPr>
        <w:br/>
        <w:t>Aligned with CIS #1, 3, 4, 5, 6</w:t>
      </w:r>
      <w:r w:rsidRPr="00781112">
        <w:rPr>
          <w:color w:val="000000" w:themeColor="text1"/>
        </w:rPr>
        <w:br/>
        <w:t>Activities and strategies that supported its use:</w:t>
      </w:r>
      <w:r w:rsidRPr="00781112">
        <w:rPr>
          <w:color w:val="000000" w:themeColor="text1"/>
        </w:rPr>
        <w:br/>
        <w:t xml:space="preserve">- Professional learning sessions from the Progress Center for </w:t>
      </w:r>
      <w:proofErr w:type="spellStart"/>
      <w:r w:rsidRPr="00781112">
        <w:rPr>
          <w:color w:val="000000" w:themeColor="text1"/>
        </w:rPr>
        <w:t>SpEd</w:t>
      </w:r>
      <w:proofErr w:type="spellEnd"/>
      <w:r w:rsidRPr="00781112">
        <w:rPr>
          <w:color w:val="000000" w:themeColor="text1"/>
        </w:rPr>
        <w:t xml:space="preserve"> coaches on IEP components </w:t>
      </w:r>
      <w:r w:rsidRPr="00781112">
        <w:rPr>
          <w:color w:val="000000" w:themeColor="text1"/>
        </w:rPr>
        <w:br/>
        <w:t>- Professional learning provided by the district to build the capacity of Instructional Coaches (ICs) to include training from REL on improving teacher performance through instructional coaching and training to ICs on the district’s universal screener</w:t>
      </w:r>
      <w:r w:rsidRPr="00781112">
        <w:rPr>
          <w:color w:val="000000" w:themeColor="text1"/>
        </w:rPr>
        <w:br/>
        <w:t xml:space="preserve">- IC coaching activities for SSIP schools: Creating SMART goals and PDSAs, </w:t>
      </w:r>
      <w:proofErr w:type="spellStart"/>
      <w:r w:rsidRPr="00781112">
        <w:rPr>
          <w:color w:val="000000" w:themeColor="text1"/>
        </w:rPr>
        <w:t>aimswebPlus</w:t>
      </w:r>
      <w:proofErr w:type="spellEnd"/>
      <w:r w:rsidRPr="00781112">
        <w:rPr>
          <w:color w:val="000000" w:themeColor="text1"/>
        </w:rPr>
        <w:t xml:space="preserve"> data analysis, coaching for </w:t>
      </w:r>
      <w:proofErr w:type="spellStart"/>
      <w:r w:rsidRPr="00781112">
        <w:rPr>
          <w:color w:val="000000" w:themeColor="text1"/>
        </w:rPr>
        <w:t>aimswebPlus</w:t>
      </w:r>
      <w:proofErr w:type="spellEnd"/>
      <w:r w:rsidRPr="00781112">
        <w:rPr>
          <w:color w:val="000000" w:themeColor="text1"/>
        </w:rPr>
        <w:t xml:space="preserve"> school managers, classroom observations with feedback, and supporting new SSIP teachers </w:t>
      </w:r>
      <w:r w:rsidRPr="00781112">
        <w:rPr>
          <w:color w:val="000000" w:themeColor="text1"/>
        </w:rPr>
        <w:br/>
        <w:t xml:space="preserve">- </w:t>
      </w:r>
      <w:proofErr w:type="spellStart"/>
      <w:r w:rsidRPr="00781112">
        <w:rPr>
          <w:color w:val="000000" w:themeColor="text1"/>
        </w:rPr>
        <w:t>SpEd</w:t>
      </w:r>
      <w:proofErr w:type="spellEnd"/>
      <w:r w:rsidRPr="00781112">
        <w:rPr>
          <w:color w:val="000000" w:themeColor="text1"/>
        </w:rPr>
        <w:t xml:space="preserve"> coaches activities for SSIP schools: Coaching on the development of PLAAFP and goals </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br/>
        <w:t>- Increased proficiency in the delivery of effective reading instruction. (Change in teacher practices)</w:t>
      </w:r>
      <w:r w:rsidRPr="00781112">
        <w:rPr>
          <w:color w:val="000000" w:themeColor="text1"/>
        </w:rPr>
        <w:br/>
        <w:t xml:space="preserve">- The development of an effective PLAAFP statement and goals drives the determination of the appropriate SDI to meet the unique needs of the student. </w:t>
      </w:r>
      <w:r w:rsidRPr="00781112">
        <w:rPr>
          <w:color w:val="000000" w:themeColor="text1"/>
        </w:rPr>
        <w:lastRenderedPageBreak/>
        <w:t>(Change in teacher practices)</w:t>
      </w:r>
      <w:r w:rsidRPr="00781112">
        <w:rPr>
          <w:color w:val="000000" w:themeColor="text1"/>
        </w:rPr>
        <w:br/>
      </w:r>
      <w:r w:rsidRPr="00781112">
        <w:rPr>
          <w:color w:val="000000" w:themeColor="text1"/>
        </w:rPr>
        <w:br/>
        <w:t>6. Professional Learning Communities (PLCs)</w:t>
      </w:r>
      <w:r w:rsidRPr="00781112">
        <w:rPr>
          <w:color w:val="000000" w:themeColor="text1"/>
        </w:rPr>
        <w:br/>
        <w:t xml:space="preserve"> Aligned with CIS #1, 3, 4, 5, 6</w:t>
      </w:r>
      <w:r w:rsidRPr="00781112">
        <w:rPr>
          <w:color w:val="000000" w:themeColor="text1"/>
        </w:rPr>
        <w:br/>
        <w:t>Activities and strategies that supported its use:</w:t>
      </w:r>
      <w:r w:rsidRPr="00781112">
        <w:rPr>
          <w:color w:val="000000" w:themeColor="text1"/>
        </w:rPr>
        <w:br/>
        <w:t xml:space="preserve">- PLCs provide the mechanism by which </w:t>
      </w:r>
      <w:proofErr w:type="spellStart"/>
      <w:r w:rsidRPr="00781112">
        <w:rPr>
          <w:color w:val="000000" w:themeColor="text1"/>
        </w:rPr>
        <w:t>aimswebPlus</w:t>
      </w:r>
      <w:proofErr w:type="spellEnd"/>
      <w:r w:rsidRPr="00781112">
        <w:rPr>
          <w:color w:val="000000" w:themeColor="text1"/>
        </w:rPr>
        <w:t xml:space="preserve"> data was analyzed to inform practices and to develop PDSAs</w:t>
      </w:r>
      <w:r w:rsidRPr="00781112">
        <w:rPr>
          <w:color w:val="000000" w:themeColor="text1"/>
        </w:rPr>
        <w:br/>
        <w:t xml:space="preserve">Impact on the </w:t>
      </w:r>
      <w:proofErr w:type="spellStart"/>
      <w:r w:rsidRPr="00781112">
        <w:rPr>
          <w:color w:val="000000" w:themeColor="text1"/>
        </w:rPr>
        <w:t>SiMR</w:t>
      </w:r>
      <w:proofErr w:type="spellEnd"/>
      <w:r w:rsidRPr="00781112">
        <w:rPr>
          <w:color w:val="000000" w:themeColor="text1"/>
        </w:rPr>
        <w:t xml:space="preserve"> </w:t>
      </w:r>
      <w:r w:rsidRPr="00781112">
        <w:rPr>
          <w:color w:val="000000" w:themeColor="text1"/>
        </w:rPr>
        <w:br/>
        <w:t>- Increased and deliberate focus on using data to drive instruction and interventions. (Change in teacher practice)</w:t>
      </w:r>
      <w:r w:rsidRPr="00781112">
        <w:rPr>
          <w:color w:val="000000" w:themeColor="text1"/>
        </w:rPr>
        <w:br/>
        <w:t>- Increased and deliberate focus on identifying EBPs to address gaps in instruction and interventions. (Change in teacher practices)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2266828B" w:rsidR="00AE1972" w:rsidRPr="00781112" w:rsidRDefault="00AE1972" w:rsidP="00AE1972">
      <w:pPr>
        <w:rPr>
          <w:b/>
          <w:bCs/>
        </w:rPr>
      </w:pPr>
      <w:r w:rsidRPr="00781112">
        <w:rPr>
          <w:color w:val="000000" w:themeColor="text1"/>
        </w:rPr>
        <w:t>Core Team Meeting Notes (CIS#7)</w:t>
      </w:r>
      <w:r w:rsidRPr="00781112">
        <w:rPr>
          <w:color w:val="000000" w:themeColor="text1"/>
        </w:rPr>
        <w:br/>
        <w:t>Core team meeting notes were used to determine how monitoring and accountability were conducted.</w:t>
      </w:r>
      <w:r w:rsidRPr="00781112">
        <w:rPr>
          <w:color w:val="000000" w:themeColor="text1"/>
        </w:rPr>
        <w:br/>
      </w:r>
      <w:r w:rsidRPr="00781112">
        <w:rPr>
          <w:color w:val="000000" w:themeColor="text1"/>
        </w:rPr>
        <w:br/>
        <w:t>Universal Screener Fidelity Data (CIS #1, 7)</w:t>
      </w:r>
      <w:r w:rsidRPr="00781112">
        <w:rPr>
          <w:color w:val="000000" w:themeColor="text1"/>
        </w:rPr>
        <w:br/>
        <w:t xml:space="preserve">K-3 teachers from the 4 SSIP target schools were systematically observed in order to examine their assessment practices in the areas of ORF &amp; EL. The practices associated with ORF &amp; EL were observed during the Fall ‘22 administration of the screener. School principals used a standardized protocol and fidelity checklist to determine the level of fidelity in the administration of the </w:t>
      </w:r>
      <w:proofErr w:type="spellStart"/>
      <w:r w:rsidRPr="00781112">
        <w:rPr>
          <w:color w:val="000000" w:themeColor="text1"/>
        </w:rPr>
        <w:t>aimswebPlus</w:t>
      </w:r>
      <w:proofErr w:type="spellEnd"/>
      <w:r w:rsidRPr="00781112">
        <w:rPr>
          <w:color w:val="000000" w:themeColor="text1"/>
        </w:rPr>
        <w:t xml:space="preserve"> EL and Reading measures. When analyzing the assessment practices in both the areas of ORF &amp; EL, it was found that 90.94% (Level 4-strong implementation) of tasks were implemented with fidelity. In comparison to Fall ‘21, only 69.30% of tasks were implemented with fidelity. Further examination provides evidence that ORF tasks were implemented at a 91.22% fidelity level (Level 4-strong implementation) while EL practices were implemented at 90.18% (Level 4-strong implementation) fidelity rate. In addition to the number of tasks implemented with fidelity, the observation data were analyzed to determine how many teachers were implementing all observed tasks with fidelity. Across the 4 schools, a total of 41 teachers were observed using at least one fidelity checklist. The data indicated that a high percentage of teachers (82.93%) are implementing 85-99% of the tasks with fidelity. Of note, 12% of 2nd-3rd grade teachers did implement all the ORF fidelity checklist tasks with fidelity and 8% of the Kindergarten &amp; 1st grade teachers observed implemented all the tasks with fidelity.</w:t>
      </w:r>
      <w:r w:rsidRPr="00781112">
        <w:rPr>
          <w:color w:val="000000" w:themeColor="text1"/>
        </w:rPr>
        <w:br/>
      </w:r>
      <w:r w:rsidRPr="00781112">
        <w:rPr>
          <w:color w:val="000000" w:themeColor="text1"/>
        </w:rPr>
        <w:br/>
        <w:t>Professional Learning (PL) Feedback (CIS # 1, 3, 4, 5, 6, 7)</w:t>
      </w:r>
      <w:r w:rsidRPr="00781112">
        <w:rPr>
          <w:color w:val="000000" w:themeColor="text1"/>
        </w:rPr>
        <w:br/>
        <w:t>The following indicates the percentage of satisfaction from participants with the PL content provided during this reporting period:</w:t>
      </w:r>
      <w:r w:rsidRPr="00781112">
        <w:rPr>
          <w:color w:val="000000" w:themeColor="text1"/>
        </w:rPr>
        <w:br/>
      </w:r>
      <w:r w:rsidR="005C2C65">
        <w:rPr>
          <w:color w:val="000000" w:themeColor="text1"/>
        </w:rPr>
        <w:t>SSIP School 4</w:t>
      </w:r>
      <w:r w:rsidRPr="00781112">
        <w:rPr>
          <w:color w:val="000000" w:themeColor="text1"/>
        </w:rPr>
        <w:t xml:space="preserve"> 1st Grade Session on the Five Components of Reading &amp; Lesson Planning: 100% (4/4)</w:t>
      </w:r>
      <w:r w:rsidRPr="00781112">
        <w:rPr>
          <w:color w:val="000000" w:themeColor="text1"/>
        </w:rPr>
        <w:br/>
        <w:t xml:space="preserve">Fast </w:t>
      </w:r>
      <w:proofErr w:type="spellStart"/>
      <w:r w:rsidRPr="00781112">
        <w:rPr>
          <w:color w:val="000000" w:themeColor="text1"/>
        </w:rPr>
        <w:t>ForWord</w:t>
      </w:r>
      <w:proofErr w:type="spellEnd"/>
      <w:r w:rsidRPr="00781112">
        <w:rPr>
          <w:color w:val="000000" w:themeColor="text1"/>
        </w:rPr>
        <w:t xml:space="preserve"> Program Overview &amp; Implementation: 100% (2/2)</w:t>
      </w:r>
      <w:r w:rsidRPr="00781112">
        <w:rPr>
          <w:color w:val="000000" w:themeColor="text1"/>
        </w:rPr>
        <w:br/>
      </w:r>
      <w:r w:rsidR="005C2C65">
        <w:rPr>
          <w:color w:val="000000" w:themeColor="text1"/>
        </w:rPr>
        <w:t>SSIP School 4</w:t>
      </w:r>
      <w:r w:rsidRPr="00781112">
        <w:rPr>
          <w:color w:val="000000" w:themeColor="text1"/>
        </w:rPr>
        <w:t xml:space="preserve"> 1st Grade Session on Continuous Improvement in Reading: 100% (3/3)</w:t>
      </w:r>
      <w:r w:rsidRPr="00781112">
        <w:rPr>
          <w:color w:val="000000" w:themeColor="text1"/>
        </w:rPr>
        <w:br/>
      </w:r>
      <w:proofErr w:type="spellStart"/>
      <w:r w:rsidRPr="00781112">
        <w:rPr>
          <w:color w:val="000000" w:themeColor="text1"/>
        </w:rPr>
        <w:t>aimswebPlus</w:t>
      </w:r>
      <w:proofErr w:type="spellEnd"/>
      <w:r w:rsidRPr="00781112">
        <w:rPr>
          <w:color w:val="000000" w:themeColor="text1"/>
        </w:rPr>
        <w:t xml:space="preserve"> Administration Training Session: 92% (12/13)</w:t>
      </w:r>
      <w:r w:rsidRPr="00781112">
        <w:rPr>
          <w:color w:val="000000" w:themeColor="text1"/>
        </w:rPr>
        <w:br/>
        <w:t>Progress Monitoring Overview Sessions: 100% (55/55)</w:t>
      </w:r>
      <w:r w:rsidRPr="00781112">
        <w:rPr>
          <w:color w:val="000000" w:themeColor="text1"/>
        </w:rPr>
        <w:br/>
        <w:t>Urgency of Reading Proficiency &amp; Continuous Improvement Session for Scale Up Schools: 99% (76/77)</w:t>
      </w:r>
      <w:r w:rsidRPr="00781112">
        <w:rPr>
          <w:color w:val="000000" w:themeColor="text1"/>
        </w:rPr>
        <w:br/>
        <w:t>Continuous Improvement in Reading Onsite School Sessions for Scale Up Schools: 100% (31/31)</w:t>
      </w:r>
      <w:r w:rsidRPr="00781112">
        <w:rPr>
          <w:color w:val="000000" w:themeColor="text1"/>
        </w:rPr>
        <w:br/>
        <w:t>RM &amp; Corrective Reading Training series for RRTs: 100% (4/4)</w:t>
      </w:r>
      <w:r w:rsidRPr="00781112">
        <w:rPr>
          <w:color w:val="000000" w:themeColor="text1"/>
        </w:rPr>
        <w:br/>
      </w:r>
      <w:r w:rsidR="001C5370">
        <w:rPr>
          <w:color w:val="000000" w:themeColor="text1"/>
        </w:rPr>
        <w:t>SSIP School 1</w:t>
      </w:r>
      <w:r w:rsidRPr="00781112">
        <w:rPr>
          <w:color w:val="000000" w:themeColor="text1"/>
        </w:rPr>
        <w:t xml:space="preserve"> Kindergarten Direct Instruction Reading Mastery I &amp; II Overview: 100% (2/2)</w:t>
      </w:r>
      <w:r w:rsidRPr="00781112">
        <w:rPr>
          <w:color w:val="000000" w:themeColor="text1"/>
        </w:rPr>
        <w:br/>
      </w:r>
      <w:r w:rsidR="001C5370">
        <w:rPr>
          <w:color w:val="000000" w:themeColor="text1"/>
        </w:rPr>
        <w:t>SSIP Scho</w:t>
      </w:r>
      <w:r w:rsidR="00A30DE6">
        <w:rPr>
          <w:color w:val="000000" w:themeColor="text1"/>
        </w:rPr>
        <w:t>ol 1</w:t>
      </w:r>
      <w:r w:rsidRPr="00781112">
        <w:rPr>
          <w:color w:val="000000" w:themeColor="text1"/>
        </w:rPr>
        <w:t xml:space="preserve"> Direct Instruction Reading Mastery Overview: 100% (7/7)</w:t>
      </w:r>
      <w:r w:rsidRPr="00781112">
        <w:rPr>
          <w:color w:val="000000" w:themeColor="text1"/>
        </w:rPr>
        <w:br/>
      </w:r>
      <w:r w:rsidR="00A30DE6">
        <w:rPr>
          <w:color w:val="000000" w:themeColor="text1"/>
        </w:rPr>
        <w:t xml:space="preserve">SSIP </w:t>
      </w:r>
      <w:r w:rsidRPr="00781112">
        <w:rPr>
          <w:color w:val="000000" w:themeColor="text1"/>
        </w:rPr>
        <w:t>School</w:t>
      </w:r>
      <w:r w:rsidR="00A30DE6">
        <w:rPr>
          <w:color w:val="000000" w:themeColor="text1"/>
        </w:rPr>
        <w:t xml:space="preserve"> 2</w:t>
      </w:r>
      <w:r w:rsidRPr="00781112">
        <w:rPr>
          <w:color w:val="000000" w:themeColor="text1"/>
        </w:rPr>
        <w:t xml:space="preserve"> Data Literacy: 94% (16/17)</w:t>
      </w:r>
      <w:r w:rsidRPr="00781112">
        <w:rPr>
          <w:color w:val="000000" w:themeColor="text1"/>
        </w:rPr>
        <w:br/>
      </w:r>
      <w:r w:rsidR="00A30DE6">
        <w:rPr>
          <w:color w:val="000000" w:themeColor="text1"/>
        </w:rPr>
        <w:t>SSIP</w:t>
      </w:r>
      <w:r w:rsidRPr="00781112">
        <w:rPr>
          <w:color w:val="000000" w:themeColor="text1"/>
        </w:rPr>
        <w:t xml:space="preserve"> School </w:t>
      </w:r>
      <w:r w:rsidR="00A30DE6">
        <w:rPr>
          <w:color w:val="000000" w:themeColor="text1"/>
        </w:rPr>
        <w:t xml:space="preserve">3 </w:t>
      </w:r>
      <w:r w:rsidRPr="00781112">
        <w:rPr>
          <w:color w:val="000000" w:themeColor="text1"/>
        </w:rPr>
        <w:t>Improvement Science: 90% (36/40)</w:t>
      </w:r>
      <w:r w:rsidRPr="00781112">
        <w:rPr>
          <w:color w:val="000000" w:themeColor="text1"/>
        </w:rPr>
        <w:br/>
        <w:t>In summary, the overall satisfaction average for participants in PL sessions is 97.91% which is Level 4 or strong implementation indicating that participants find the content and delivery of PL relevant. Next steps include the development of PL policy and standards to ensure that PL is based on practices that are research-based and encompass elements of high-quality practice-based opportunities.</w:t>
      </w:r>
      <w:r w:rsidRPr="00781112">
        <w:rPr>
          <w:color w:val="000000" w:themeColor="text1"/>
        </w:rPr>
        <w:br/>
      </w:r>
      <w:r w:rsidRPr="00781112">
        <w:rPr>
          <w:color w:val="000000" w:themeColor="text1"/>
        </w:rPr>
        <w:br/>
        <w:t>Improvement Science &amp; Science of Reading (SOR) Retrospective PL Survey</w:t>
      </w:r>
      <w:r w:rsidRPr="00781112">
        <w:rPr>
          <w:color w:val="000000" w:themeColor="text1"/>
        </w:rPr>
        <w:br/>
        <w:t>As evidenced through PL surveys that measured knowledge increase before &amp; after a session, there was a 95% increase in knowledge of K-3 teachers from the scale-up schools. The teachers reported increased knowledge from “no or low knowledge” before the session to “moderate or high knowledge” after the district session on Improvement Science &amp; the SOR. This percentage is indicative of Level 4 or strong implementation.</w:t>
      </w:r>
      <w:r w:rsidRPr="00781112">
        <w:rPr>
          <w:color w:val="000000" w:themeColor="text1"/>
        </w:rPr>
        <w:br/>
      </w:r>
      <w:r w:rsidRPr="00781112">
        <w:rPr>
          <w:color w:val="000000" w:themeColor="text1"/>
        </w:rPr>
        <w:br/>
        <w:t>Universal Screening Data (CIS #1,7)</w:t>
      </w:r>
      <w:r w:rsidRPr="00781112">
        <w:rPr>
          <w:color w:val="000000" w:themeColor="text1"/>
        </w:rPr>
        <w:br/>
      </w:r>
      <w:proofErr w:type="spellStart"/>
      <w:r w:rsidRPr="00781112">
        <w:rPr>
          <w:color w:val="000000" w:themeColor="text1"/>
        </w:rPr>
        <w:t>aimswebPlus</w:t>
      </w:r>
      <w:proofErr w:type="spellEnd"/>
      <w:r w:rsidRPr="00781112">
        <w:rPr>
          <w:color w:val="000000" w:themeColor="text1"/>
        </w:rPr>
        <w:t xml:space="preserve"> is described under the prompt “Has the state collected additional data?” </w:t>
      </w:r>
      <w:r w:rsidRPr="00781112">
        <w:rPr>
          <w:color w:val="000000" w:themeColor="text1"/>
        </w:rPr>
        <w:br/>
      </w:r>
      <w:r w:rsidRPr="00781112">
        <w:rPr>
          <w:color w:val="000000" w:themeColor="text1"/>
        </w:rPr>
        <w:br/>
        <w:t>IEP File Folder Reviews (CIS #5,6,7)</w:t>
      </w:r>
      <w:r w:rsidRPr="00781112">
        <w:rPr>
          <w:color w:val="000000" w:themeColor="text1"/>
        </w:rPr>
        <w:br/>
        <w:t xml:space="preserve">22 IEPs were reviewed by 6 individuals on 17 indicators using a checklist. The 22 IEPs were for students attending the 4 new scale-up schools &amp; will be used as baseline data. Of the 22 IEPs, the ratings of 11 were removed as the PLAAFP was not current (over 30 days old). This resulted in a summary of the ratings for 11 IEPs. For each IEP component (PLAAFP, Annual Goal, SDI), the IEP is considered to have met the criteria if the IEP component met at least 80% of the indicators. The results demonstrated below represent the percentage of IEPs that met the 80% criteria: </w:t>
      </w:r>
      <w:r w:rsidRPr="00781112">
        <w:rPr>
          <w:color w:val="000000" w:themeColor="text1"/>
        </w:rPr>
        <w:br/>
        <w:t xml:space="preserve">PLAAFP: </w:t>
      </w:r>
      <w:r w:rsidR="00E43C3E">
        <w:rPr>
          <w:color w:val="000000" w:themeColor="text1"/>
        </w:rPr>
        <w:t>x</w:t>
      </w:r>
      <w:r w:rsidRPr="00781112">
        <w:rPr>
          <w:color w:val="000000" w:themeColor="text1"/>
        </w:rPr>
        <w:t>% (</w:t>
      </w:r>
      <w:r w:rsidR="00E43C3E">
        <w:rPr>
          <w:color w:val="000000" w:themeColor="text1"/>
        </w:rPr>
        <w:t>x</w:t>
      </w:r>
      <w:r w:rsidRPr="00781112">
        <w:rPr>
          <w:color w:val="000000" w:themeColor="text1"/>
        </w:rPr>
        <w:t>/11) of the IEPs</w:t>
      </w:r>
      <w:r w:rsidRPr="00781112">
        <w:rPr>
          <w:color w:val="000000" w:themeColor="text1"/>
        </w:rPr>
        <w:br/>
        <w:t xml:space="preserve">Annual Goals </w:t>
      </w:r>
      <w:r w:rsidR="00E43C3E">
        <w:rPr>
          <w:color w:val="000000" w:themeColor="text1"/>
        </w:rPr>
        <w:t>x</w:t>
      </w:r>
      <w:r w:rsidRPr="00781112">
        <w:rPr>
          <w:color w:val="000000" w:themeColor="text1"/>
        </w:rPr>
        <w:t>% (</w:t>
      </w:r>
      <w:r w:rsidR="00E43C3E">
        <w:rPr>
          <w:color w:val="000000" w:themeColor="text1"/>
        </w:rPr>
        <w:t>x</w:t>
      </w:r>
      <w:r w:rsidRPr="00781112">
        <w:rPr>
          <w:color w:val="000000" w:themeColor="text1"/>
        </w:rPr>
        <w:t>/11) of the IEPs</w:t>
      </w:r>
      <w:r w:rsidRPr="00781112">
        <w:rPr>
          <w:color w:val="000000" w:themeColor="text1"/>
        </w:rPr>
        <w:br/>
        <w:t xml:space="preserve">SDI: </w:t>
      </w:r>
      <w:r w:rsidR="00E43C3E">
        <w:rPr>
          <w:color w:val="000000" w:themeColor="text1"/>
        </w:rPr>
        <w:t>x</w:t>
      </w:r>
      <w:r w:rsidRPr="00781112">
        <w:rPr>
          <w:color w:val="000000" w:themeColor="text1"/>
        </w:rPr>
        <w:t>% (</w:t>
      </w:r>
      <w:r w:rsidR="00E43C3E">
        <w:rPr>
          <w:color w:val="000000" w:themeColor="text1"/>
        </w:rPr>
        <w:t>x</w:t>
      </w:r>
      <w:r w:rsidRPr="00781112">
        <w:rPr>
          <w:color w:val="000000" w:themeColor="text1"/>
        </w:rPr>
        <w:t>/11) of the IEPs</w:t>
      </w:r>
      <w:r w:rsidRPr="00781112">
        <w:rPr>
          <w:color w:val="000000" w:themeColor="text1"/>
        </w:rPr>
        <w:br/>
        <w:t xml:space="preserve">The scale-up schools have not received any coaching on IEP development. In contrast, in FFY2020, target schools received coaching on PLAAFP development. Data from IEP file folder reviews of the target schools in FFY2020 showed at least half of the IEPs from the target schools (57% &amp; above) met the indicators under the PLAAFP component </w:t>
      </w:r>
      <w:proofErr w:type="gramStart"/>
      <w:r w:rsidRPr="00781112">
        <w:rPr>
          <w:color w:val="000000" w:themeColor="text1"/>
        </w:rPr>
        <w:t>as a result of</w:t>
      </w:r>
      <w:proofErr w:type="gramEnd"/>
      <w:r w:rsidRPr="00781112">
        <w:rPr>
          <w:color w:val="000000" w:themeColor="text1"/>
        </w:rPr>
        <w:t xml:space="preserve"> coaching. </w:t>
      </w:r>
      <w:r w:rsidRPr="00781112">
        <w:rPr>
          <w:color w:val="000000" w:themeColor="text1"/>
        </w:rPr>
        <w:br/>
      </w:r>
      <w:r w:rsidRPr="00781112">
        <w:rPr>
          <w:color w:val="000000" w:themeColor="text1"/>
        </w:rPr>
        <w:br/>
        <w:t>Direct Instruction (DI): Reading Mastery &amp; Corrective Reading Classroom Fidelity Data (CIS #1, 3, 4, 5, 6, 7)</w:t>
      </w:r>
      <w:r w:rsidRPr="00781112">
        <w:rPr>
          <w:color w:val="000000" w:themeColor="text1"/>
        </w:rPr>
        <w:br/>
        <w:t>Observations were conducted at three of the four SSIP school sites with a total of 6 resource room teachers (RRTs). One of the 4 SSIP schools just received a new RRT in December 2022 &amp; DI training was just completed in January 2023. Therefore, no observations were completed for this teacher at the time of reporting. The observations were centered on the fidelity of implementation for the DI Reading Mastery &amp; Corrective Reading programs which are used to address the SDI for students with IEPs as well as to measure the coaching provided by TA providers. All 6 RRTs observed showed that they were using the DI reading programs (Reading Mastery I, Reading Mastery III, and Corrective Reading Decoding B2) with their students in either a 1:1 format or in a small group setting.</w:t>
      </w:r>
      <w:r w:rsidRPr="00781112">
        <w:rPr>
          <w:color w:val="000000" w:themeColor="text1"/>
        </w:rPr>
        <w:br/>
        <w:t xml:space="preserve">Fidelity data, presented below, was collected based on these implementation areas: </w:t>
      </w:r>
      <w:r w:rsidRPr="00781112">
        <w:rPr>
          <w:color w:val="000000" w:themeColor="text1"/>
        </w:rPr>
        <w:br/>
        <w:t>- Materials organized and ready: 83% (5/6) Level 4 (Strong Implementation)</w:t>
      </w:r>
      <w:r w:rsidRPr="00781112">
        <w:rPr>
          <w:color w:val="000000" w:themeColor="text1"/>
        </w:rPr>
        <w:br/>
        <w:t xml:space="preserve">- Begins lesson promptly: 100% (6/6) Level 4 </w:t>
      </w:r>
      <w:r w:rsidRPr="00781112">
        <w:rPr>
          <w:color w:val="000000" w:themeColor="text1"/>
        </w:rPr>
        <w:br/>
        <w:t xml:space="preserve">- Students on task: 100% (6/6) Level 4 </w:t>
      </w:r>
      <w:r w:rsidRPr="00781112">
        <w:rPr>
          <w:color w:val="000000" w:themeColor="text1"/>
        </w:rPr>
        <w:br/>
        <w:t xml:space="preserve">- Follows steps and script in exercises: 83% (5/6) Level 4 </w:t>
      </w:r>
      <w:r w:rsidRPr="00781112">
        <w:rPr>
          <w:color w:val="000000" w:themeColor="text1"/>
        </w:rPr>
        <w:br/>
      </w:r>
      <w:r w:rsidRPr="00781112">
        <w:rPr>
          <w:color w:val="000000" w:themeColor="text1"/>
        </w:rPr>
        <w:lastRenderedPageBreak/>
        <w:t xml:space="preserve">- Uses clear signals: 83% (5/6) Level 4 </w:t>
      </w:r>
      <w:r w:rsidRPr="00781112">
        <w:rPr>
          <w:color w:val="000000" w:themeColor="text1"/>
        </w:rPr>
        <w:br/>
        <w:t>- Students respond on signal in a conversational tone: 67% (4/6) Level 3 (Moderate Implementation)</w:t>
      </w:r>
      <w:r w:rsidRPr="00781112">
        <w:rPr>
          <w:color w:val="000000" w:themeColor="text1"/>
        </w:rPr>
        <w:br/>
        <w:t xml:space="preserve">·- Allows think time: 100% (6/6) Level 4 </w:t>
      </w:r>
      <w:r w:rsidRPr="00781112">
        <w:rPr>
          <w:color w:val="000000" w:themeColor="text1"/>
        </w:rPr>
        <w:br/>
        <w:t xml:space="preserve">- Corrects errors : 100% (6/6) Level 4 </w:t>
      </w:r>
      <w:r w:rsidRPr="00781112">
        <w:rPr>
          <w:color w:val="000000" w:themeColor="text1"/>
        </w:rPr>
        <w:br/>
        <w:t xml:space="preserve">- Delayed tests for missed items: 83% (5/6) Level 4 </w:t>
      </w:r>
      <w:r w:rsidRPr="00781112">
        <w:rPr>
          <w:color w:val="000000" w:themeColor="text1"/>
        </w:rPr>
        <w:br/>
        <w:t xml:space="preserve">- Pacing: 83% (5/6) Level 4 </w:t>
      </w:r>
      <w:r w:rsidRPr="00781112">
        <w:rPr>
          <w:color w:val="000000" w:themeColor="text1"/>
        </w:rPr>
        <w:br/>
        <w:t>In summary, the classroom observation data of the implementation of DI in the Resource Room demonstrated Level 4 or strong implementation in 90% (9/10) of the fidelity indicators. Next steps include examining lesson progress to ensure that lessons are being completed &amp; students are moving at an appropriate pace through the program.</w:t>
      </w:r>
      <w:r w:rsidRPr="00781112">
        <w:rPr>
          <w:color w:val="000000" w:themeColor="text1"/>
        </w:rPr>
        <w:br/>
      </w:r>
      <w:r w:rsidRPr="00781112">
        <w:rPr>
          <w:color w:val="000000" w:themeColor="text1"/>
        </w:rPr>
        <w:br/>
        <w:t>PDSA Classroom Observations (CIS #1, 3. 4. 6, 7)</w:t>
      </w:r>
      <w:r w:rsidRPr="00781112">
        <w:rPr>
          <w:color w:val="000000" w:themeColor="text1"/>
        </w:rPr>
        <w:br/>
        <w:t>SSIP principals from the 4 target schools conducted classroom observations &amp; document reviews to determine the level of implementation of PDSA cycles in grades K-3 to support Improvement Science. The observations showed 97% (59/61) of K-3 teachers in the 4 target schools have implemented a PDSA cycle based on their universal screening data. The two teachers currently not implementing the framework are substitute teachers. This percentage is indicative of Level 4 or strong implementation.</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4A614056" w:rsidR="00AE1972" w:rsidRDefault="00AE1972" w:rsidP="00AE1972">
      <w:pPr>
        <w:rPr>
          <w:color w:val="000000" w:themeColor="text1"/>
        </w:rPr>
      </w:pPr>
      <w:r w:rsidRPr="00781112">
        <w:rPr>
          <w:color w:val="000000" w:themeColor="text1"/>
        </w:rPr>
        <w:t>Improvement Science Survey (CIS #1, 3, 4, 5, 6, 7)</w:t>
      </w:r>
      <w:r w:rsidRPr="00781112">
        <w:rPr>
          <w:color w:val="000000" w:themeColor="text1"/>
        </w:rPr>
        <w:br/>
        <w:t>An online survey was conducted in January 2023 to assess the impact of SSIP in the knowledge and skills of teachers in the elements of Improvement Science. Teachers surveyed were K-3 and RRTs from the 4 target schools. The response rate was 83.6% (51/61). Using an agreement scale for the items, categories of Strongly Agree and Agree were used to calculate an overall agreement level about teacher knowledge and skill in the elements of Improvement Science. The results demonstrated the following:</w:t>
      </w:r>
      <w:r w:rsidRPr="00781112">
        <w:rPr>
          <w:color w:val="000000" w:themeColor="text1"/>
        </w:rPr>
        <w:br/>
        <w:t>- Data Literacy: 86% (44/51) of teachers indicated knowledge and skill increase through participation in SSIP (Level 4-Strong Implementation)</w:t>
      </w:r>
      <w:r w:rsidRPr="00781112">
        <w:rPr>
          <w:color w:val="000000" w:themeColor="text1"/>
        </w:rPr>
        <w:br/>
        <w:t>- Data-based Decision Making: 86% (44/51) of teachers indicated knowledge and skill increase through participation in SSIP (Level 4)</w:t>
      </w:r>
      <w:r w:rsidRPr="00781112">
        <w:rPr>
          <w:color w:val="000000" w:themeColor="text1"/>
        </w:rPr>
        <w:br/>
        <w:t>- Development of PDSAs: 92% (47/51) of teachers indicated knowledge and skill increase through participation in SSIP (Level 4).</w:t>
      </w:r>
      <w:r w:rsidRPr="00781112">
        <w:rPr>
          <w:color w:val="000000" w:themeColor="text1"/>
        </w:rPr>
        <w:br/>
      </w:r>
      <w:r w:rsidRPr="00781112">
        <w:rPr>
          <w:color w:val="000000" w:themeColor="text1"/>
        </w:rPr>
        <w:br/>
        <w:t>IEP Case Study Analysis (CIS # 5, 6, 7)</w:t>
      </w:r>
      <w:r w:rsidRPr="00781112">
        <w:rPr>
          <w:color w:val="000000" w:themeColor="text1"/>
        </w:rPr>
        <w:br/>
        <w:t xml:space="preserve">An IEP case study analysis was conducted to collect data on how 2nd grade students with IEPs from the 4 target schools were progressing. The data collected was to assist in determining if students were on-track to meet the </w:t>
      </w:r>
      <w:proofErr w:type="spellStart"/>
      <w:r w:rsidRPr="00781112">
        <w:rPr>
          <w:color w:val="000000" w:themeColor="text1"/>
        </w:rPr>
        <w:t>SiMR</w:t>
      </w:r>
      <w:proofErr w:type="spellEnd"/>
      <w:r w:rsidRPr="00781112">
        <w:rPr>
          <w:color w:val="000000" w:themeColor="text1"/>
        </w:rPr>
        <w:t xml:space="preserve"> for the next reporting period and to identify areas in need of intensive support. The methodology for the case study centered on conducting IEP file folder reviews. The following information was collected: # minutes for SDI in reading, participation in reading core instruction, Fall ‘22 universal screening data, and the results of the IEP checklist for PLAAFP, Annual Goals, and SDI statements. </w:t>
      </w:r>
      <w:r w:rsidRPr="00781112">
        <w:rPr>
          <w:color w:val="000000" w:themeColor="text1"/>
        </w:rPr>
        <w:br/>
      </w:r>
      <w:r w:rsidRPr="00781112">
        <w:rPr>
          <w:color w:val="000000" w:themeColor="text1"/>
        </w:rPr>
        <w:br/>
        <w:t xml:space="preserve">A total of ten 2nd grade students were included in the analysis. 6 students had a specific learning disability, </w:t>
      </w:r>
      <w:r w:rsidR="00DA378B">
        <w:rPr>
          <w:color w:val="000000" w:themeColor="text1"/>
        </w:rPr>
        <w:t>x</w:t>
      </w:r>
      <w:r w:rsidRPr="00781112">
        <w:rPr>
          <w:color w:val="000000" w:themeColor="text1"/>
        </w:rPr>
        <w:t xml:space="preserve"> with multiple disabilities, </w:t>
      </w:r>
      <w:r w:rsidR="00DA378B">
        <w:rPr>
          <w:color w:val="000000" w:themeColor="text1"/>
        </w:rPr>
        <w:t>x</w:t>
      </w:r>
      <w:r w:rsidRPr="00781112">
        <w:rPr>
          <w:color w:val="000000" w:themeColor="text1"/>
        </w:rPr>
        <w:t xml:space="preserve"> with intellectual disability, and </w:t>
      </w:r>
      <w:r w:rsidR="00DA378B">
        <w:rPr>
          <w:color w:val="000000" w:themeColor="text1"/>
        </w:rPr>
        <w:t>x</w:t>
      </w:r>
      <w:r w:rsidRPr="00781112">
        <w:rPr>
          <w:color w:val="000000" w:themeColor="text1"/>
        </w:rPr>
        <w:t xml:space="preserve"> with autism. 7 students were in the general education classroom 80% of the time, 3 students were in the general education classroom 40% to 79% of the time. Four students were receiving their SDI in the general education classroom and 6 were receiving it in the resource room. 8 students had 30 minutes of SDI in reading, </w:t>
      </w:r>
      <w:r w:rsidR="00DA378B">
        <w:rPr>
          <w:color w:val="000000" w:themeColor="text1"/>
        </w:rPr>
        <w:t>x</w:t>
      </w:r>
      <w:r w:rsidRPr="00781112">
        <w:rPr>
          <w:color w:val="000000" w:themeColor="text1"/>
        </w:rPr>
        <w:t xml:space="preserve"> had 25 minutes, and </w:t>
      </w:r>
      <w:r w:rsidR="00DA378B">
        <w:rPr>
          <w:color w:val="000000" w:themeColor="text1"/>
        </w:rPr>
        <w:t>x</w:t>
      </w:r>
      <w:r w:rsidRPr="00781112">
        <w:rPr>
          <w:color w:val="000000" w:themeColor="text1"/>
        </w:rPr>
        <w:t xml:space="preserve"> had 20 minutes. The data from the universal screener revealed that all 10 students were well-below average in ORF which indicates a Level 1 or little or no implementation. For RC, </w:t>
      </w:r>
      <w:r w:rsidR="00DA378B">
        <w:rPr>
          <w:color w:val="000000" w:themeColor="text1"/>
        </w:rPr>
        <w:t>x</w:t>
      </w:r>
      <w:r w:rsidRPr="00781112">
        <w:rPr>
          <w:color w:val="000000" w:themeColor="text1"/>
        </w:rPr>
        <w:t xml:space="preserve"> </w:t>
      </w:r>
      <w:proofErr w:type="gramStart"/>
      <w:r w:rsidR="001E16E4">
        <w:rPr>
          <w:color w:val="000000" w:themeColor="text1"/>
        </w:rPr>
        <w:t>were</w:t>
      </w:r>
      <w:proofErr w:type="gramEnd"/>
      <w:r w:rsidRPr="00781112">
        <w:rPr>
          <w:color w:val="000000" w:themeColor="text1"/>
        </w:rPr>
        <w:t xml:space="preserve"> on or above benchmark, 6 were average, </w:t>
      </w:r>
      <w:r w:rsidR="001E16E4">
        <w:rPr>
          <w:color w:val="000000" w:themeColor="text1"/>
        </w:rPr>
        <w:t>x</w:t>
      </w:r>
      <w:r w:rsidRPr="00781112">
        <w:rPr>
          <w:color w:val="000000" w:themeColor="text1"/>
        </w:rPr>
        <w:t xml:space="preserve"> were below average, and </w:t>
      </w:r>
      <w:r w:rsidR="001E16E4">
        <w:rPr>
          <w:color w:val="000000" w:themeColor="text1"/>
        </w:rPr>
        <w:t>x</w:t>
      </w:r>
      <w:r w:rsidRPr="00781112">
        <w:rPr>
          <w:color w:val="000000" w:themeColor="text1"/>
        </w:rPr>
        <w:t xml:space="preserve"> were not screened for reading comprehension which indicates a Level 3 or moderate implementation. The results between ORF and RC have no correlation which may be indicative of the way in which RC is administered. The data does not reflect any significant difference between the performance of students receiving SDI in the general education classroom in comparison with students receiving SDI in the resource room.</w:t>
      </w:r>
      <w:r w:rsidRPr="00781112">
        <w:rPr>
          <w:color w:val="000000" w:themeColor="text1"/>
        </w:rPr>
        <w:br/>
      </w:r>
      <w:r w:rsidRPr="00781112">
        <w:rPr>
          <w:color w:val="000000" w:themeColor="text1"/>
        </w:rPr>
        <w:br/>
        <w:t>In the area of quality of PLAAFP &amp; Annual Goals using an IEP checklist tool, the results showed the following:</w:t>
      </w:r>
      <w:r w:rsidRPr="00781112">
        <w:rPr>
          <w:color w:val="000000" w:themeColor="text1"/>
        </w:rPr>
        <w:br/>
        <w:t>PLAAFP:</w:t>
      </w:r>
      <w:r w:rsidRPr="00781112">
        <w:rPr>
          <w:color w:val="000000" w:themeColor="text1"/>
        </w:rPr>
        <w:br/>
        <w:t>- Current data–70% (7/10): Level 3 (Moderate Implementation)</w:t>
      </w:r>
      <w:r w:rsidRPr="00781112">
        <w:rPr>
          <w:color w:val="000000" w:themeColor="text1"/>
        </w:rPr>
        <w:br/>
        <w:t xml:space="preserve">- Valid &amp; reliable assessment–80%(8/10): Level 4 </w:t>
      </w:r>
      <w:r w:rsidRPr="00781112">
        <w:rPr>
          <w:color w:val="000000" w:themeColor="text1"/>
        </w:rPr>
        <w:br/>
        <w:t>- Measurable &amp; Observable–60% (6/10): Level 3</w:t>
      </w:r>
      <w:r w:rsidRPr="00781112">
        <w:rPr>
          <w:color w:val="000000" w:themeColor="text1"/>
        </w:rPr>
        <w:br/>
        <w:t>- Passes the Stranger’s Test–60% (6/10): Level 3</w:t>
      </w:r>
      <w:r w:rsidRPr="00781112">
        <w:rPr>
          <w:color w:val="000000" w:themeColor="text1"/>
        </w:rPr>
        <w:br/>
        <w:t>Annual Goals</w:t>
      </w:r>
      <w:r w:rsidRPr="00781112">
        <w:rPr>
          <w:color w:val="000000" w:themeColor="text1"/>
        </w:rPr>
        <w:br/>
        <w:t xml:space="preserve">- Aligned with PLAAFP- </w:t>
      </w:r>
      <w:r w:rsidR="00A8616F">
        <w:rPr>
          <w:color w:val="000000" w:themeColor="text1"/>
        </w:rPr>
        <w:t>x</w:t>
      </w:r>
      <w:r w:rsidRPr="00781112">
        <w:rPr>
          <w:color w:val="000000" w:themeColor="text1"/>
        </w:rPr>
        <w:t>% (</w:t>
      </w:r>
      <w:r w:rsidR="00A8616F">
        <w:rPr>
          <w:color w:val="000000" w:themeColor="text1"/>
        </w:rPr>
        <w:t>x</w:t>
      </w:r>
      <w:r w:rsidRPr="00781112">
        <w:rPr>
          <w:color w:val="000000" w:themeColor="text1"/>
        </w:rPr>
        <w:t>/10): Level 1 (Little or No Implementation)</w:t>
      </w:r>
      <w:r w:rsidRPr="00781112">
        <w:rPr>
          <w:color w:val="000000" w:themeColor="text1"/>
        </w:rPr>
        <w:br/>
        <w:t xml:space="preserve">- Measurable &amp; Observable–100% (10/10): Level 4 </w:t>
      </w:r>
      <w:r w:rsidRPr="00781112">
        <w:rPr>
          <w:color w:val="000000" w:themeColor="text1"/>
        </w:rPr>
        <w:br/>
        <w:t xml:space="preserve">- Passes the Stanger’s Test–40% (4/10): Level 2 (Some Implementation) </w:t>
      </w:r>
      <w:r w:rsidRPr="00781112">
        <w:rPr>
          <w:color w:val="000000" w:themeColor="text1"/>
        </w:rPr>
        <w:br/>
      </w:r>
      <w:r w:rsidRPr="00781112">
        <w:rPr>
          <w:color w:val="000000" w:themeColor="text1"/>
        </w:rPr>
        <w:br/>
        <w:t xml:space="preserve">The case study revealed areas of strength and areas for growth. Areas of strength include: a majority of PLAAFP and Annual Goal statements are measurable and observable; </w:t>
      </w:r>
      <w:proofErr w:type="gramStart"/>
      <w:r w:rsidRPr="00781112">
        <w:rPr>
          <w:color w:val="000000" w:themeColor="text1"/>
        </w:rPr>
        <w:t>a majority of</w:t>
      </w:r>
      <w:proofErr w:type="gramEnd"/>
      <w:r w:rsidRPr="00781112">
        <w:rPr>
          <w:color w:val="000000" w:themeColor="text1"/>
        </w:rPr>
        <w:t xml:space="preserve"> IEPs included some type of valid and reliable assessments; and the majority of IEPs include current data. Areas for growth include: PLAAFP statements need to be written so it can be understood by the </w:t>
      </w:r>
      <w:proofErr w:type="gramStart"/>
      <w:r w:rsidRPr="00781112">
        <w:rPr>
          <w:color w:val="000000" w:themeColor="text1"/>
        </w:rPr>
        <w:t>general public</w:t>
      </w:r>
      <w:proofErr w:type="gramEnd"/>
      <w:r w:rsidRPr="00781112">
        <w:rPr>
          <w:color w:val="000000" w:themeColor="text1"/>
        </w:rPr>
        <w:t xml:space="preserve"> and there needs to be alignment in the unit of measurement for the PLAAFP with the annual goal statement. </w:t>
      </w:r>
      <w:r w:rsidRPr="00781112">
        <w:rPr>
          <w:color w:val="000000" w:themeColor="text1"/>
        </w:rPr>
        <w:br/>
      </w:r>
      <w:r w:rsidRPr="00781112">
        <w:rPr>
          <w:color w:val="000000" w:themeColor="text1"/>
        </w:rPr>
        <w:br/>
        <w:t>Teacher Self-Assessment: (CIS # 3, 4, 5, 7)</w:t>
      </w:r>
      <w:r w:rsidRPr="00781112">
        <w:rPr>
          <w:color w:val="000000" w:themeColor="text1"/>
        </w:rPr>
        <w:br/>
        <w:t>A teacher self-assessment survey was conducted at the end of SY 2021-2022 to assess the perception of teachers on the implementation of the Science of Reading. The tool used was the How Do I Feel Survey. The survey measured teachers' perceptions on 6 statements related to reading instruction. Teachers rated themselves based on the following Likert scale:</w:t>
      </w:r>
      <w:r w:rsidRPr="00781112">
        <w:rPr>
          <w:color w:val="000000" w:themeColor="text1"/>
        </w:rPr>
        <w:br/>
        <w:t>1.</w:t>
      </w:r>
      <w:r w:rsidRPr="00781112">
        <w:rPr>
          <w:color w:val="000000" w:themeColor="text1"/>
        </w:rPr>
        <w:tab/>
        <w:t xml:space="preserve">Not so clear about this </w:t>
      </w:r>
      <w:r w:rsidRPr="00781112">
        <w:rPr>
          <w:color w:val="000000" w:themeColor="text1"/>
        </w:rPr>
        <w:br/>
        <w:t>2. I know a little bit</w:t>
      </w:r>
      <w:r w:rsidRPr="00781112">
        <w:rPr>
          <w:color w:val="000000" w:themeColor="text1"/>
        </w:rPr>
        <w:br/>
        <w:t>3. I know about this well</w:t>
      </w:r>
      <w:r w:rsidRPr="00781112">
        <w:rPr>
          <w:color w:val="000000" w:themeColor="text1"/>
        </w:rPr>
        <w:br/>
        <w:t>4. I know this well enough to implement in my classroom</w:t>
      </w:r>
      <w:r w:rsidRPr="00781112">
        <w:rPr>
          <w:color w:val="000000" w:themeColor="text1"/>
        </w:rPr>
        <w:br/>
        <w:t>5. I have incorporated this in my classroom</w:t>
      </w:r>
      <w:r w:rsidRPr="00781112">
        <w:rPr>
          <w:color w:val="000000" w:themeColor="text1"/>
        </w:rPr>
        <w:br/>
      </w:r>
      <w:r w:rsidRPr="00781112">
        <w:rPr>
          <w:color w:val="000000" w:themeColor="text1"/>
        </w:rPr>
        <w:br/>
        <w:t>67 K-3 teachers completed the survey from the 4 target schools. The implementation items on the survey (#4 and #5) were extrapolated to determine the level of implementation. The data yielded the following results:</w:t>
      </w:r>
      <w:r w:rsidRPr="00781112">
        <w:rPr>
          <w:color w:val="000000" w:themeColor="text1"/>
        </w:rPr>
        <w:br/>
        <w:t>1.</w:t>
      </w:r>
      <w:r w:rsidRPr="00781112">
        <w:rPr>
          <w:color w:val="000000" w:themeColor="text1"/>
        </w:rPr>
        <w:tab/>
        <w:t xml:space="preserve">Reading Big Ideas 49% (33/67) -Level 2 </w:t>
      </w:r>
      <w:r w:rsidRPr="00781112">
        <w:rPr>
          <w:color w:val="000000" w:themeColor="text1"/>
        </w:rPr>
        <w:br/>
        <w:t>2.</w:t>
      </w:r>
      <w:r w:rsidRPr="00781112">
        <w:rPr>
          <w:color w:val="000000" w:themeColor="text1"/>
        </w:rPr>
        <w:tab/>
        <w:t xml:space="preserve">Phonemic Awareness 55% (37/67)-Level 3 </w:t>
      </w:r>
      <w:r w:rsidRPr="00781112">
        <w:rPr>
          <w:color w:val="000000" w:themeColor="text1"/>
        </w:rPr>
        <w:br/>
        <w:t>3.</w:t>
      </w:r>
      <w:r w:rsidRPr="00781112">
        <w:rPr>
          <w:color w:val="000000" w:themeColor="text1"/>
        </w:rPr>
        <w:tab/>
        <w:t xml:space="preserve">Phonics 63% (42/67) Level 3 </w:t>
      </w:r>
      <w:r w:rsidRPr="00781112">
        <w:rPr>
          <w:color w:val="000000" w:themeColor="text1"/>
        </w:rPr>
        <w:br/>
        <w:t>4. Fluency 54% (36/67) Level 3</w:t>
      </w:r>
      <w:r w:rsidRPr="00781112">
        <w:rPr>
          <w:color w:val="000000" w:themeColor="text1"/>
        </w:rPr>
        <w:br/>
        <w:t>5. Vocabulary 56</w:t>
      </w:r>
      <w:proofErr w:type="gramStart"/>
      <w:r w:rsidRPr="00781112">
        <w:rPr>
          <w:color w:val="000000" w:themeColor="text1"/>
        </w:rPr>
        <w:t>%(</w:t>
      </w:r>
      <w:proofErr w:type="gramEnd"/>
      <w:r w:rsidRPr="00781112">
        <w:rPr>
          <w:color w:val="000000" w:themeColor="text1"/>
        </w:rPr>
        <w:t>38/67) Level 3</w:t>
      </w:r>
      <w:r w:rsidRPr="00781112">
        <w:rPr>
          <w:color w:val="000000" w:themeColor="text1"/>
        </w:rPr>
        <w:br/>
      </w:r>
      <w:r w:rsidRPr="00781112">
        <w:rPr>
          <w:color w:val="000000" w:themeColor="text1"/>
        </w:rPr>
        <w:lastRenderedPageBreak/>
        <w:t>6. Comprehension 56% (38/67) Level 3</w:t>
      </w:r>
      <w:r w:rsidRPr="00781112">
        <w:rPr>
          <w:color w:val="000000" w:themeColor="text1"/>
        </w:rPr>
        <w:br/>
      </w:r>
      <w:r w:rsidRPr="00781112">
        <w:rPr>
          <w:color w:val="000000" w:themeColor="text1"/>
        </w:rPr>
        <w:br/>
        <w:t>In summary, the data on how teachers felt about implementing the 5 Components of Reading Instruction in their classrooms yielded an overall Level 3 or Moderate Implementation.</w:t>
      </w:r>
      <w:r w:rsidRPr="00781112">
        <w:rPr>
          <w:color w:val="000000" w:themeColor="text1"/>
        </w:rPr>
        <w:br/>
      </w:r>
      <w:r w:rsidRPr="00781112">
        <w:rPr>
          <w:color w:val="000000" w:themeColor="text1"/>
        </w:rPr>
        <w:br/>
        <w:t>Parent Interviews (CIS# 2, 7)</w:t>
      </w:r>
      <w:r w:rsidRPr="00781112">
        <w:rPr>
          <w:color w:val="000000" w:themeColor="text1"/>
        </w:rPr>
        <w:br/>
        <w:t>Information was gathered from parents on how schools could help families support their children in improving their reading skills and how the COVID-19 pandemic impacted their learning in reading. Telephone interviews were conducted with parents of children with IEPs who attended the 4 target schools. Interviewers asked parents 6 standard questions. Fifty-nine (59) families of students with disabilities across the 4 target schools were identified, and 55 parents were contacted via phone. Of those, 18 (33%) completed the interview. The following provides a summary of the data collected:</w:t>
      </w:r>
      <w:r w:rsidRPr="00781112">
        <w:rPr>
          <w:color w:val="000000" w:themeColor="text1"/>
        </w:rPr>
        <w:br/>
        <w:t xml:space="preserve"> </w:t>
      </w:r>
      <w:r w:rsidRPr="00781112">
        <w:rPr>
          <w:color w:val="000000" w:themeColor="text1"/>
        </w:rPr>
        <w:br/>
        <w:t xml:space="preserve">Parents who participated in the interview continue to express concern regarding the setbacks their child(ren) have experienced because of the pandemic and virtual learning. Parents expressed worry about both the academic and social emotional impacts that virtual learning has had on their child(ren). Parents reported that online instruction was challenging for students with regards to being able to focus on the computer and understanding instruction that was delivered via the computer. </w:t>
      </w:r>
      <w:proofErr w:type="gramStart"/>
      <w:r w:rsidRPr="00781112">
        <w:rPr>
          <w:color w:val="000000" w:themeColor="text1"/>
        </w:rPr>
        <w:t>A number of</w:t>
      </w:r>
      <w:proofErr w:type="gramEnd"/>
      <w:r w:rsidRPr="00781112">
        <w:rPr>
          <w:color w:val="000000" w:themeColor="text1"/>
        </w:rPr>
        <w:t xml:space="preserve"> parents reported seeing a regression in their child(ren)’s reading abilities due to the lack of face-to-face instruction and support in the classroom. Parents also discussed the social emotional impacts on their child(ren) </w:t>
      </w:r>
      <w:proofErr w:type="gramStart"/>
      <w:r w:rsidRPr="00781112">
        <w:rPr>
          <w:color w:val="000000" w:themeColor="text1"/>
        </w:rPr>
        <w:t>as a result of</w:t>
      </w:r>
      <w:proofErr w:type="gramEnd"/>
      <w:r w:rsidRPr="00781112">
        <w:rPr>
          <w:color w:val="000000" w:themeColor="text1"/>
        </w:rPr>
        <w:t xml:space="preserve"> virtual learning. </w:t>
      </w:r>
      <w:r w:rsidRPr="00781112">
        <w:rPr>
          <w:color w:val="000000" w:themeColor="text1"/>
        </w:rPr>
        <w:br/>
      </w:r>
      <w:r w:rsidRPr="00781112">
        <w:rPr>
          <w:color w:val="000000" w:themeColor="text1"/>
        </w:rPr>
        <w:br/>
        <w:t xml:space="preserve">When asked how the school helped parents to help their child(ren) improve their reading, parents reported schools provided reading materials in appropriate formats as well as provided additional learning tools such as worksheets, flashcards, and other materials specific to the reading curriculum their child was using. Parents also described the strategies teachers and schools used to communicate with parents about their child(ren)’s reading performance. Some examples included using notebooks and journals, emailing information to parents, and using web-based applications such as WhatsApp. Other parents indicated that primary communication with the school and teachers was achieved through student conferences, face to face meetings, or the telephone. </w:t>
      </w:r>
      <w:r w:rsidRPr="00781112">
        <w:rPr>
          <w:color w:val="000000" w:themeColor="text1"/>
        </w:rPr>
        <w:br/>
        <w:t xml:space="preserve"> </w:t>
      </w:r>
      <w:r w:rsidRPr="00781112">
        <w:rPr>
          <w:color w:val="000000" w:themeColor="text1"/>
        </w:rPr>
        <w:br/>
        <w:t>When asked about what additional supports they need from the school, many parents indicated they would like additional materials to help support improving literacy at home. Some suggestions include providing children’s books to parents, other materials that support improving reading skills (e.g., letter flashcards, teacher lesson plans that will help parents identify what areas to focus on). Other recommendations included enhancing parent engagement in the classroom, ensuring supply and use of special education teachers, and considerations for implementing other programming such as Direct Instruction (DI).</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1.</w:t>
      </w:r>
      <w:r w:rsidRPr="00781112">
        <w:rPr>
          <w:color w:val="000000" w:themeColor="text1"/>
        </w:rPr>
        <w:tab/>
        <w:t xml:space="preserve">Universal Screening </w:t>
      </w:r>
      <w:r w:rsidRPr="00781112">
        <w:rPr>
          <w:color w:val="000000" w:themeColor="text1"/>
        </w:rPr>
        <w:br/>
        <w:t>Aligned with CIS #1, 7</w:t>
      </w:r>
      <w:r w:rsidRPr="00781112">
        <w:rPr>
          <w:color w:val="000000" w:themeColor="text1"/>
        </w:rPr>
        <w:br/>
        <w:t xml:space="preserve">Next Steps: </w:t>
      </w:r>
      <w:r w:rsidRPr="00781112">
        <w:rPr>
          <w:color w:val="000000" w:themeColor="text1"/>
        </w:rPr>
        <w:br/>
        <w:t>- Continued PL on data literacy using the universal screener</w:t>
      </w:r>
      <w:r w:rsidRPr="00781112">
        <w:rPr>
          <w:color w:val="000000" w:themeColor="text1"/>
        </w:rPr>
        <w:br/>
        <w:t>- Continued PL on progress monitoring</w:t>
      </w:r>
      <w:r w:rsidRPr="00781112">
        <w:rPr>
          <w:color w:val="000000" w:themeColor="text1"/>
        </w:rPr>
        <w:br/>
        <w:t>- Continued observations of the administration of the universal screener to ensure that data is being collected with fidelity.</w:t>
      </w:r>
      <w:r w:rsidRPr="00781112">
        <w:rPr>
          <w:color w:val="000000" w:themeColor="text1"/>
        </w:rPr>
        <w:br/>
        <w:t>Anticipated outcomes for next reporting period:</w:t>
      </w:r>
      <w:r w:rsidRPr="00781112">
        <w:rPr>
          <w:color w:val="000000" w:themeColor="text1"/>
        </w:rPr>
        <w:br/>
        <w:t>- Increased knowledge and skills in data-based decision making</w:t>
      </w:r>
      <w:r w:rsidRPr="00781112">
        <w:rPr>
          <w:color w:val="000000" w:themeColor="text1"/>
        </w:rPr>
        <w:br/>
        <w:t>- Increased proficiency in administering the universal screener with fidelity</w:t>
      </w:r>
      <w:r w:rsidRPr="00781112">
        <w:rPr>
          <w:color w:val="000000" w:themeColor="text1"/>
        </w:rPr>
        <w:br/>
        <w:t>- Increased knowledge and skills in implementing progress monitoring</w:t>
      </w:r>
      <w:r w:rsidRPr="00781112">
        <w:rPr>
          <w:color w:val="000000" w:themeColor="text1"/>
        </w:rPr>
        <w:br/>
        <w:t>- Increased percent of students at SSIP schools proficient in reading as measured by the universal screener</w:t>
      </w:r>
      <w:r w:rsidRPr="00781112">
        <w:rPr>
          <w:color w:val="000000" w:themeColor="text1"/>
        </w:rPr>
        <w:br/>
      </w:r>
      <w:r w:rsidRPr="00781112">
        <w:rPr>
          <w:color w:val="000000" w:themeColor="text1"/>
        </w:rPr>
        <w:br/>
        <w:t>2.  Improvement Science (Plan, Do, Study, Act)</w:t>
      </w:r>
      <w:r w:rsidRPr="00781112">
        <w:rPr>
          <w:color w:val="000000" w:themeColor="text1"/>
        </w:rPr>
        <w:br/>
        <w:t>Aligned with CIS #1, 3, 4, 5, 6, 7</w:t>
      </w:r>
      <w:r w:rsidRPr="00781112">
        <w:rPr>
          <w:color w:val="000000" w:themeColor="text1"/>
        </w:rPr>
        <w:br/>
        <w:t>Next Steps:</w:t>
      </w:r>
      <w:r w:rsidRPr="00781112">
        <w:rPr>
          <w:color w:val="000000" w:themeColor="text1"/>
        </w:rPr>
        <w:br/>
        <w:t>- Continued PL &amp; coaching on using data from the universal screener to develop PDSAs</w:t>
      </w:r>
      <w:r w:rsidRPr="00781112">
        <w:rPr>
          <w:color w:val="000000" w:themeColor="text1"/>
        </w:rPr>
        <w:br/>
        <w:t>- Continued PL on the selection of EBPs for PDSAs</w:t>
      </w:r>
      <w:r w:rsidRPr="00781112">
        <w:rPr>
          <w:color w:val="000000" w:themeColor="text1"/>
        </w:rPr>
        <w:br/>
        <w:t>- Continued PL &amp; coaching on the development of classroom PDSAs</w:t>
      </w:r>
      <w:r w:rsidRPr="00781112">
        <w:rPr>
          <w:color w:val="000000" w:themeColor="text1"/>
        </w:rPr>
        <w:br/>
        <w:t>Anticipated outcomes for next reporting period:</w:t>
      </w:r>
      <w:r w:rsidRPr="00781112">
        <w:rPr>
          <w:color w:val="000000" w:themeColor="text1"/>
        </w:rPr>
        <w:br/>
        <w:t>- Increased knowledge and skill in developing classroom PDSAs</w:t>
      </w:r>
      <w:r w:rsidRPr="00781112">
        <w:rPr>
          <w:color w:val="000000" w:themeColor="text1"/>
        </w:rPr>
        <w:br/>
        <w:t>- Increased knowledge and skill in selecting EBPs for PDSAs</w:t>
      </w:r>
      <w:r w:rsidRPr="00781112">
        <w:rPr>
          <w:color w:val="000000" w:themeColor="text1"/>
        </w:rPr>
        <w:br/>
        <w:t>- Increased implementation of EBPs and interventions for reading</w:t>
      </w:r>
      <w:r w:rsidRPr="00781112">
        <w:rPr>
          <w:color w:val="000000" w:themeColor="text1"/>
        </w:rPr>
        <w:br/>
        <w:t>- Increased percent of students at SSIP schools proficient in reading as measured by the district assessment.</w:t>
      </w:r>
      <w:r w:rsidRPr="00781112">
        <w:rPr>
          <w:color w:val="000000" w:themeColor="text1"/>
        </w:rPr>
        <w:br/>
      </w:r>
      <w:r w:rsidRPr="00781112">
        <w:rPr>
          <w:color w:val="000000" w:themeColor="text1"/>
        </w:rPr>
        <w:br/>
        <w:t>3. Explicit Instruction (Reading Mastery Implementation)</w:t>
      </w:r>
      <w:r w:rsidRPr="00781112">
        <w:rPr>
          <w:color w:val="000000" w:themeColor="text1"/>
        </w:rPr>
        <w:br/>
        <w:t>Aligned with CIS #1, 3, 4, 5, 6, 7</w:t>
      </w:r>
      <w:r w:rsidRPr="00781112">
        <w:rPr>
          <w:color w:val="000000" w:themeColor="text1"/>
        </w:rPr>
        <w:br/>
        <w:t>Next Steps:</w:t>
      </w:r>
      <w:r w:rsidRPr="00781112">
        <w:rPr>
          <w:color w:val="000000" w:themeColor="text1"/>
        </w:rPr>
        <w:br/>
        <w:t>- Continued PL &amp; coaching for RRTs on DI Reading Mastery &amp; Corrective Reading programs</w:t>
      </w:r>
      <w:r w:rsidRPr="00781112">
        <w:rPr>
          <w:color w:val="000000" w:themeColor="text1"/>
        </w:rPr>
        <w:br/>
        <w:t>- Continued PL &amp; coaching on explicit instruction components and how it can be incorporated with the Science of Reading and the school’s core curriculum.</w:t>
      </w:r>
      <w:r w:rsidRPr="00781112">
        <w:rPr>
          <w:color w:val="000000" w:themeColor="text1"/>
        </w:rPr>
        <w:br/>
        <w:t xml:space="preserve">- Classroom observations and feedback on the delivery of explicit instruction for RRTs </w:t>
      </w:r>
      <w:r w:rsidRPr="00781112">
        <w:rPr>
          <w:color w:val="000000" w:themeColor="text1"/>
        </w:rPr>
        <w:br/>
        <w:t>- Implementation of Lesson Progress Charts to track lesson completion in Reading Mastery &amp; Corrective Reading for students with IEPs.</w:t>
      </w:r>
      <w:r w:rsidRPr="00781112">
        <w:rPr>
          <w:color w:val="000000" w:themeColor="text1"/>
        </w:rPr>
        <w:br/>
        <w:t>- Monitoring of lesson completion in Reading Mastery &amp; Corrective Reading to ensure that students with IEPs are achieving appropriate lesson progress.</w:t>
      </w:r>
      <w:r w:rsidRPr="00781112">
        <w:rPr>
          <w:color w:val="000000" w:themeColor="text1"/>
        </w:rPr>
        <w:br/>
        <w:t>Anticipated outcomes for next reporting period:</w:t>
      </w:r>
      <w:r w:rsidRPr="00781112">
        <w:rPr>
          <w:color w:val="000000" w:themeColor="text1"/>
        </w:rPr>
        <w:br/>
        <w:t>- Increased knowledge and skill in the delivery of explicit instruction through the use of the Reading Mastery &amp; Corrective Reading programs</w:t>
      </w:r>
      <w:r w:rsidRPr="00781112">
        <w:rPr>
          <w:color w:val="000000" w:themeColor="text1"/>
        </w:rPr>
        <w:br/>
        <w:t>- Increased percent of students at SSIP schools proficient in reading as measured by the universal screener.</w:t>
      </w:r>
      <w:r w:rsidRPr="00781112">
        <w:rPr>
          <w:color w:val="000000" w:themeColor="text1"/>
        </w:rPr>
        <w:br/>
      </w:r>
      <w:r w:rsidRPr="00781112">
        <w:rPr>
          <w:color w:val="000000" w:themeColor="text1"/>
        </w:rPr>
        <w:br/>
        <w:t>4. Science of Reading (5 Components of Reading Instruction)</w:t>
      </w:r>
      <w:r w:rsidRPr="00781112">
        <w:rPr>
          <w:color w:val="000000" w:themeColor="text1"/>
        </w:rPr>
        <w:br/>
        <w:t>Aligned with CIS #1, 2, 3, 4, 5, 6</w:t>
      </w:r>
      <w:r w:rsidRPr="00781112">
        <w:rPr>
          <w:color w:val="000000" w:themeColor="text1"/>
        </w:rPr>
        <w:br/>
        <w:t>Next Steps:</w:t>
      </w:r>
      <w:r w:rsidRPr="00781112">
        <w:rPr>
          <w:color w:val="000000" w:themeColor="text1"/>
        </w:rPr>
        <w:br/>
        <w:t>- Continued PL &amp; coaching on developing PDSAs centered on the components of reading</w:t>
      </w:r>
      <w:r w:rsidRPr="00781112">
        <w:rPr>
          <w:color w:val="000000" w:themeColor="text1"/>
        </w:rPr>
        <w:br/>
        <w:t>- Continued PL &amp; coaching on selecting specific EBPs for each of the 5 components of reading instruction.</w:t>
      </w:r>
      <w:r w:rsidRPr="00781112">
        <w:rPr>
          <w:color w:val="000000" w:themeColor="text1"/>
        </w:rPr>
        <w:br/>
        <w:t>- PL &amp; coaching on how the SOR is incorporated in the school’s core curriculum.</w:t>
      </w:r>
      <w:r w:rsidRPr="00781112">
        <w:rPr>
          <w:color w:val="000000" w:themeColor="text1"/>
        </w:rPr>
        <w:br/>
        <w:t>Anticipated outcomes for next reporting period:</w:t>
      </w:r>
      <w:r w:rsidRPr="00781112">
        <w:rPr>
          <w:color w:val="000000" w:themeColor="text1"/>
        </w:rPr>
        <w:br/>
      </w:r>
      <w:r w:rsidRPr="00781112">
        <w:rPr>
          <w:color w:val="000000" w:themeColor="text1"/>
        </w:rPr>
        <w:lastRenderedPageBreak/>
        <w:t>- Increased knowledge and skill in the selection of EBPs for each of the 5 components of reading</w:t>
      </w:r>
      <w:r w:rsidRPr="00781112">
        <w:rPr>
          <w:color w:val="000000" w:themeColor="text1"/>
        </w:rPr>
        <w:br/>
        <w:t>- Increased knowledge and skill in developing PDSAs centered on the 5 components of reading instruction</w:t>
      </w:r>
      <w:r w:rsidRPr="00781112">
        <w:rPr>
          <w:color w:val="000000" w:themeColor="text1"/>
        </w:rPr>
        <w:br/>
        <w:t>- Increased percent of students at SSIP schools proficient in reading as measured by the universal screener.</w:t>
      </w:r>
      <w:r w:rsidRPr="00781112">
        <w:rPr>
          <w:color w:val="000000" w:themeColor="text1"/>
        </w:rPr>
        <w:br/>
      </w:r>
      <w:r w:rsidRPr="00781112">
        <w:rPr>
          <w:color w:val="000000" w:themeColor="text1"/>
        </w:rPr>
        <w:br/>
        <w:t>5. Coaching</w:t>
      </w:r>
      <w:r w:rsidRPr="00781112">
        <w:rPr>
          <w:color w:val="000000" w:themeColor="text1"/>
        </w:rPr>
        <w:br/>
        <w:t>Aligned with CIS #1, 3, 4, 5, 6</w:t>
      </w:r>
      <w:r w:rsidRPr="00781112">
        <w:rPr>
          <w:color w:val="000000" w:themeColor="text1"/>
        </w:rPr>
        <w:br/>
        <w:t>Next Steps:</w:t>
      </w:r>
      <w:r w:rsidRPr="00781112">
        <w:rPr>
          <w:color w:val="000000" w:themeColor="text1"/>
        </w:rPr>
        <w:br/>
        <w:t>- Development of a systematic coaching system.</w:t>
      </w:r>
      <w:r w:rsidRPr="00781112">
        <w:rPr>
          <w:color w:val="000000" w:themeColor="text1"/>
        </w:rPr>
        <w:br/>
        <w:t xml:space="preserve">- Continued PL to build the capacity of </w:t>
      </w:r>
      <w:proofErr w:type="spellStart"/>
      <w:r w:rsidRPr="00781112">
        <w:rPr>
          <w:color w:val="000000" w:themeColor="text1"/>
        </w:rPr>
        <w:t>SpEd</w:t>
      </w:r>
      <w:proofErr w:type="spellEnd"/>
      <w:r w:rsidRPr="00781112">
        <w:rPr>
          <w:color w:val="000000" w:themeColor="text1"/>
        </w:rPr>
        <w:t xml:space="preserve"> and Instructional coaches.</w:t>
      </w:r>
      <w:r w:rsidRPr="00781112">
        <w:rPr>
          <w:color w:val="000000" w:themeColor="text1"/>
        </w:rPr>
        <w:br/>
        <w:t>Anticipated outcomes for next reporting period:</w:t>
      </w:r>
      <w:r w:rsidRPr="00781112">
        <w:rPr>
          <w:color w:val="000000" w:themeColor="text1"/>
        </w:rPr>
        <w:br/>
        <w:t xml:space="preserve">- Teachers implement EBPs &amp; interventions learned through PL and coaching with fidelity </w:t>
      </w:r>
      <w:r w:rsidRPr="00781112">
        <w:rPr>
          <w:color w:val="000000" w:themeColor="text1"/>
        </w:rPr>
        <w:br/>
        <w:t>- Increased percent of students at SSIP schools proficient in reading as measured by the universal screener.</w:t>
      </w:r>
      <w:r w:rsidRPr="00781112">
        <w:rPr>
          <w:color w:val="000000" w:themeColor="text1"/>
        </w:rPr>
        <w:br/>
        <w:t>- Through coaching, RRTs are knowledgeable and skilled in the development of procedurally and substantively sound IEPs.</w:t>
      </w:r>
      <w:r w:rsidRPr="00781112">
        <w:rPr>
          <w:color w:val="000000" w:themeColor="text1"/>
        </w:rPr>
        <w:br/>
      </w:r>
      <w:r w:rsidRPr="00781112">
        <w:rPr>
          <w:color w:val="000000" w:themeColor="text1"/>
        </w:rPr>
        <w:br/>
        <w:t>6. Professional Learning Communities (PLCs)</w:t>
      </w:r>
      <w:r w:rsidRPr="00781112">
        <w:rPr>
          <w:color w:val="000000" w:themeColor="text1"/>
        </w:rPr>
        <w:br/>
        <w:t>Aligned with CIS #1, 3, 4, 5, 6, 7</w:t>
      </w:r>
      <w:r w:rsidRPr="00781112">
        <w:rPr>
          <w:color w:val="000000" w:themeColor="text1"/>
        </w:rPr>
        <w:br/>
        <w:t>Next Steps:</w:t>
      </w:r>
      <w:r w:rsidRPr="00781112">
        <w:rPr>
          <w:color w:val="000000" w:themeColor="text1"/>
        </w:rPr>
        <w:br/>
        <w:t>- Continued use of the PLC as a mechanism for the implementation of data-based decision making, PDSAs, and job-embedded PL &amp; coaching.</w:t>
      </w:r>
      <w:r w:rsidRPr="00781112">
        <w:rPr>
          <w:color w:val="000000" w:themeColor="text1"/>
        </w:rPr>
        <w:br/>
        <w:t>Anticipated outcomes for next reporting period</w:t>
      </w:r>
      <w:r w:rsidRPr="00781112">
        <w:rPr>
          <w:color w:val="000000" w:themeColor="text1"/>
        </w:rPr>
        <w:br/>
        <w:t>- Teachers are able to use the data from the universal screener to develop a classroom PDSA and to make data-based decisions.</w:t>
      </w:r>
      <w:r w:rsidRPr="00781112">
        <w:rPr>
          <w:color w:val="000000" w:themeColor="text1"/>
        </w:rPr>
        <w:br/>
        <w:t>- Increased percent of students at SSIP schools proficient in reading as measured by the universal screener.</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The following evaluation data support the decision to implement without any modification to the SSIP:</w:t>
      </w:r>
      <w:r w:rsidRPr="00781112">
        <w:br/>
        <w:t>Areas Demonstrating Strong to Moderate Implementation</w:t>
      </w:r>
      <w:r w:rsidRPr="00781112">
        <w:br/>
        <w:t>1. PDSA Classroom Observations–Level 4 (Strong Implementation)</w:t>
      </w:r>
      <w:r w:rsidRPr="00781112">
        <w:br/>
        <w:t>2. Improvement Science Teacher Survey- Level 4 (Strong Implementation)</w:t>
      </w:r>
      <w:r w:rsidRPr="00781112">
        <w:br/>
        <w:t>3. Direct Instruction (Reading Mastery/Corrective Reading) Observations &amp; Coaching- Level 4 (Strong Implementation)</w:t>
      </w:r>
      <w:r w:rsidRPr="00781112">
        <w:br/>
        <w:t>4. Universal Screener Fidelity Observation-Level 4 (Strong Implementation)</w:t>
      </w:r>
      <w:r w:rsidRPr="00781112">
        <w:br/>
        <w:t>5. Professional Learning Surveys–Level 4 (Strong Implementation)</w:t>
      </w:r>
      <w:r w:rsidRPr="00781112">
        <w:br/>
        <w:t>6. Teacher Self- Assessment -Science of Reading (SOR)-Level 3 (Moderate Implementation)</w:t>
      </w:r>
      <w:r w:rsidRPr="00781112">
        <w:br/>
        <w:t>7. Parent Interviews</w:t>
      </w:r>
      <w:r w:rsidRPr="00781112">
        <w:br/>
      </w:r>
      <w:r w:rsidRPr="00781112">
        <w:br/>
        <w:t xml:space="preserve">Areas Demonstrating Some Implementation </w:t>
      </w:r>
      <w:proofErr w:type="gramStart"/>
      <w:r w:rsidRPr="00781112">
        <w:t>&amp;  Little</w:t>
      </w:r>
      <w:proofErr w:type="gramEnd"/>
      <w:r w:rsidRPr="00781112">
        <w:t xml:space="preserve"> or No Implementation:</w:t>
      </w:r>
      <w:r w:rsidRPr="00781112">
        <w:br/>
        <w:t>1. Universal Screener Benchmark Data–Level 1 (Little or No Implementation)</w:t>
      </w:r>
      <w:r w:rsidRPr="00781112">
        <w:br/>
        <w:t xml:space="preserve">2. IEP File Folder Reviews (Scale-up </w:t>
      </w:r>
      <w:proofErr w:type="gramStart"/>
      <w:r w:rsidRPr="00781112">
        <w:t>Schools)--</w:t>
      </w:r>
      <w:proofErr w:type="gramEnd"/>
      <w:r w:rsidRPr="00781112">
        <w:t>Level 1 (Little or No Implementation)</w:t>
      </w:r>
      <w:r w:rsidRPr="00781112">
        <w:br/>
        <w:t xml:space="preserve">3. </w:t>
      </w:r>
      <w:proofErr w:type="spellStart"/>
      <w:r w:rsidRPr="00781112">
        <w:t>SiMR</w:t>
      </w:r>
      <w:proofErr w:type="spellEnd"/>
      <w:r w:rsidRPr="00781112">
        <w:t xml:space="preserve"> Data –Level 1 (Little or No Implementation)</w:t>
      </w:r>
      <w:r w:rsidRPr="00781112">
        <w:br/>
      </w:r>
      <w:r w:rsidRPr="00781112">
        <w:br/>
        <w:t xml:space="preserve">In summary, the data demonstrates strong implementation in teacher practices.  However, the change in teacher practice has not shown the intended impact on student performance.  A targeted focus in how these practices </w:t>
      </w:r>
      <w:proofErr w:type="gramStart"/>
      <w:r w:rsidRPr="00781112">
        <w:t>are</w:t>
      </w:r>
      <w:proofErr w:type="gramEnd"/>
      <w:r w:rsidRPr="00781112">
        <w:t xml:space="preserve"> being delivered at the classroom level is critical as a next step for the next reporting period.  Continued coaching on the delivery of EBPs to fidelity and progress monitoring need to continue.  Leveraging and calibrating supports from Instructional Coaches and </w:t>
      </w:r>
      <w:proofErr w:type="spellStart"/>
      <w:r w:rsidRPr="00781112">
        <w:t>SpEd</w:t>
      </w:r>
      <w:proofErr w:type="spellEnd"/>
      <w:r w:rsidRPr="00781112">
        <w:t xml:space="preserve"> coaches is essential.</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Guam Part B employed several mechanisms to solicit broad stakeholder input on the targets in the SPP/APR and any subsequent revisions that Guam made to those targets, and the development and implementation of Indicator 17, the State Systemic Improvement Plan (SSIP). These mechanisms include the following:</w:t>
      </w:r>
      <w:r w:rsidRPr="00781112">
        <w:rPr>
          <w:color w:val="000000" w:themeColor="text1"/>
        </w:rPr>
        <w:br/>
      </w:r>
      <w:r w:rsidRPr="00781112">
        <w:rPr>
          <w:color w:val="000000" w:themeColor="text1"/>
        </w:rPr>
        <w:br/>
        <w:t>- Flyers and emails were sent out to parents and all interested stakeholders announcing focus group forum sessions and large stakeholder sessions.</w:t>
      </w:r>
      <w:r w:rsidRPr="00781112">
        <w:rPr>
          <w:color w:val="000000" w:themeColor="text1"/>
        </w:rPr>
        <w:br/>
      </w:r>
      <w:r w:rsidRPr="00781112">
        <w:rPr>
          <w:color w:val="000000" w:themeColor="text1"/>
        </w:rPr>
        <w:br/>
        <w:t>- Several in-person and virtual meetings were held for smaller focus groups to discuss Indicator “clusters,” such as Secondary Clusters (Indicators 1, 2, 13, and 14); Early Childhood Preschool Clusters and Parent Involvement (Indicators 6, 7, and 12; and Indicator 8); School Age Clusters (Indicators 3, 4, 5 and 11); and the SSIP (Indicator 17).</w:t>
      </w:r>
      <w:r w:rsidRPr="00781112">
        <w:rPr>
          <w:color w:val="000000" w:themeColor="text1"/>
        </w:rPr>
        <w:br/>
      </w:r>
      <w:r w:rsidRPr="00781112">
        <w:rPr>
          <w:color w:val="000000" w:themeColor="text1"/>
        </w:rPr>
        <w:br/>
        <w:t>- Two Large stakeholder sessions were held to review all the Indicators for the FFY 2021 SPP/APR, One session was held virtually, while the other session was a hybrid presentation, whereby stakeholders had the opportunity to attend either virtually or in-person.</w:t>
      </w:r>
      <w:r w:rsidRPr="00781112">
        <w:rPr>
          <w:color w:val="000000" w:themeColor="text1"/>
        </w:rPr>
        <w:br/>
      </w:r>
      <w:r w:rsidRPr="00781112">
        <w:rPr>
          <w:color w:val="000000" w:themeColor="text1"/>
        </w:rPr>
        <w:br/>
        <w:t>- Electronic and hard copies of the SPP/APR and PPT presentation were provided to all participants.</w:t>
      </w:r>
      <w:r w:rsidRPr="00781112">
        <w:rPr>
          <w:color w:val="000000" w:themeColor="text1"/>
        </w:rPr>
        <w:br/>
      </w:r>
      <w:r w:rsidRPr="00781112">
        <w:rPr>
          <w:color w:val="000000" w:themeColor="text1"/>
        </w:rPr>
        <w:br/>
        <w:t>- Survey questions were posed to parents during the parent forum sessions conducted virtually and in-person for Indicator 8.</w:t>
      </w:r>
      <w:r w:rsidRPr="00781112">
        <w:rPr>
          <w:color w:val="000000" w:themeColor="text1"/>
        </w:rPr>
        <w:br/>
      </w:r>
      <w:r w:rsidRPr="00781112">
        <w:rPr>
          <w:color w:val="000000" w:themeColor="text1"/>
        </w:rPr>
        <w:br/>
        <w:t xml:space="preserve">- Surveys were sent out to youth with IEPs who exited the system in SY2020-2021, along with follow-up phone calls and contacts through social media such as </w:t>
      </w:r>
      <w:proofErr w:type="spellStart"/>
      <w:r w:rsidRPr="00781112">
        <w:rPr>
          <w:color w:val="000000" w:themeColor="text1"/>
        </w:rPr>
        <w:t>FaceBook</w:t>
      </w:r>
      <w:proofErr w:type="spellEnd"/>
      <w:r w:rsidRPr="00781112">
        <w:rPr>
          <w:color w:val="000000" w:themeColor="text1"/>
        </w:rPr>
        <w:t xml:space="preserve"> and </w:t>
      </w:r>
      <w:proofErr w:type="spellStart"/>
      <w:r w:rsidRPr="00781112">
        <w:rPr>
          <w:color w:val="000000" w:themeColor="text1"/>
        </w:rPr>
        <w:t>InstaGram</w:t>
      </w:r>
      <w:proofErr w:type="spellEnd"/>
      <w:r w:rsidRPr="00781112">
        <w:rPr>
          <w:color w:val="000000" w:themeColor="text1"/>
        </w:rPr>
        <w:t xml:space="preserve"> for Indicator 14.</w:t>
      </w:r>
      <w:r w:rsidRPr="00781112">
        <w:rPr>
          <w:color w:val="000000" w:themeColor="text1"/>
        </w:rPr>
        <w:br/>
      </w:r>
      <w:r w:rsidRPr="00781112">
        <w:rPr>
          <w:color w:val="000000" w:themeColor="text1"/>
        </w:rPr>
        <w:br/>
        <w:t>- Phone call surveys were conducted with parents of children with disabilities enrolled in the four SSIP schools.</w:t>
      </w:r>
      <w:r w:rsidRPr="00781112">
        <w:rPr>
          <w:color w:val="000000" w:themeColor="text1"/>
        </w:rPr>
        <w:br/>
      </w:r>
      <w:r w:rsidRPr="00781112">
        <w:rPr>
          <w:color w:val="000000" w:themeColor="text1"/>
        </w:rPr>
        <w:br/>
        <w:t>- Two in-person sessions were held with Administrators, Teacher Leaders and parents of children enrolled in the SSIP schools to discuss the SIMR, the Logic Model, the Theory of Action, and the evaluation plan for the SSIP. Several planning meetings and core team meetings were also held throughout the year to determine next steps for the SSIP.</w:t>
      </w:r>
      <w:r w:rsidRPr="00781112">
        <w:rPr>
          <w:color w:val="000000" w:themeColor="text1"/>
        </w:rPr>
        <w:br/>
      </w:r>
      <w:r w:rsidRPr="00781112">
        <w:rPr>
          <w:color w:val="000000" w:themeColor="text1"/>
        </w:rPr>
        <w:br/>
      </w:r>
      <w:r w:rsidRPr="00781112">
        <w:rPr>
          <w:color w:val="000000" w:themeColor="text1"/>
        </w:rPr>
        <w:lastRenderedPageBreak/>
        <w:t>Additional information provided below include the dates when sessions were conducted:</w:t>
      </w:r>
      <w:r w:rsidRPr="00781112">
        <w:rPr>
          <w:color w:val="000000" w:themeColor="text1"/>
        </w:rPr>
        <w:br/>
      </w:r>
      <w:r w:rsidRPr="00781112">
        <w:rPr>
          <w:color w:val="000000" w:themeColor="text1"/>
        </w:rPr>
        <w:br/>
        <w:t>April 19, 2022: At a regularly scheduled Guam Advisory Panel for Students with Disabilities (GAPSD) meeting, compliance Indicators 11, 12, 13, along with Indicators 15 and 16, were presented. Drill down data was also presented to discuss areas of concern for Indicators 11 and 13. Those present at the meeting included parents of children with disabilities, a Guam Education Board Member, and parents who are members of the Autism Communities Together (ACT), the Down Syndrome Society, and the Guam Parent and Training Information (PTI) Center.</w:t>
      </w:r>
      <w:r w:rsidRPr="00781112">
        <w:rPr>
          <w:color w:val="000000" w:themeColor="text1"/>
        </w:rPr>
        <w:br/>
      </w:r>
      <w:r w:rsidRPr="00781112">
        <w:rPr>
          <w:color w:val="000000" w:themeColor="text1"/>
        </w:rPr>
        <w:br/>
        <w:t>April 26, 2022: During a scheduled focus group meeting with parent members from the Guam Advisory Panel for Students with Disabilities (GAPSD), data for Indicators 1 and 2 were presented, which included disaggregated data for each of the high schools for students with disabilities who exited the system either through graduation or dropping out.</w:t>
      </w:r>
      <w:r w:rsidRPr="00781112">
        <w:rPr>
          <w:color w:val="000000" w:themeColor="text1"/>
        </w:rPr>
        <w:br/>
      </w:r>
      <w:r w:rsidRPr="00781112">
        <w:rPr>
          <w:color w:val="000000" w:themeColor="text1"/>
        </w:rPr>
        <w:br/>
        <w:t>May 9, 2022: During a scheduled focus group meeting with GAPSD members, Indicators 5 and 6 were presented, along with disaggregated data for each of the LRE settings, to discuss reasons for slippage for 5A and 6B.  Stakeholders discussed possible reasons for the slippage and ways the programs could provide support to the teachers and students with disabilities and their families so education could be provided in more inclusive settings with typically developing peers.</w:t>
      </w:r>
      <w:r w:rsidRPr="00781112">
        <w:rPr>
          <w:color w:val="000000" w:themeColor="text1"/>
        </w:rPr>
        <w:br/>
      </w:r>
      <w:r w:rsidRPr="00781112">
        <w:rPr>
          <w:color w:val="000000" w:themeColor="text1"/>
        </w:rPr>
        <w:br/>
        <w:t xml:space="preserve">August 5, 2022: During the GDOE Division of Special Education’s Orientation Session (Back to School), data and performance from the Compliance Indicators 11, 12, and 13 were shared with personnel. The purpose of the presentation was two-fold: to share performance data and to review the standards of practice and expectations for Indicators 11 and 13, whereby Division personnel play an important role in meeting the compliance targets for these Indicators. </w:t>
      </w:r>
      <w:r w:rsidRPr="00781112">
        <w:rPr>
          <w:color w:val="000000" w:themeColor="text1"/>
        </w:rPr>
        <w:br/>
      </w:r>
      <w:r w:rsidRPr="00781112">
        <w:rPr>
          <w:color w:val="000000" w:themeColor="text1"/>
        </w:rPr>
        <w:br/>
        <w:t xml:space="preserve">December 5, 2022: A focus group session was held with Division personnel comprised of SPED Coaches whose task is to provide technical assistance, </w:t>
      </w:r>
      <w:proofErr w:type="gramStart"/>
      <w:r w:rsidRPr="00781112">
        <w:rPr>
          <w:color w:val="000000" w:themeColor="text1"/>
        </w:rPr>
        <w:t>training</w:t>
      </w:r>
      <w:proofErr w:type="gramEnd"/>
      <w:r w:rsidRPr="00781112">
        <w:rPr>
          <w:color w:val="000000" w:themeColor="text1"/>
        </w:rPr>
        <w:t xml:space="preserve"> and support to school personnel. Indicators 1, 2, 3, 4, 5, 11, 13 and 14 were presented during this session. A discussion ensued referencing possible areas of improvement, especially for Indicators 5, 11, 13 and 14.</w:t>
      </w:r>
      <w:r w:rsidRPr="00781112">
        <w:rPr>
          <w:color w:val="000000" w:themeColor="text1"/>
        </w:rPr>
        <w:br/>
      </w:r>
      <w:r w:rsidRPr="00781112">
        <w:rPr>
          <w:color w:val="000000" w:themeColor="text1"/>
        </w:rPr>
        <w:br/>
        <w:t>January 3 &amp; 9, 2023: Focus group sessions were held with personnel from the Early Childhood Special Education (ECSE) Program comprised of teachers and services providers. The purpose was to review data from Indicators 6, 7, and 12. The group drilled down data for Indicators 6 and 7 to determine reasons for the slippage in performance. Correlations were made between the LRE and the performance in the early childhood outcomes, most especially for Indicator 7, summary statements 2 in all three outcome areas. The group then developed plans for next steps to address the slippage for Indicators 6 and 7.</w:t>
      </w:r>
      <w:r w:rsidRPr="00781112">
        <w:rPr>
          <w:color w:val="000000" w:themeColor="text1"/>
        </w:rPr>
        <w:br/>
      </w:r>
      <w:r w:rsidRPr="00781112">
        <w:rPr>
          <w:color w:val="000000" w:themeColor="text1"/>
        </w:rPr>
        <w:br/>
        <w:t xml:space="preserve">January 18 &amp; 28, 2023: The full SPP/APR for FFY 2021 was presented to stakeholders on both these dates. January 18, </w:t>
      </w:r>
      <w:proofErr w:type="gramStart"/>
      <w:r w:rsidRPr="00781112">
        <w:rPr>
          <w:color w:val="000000" w:themeColor="text1"/>
        </w:rPr>
        <w:t>2023</w:t>
      </w:r>
      <w:proofErr w:type="gramEnd"/>
      <w:r w:rsidRPr="00781112">
        <w:rPr>
          <w:color w:val="000000" w:themeColor="text1"/>
        </w:rPr>
        <w:t xml:space="preserve"> was delivered virtually to members from the GAPSD, family and parents from parent groups (ACT, Down Syndrome Society, Guam PTI), and members from the GEB. On January 28, 2023, the full SPP/APR was also presented both in-person and virtually to Division personnel, </w:t>
      </w:r>
      <w:proofErr w:type="gramStart"/>
      <w:r w:rsidRPr="00781112">
        <w:rPr>
          <w:color w:val="000000" w:themeColor="text1"/>
        </w:rPr>
        <w:t>school teachers</w:t>
      </w:r>
      <w:proofErr w:type="gramEnd"/>
      <w:r w:rsidRPr="00781112">
        <w:rPr>
          <w:color w:val="000000" w:themeColor="text1"/>
        </w:rPr>
        <w:t>, members from GAPSD, along with family members and parents from ACT, the Down Syndrome Society, Guam PTI, a member from the GEB, and a high school student with disabilities. These presentations included the data and updates on the SSIP. Participants appreciated the information shared on the “5 Why’s” to show possible reasons for no progress on the SSIP target for FFY 2021.</w:t>
      </w:r>
      <w:r w:rsidRPr="00781112">
        <w:rPr>
          <w:color w:val="000000" w:themeColor="text1"/>
        </w:rPr>
        <w:br/>
      </w:r>
      <w:r w:rsidRPr="00781112">
        <w:rPr>
          <w:color w:val="000000" w:themeColor="text1"/>
        </w:rPr>
        <w:br/>
        <w:t xml:space="preserve">For Indicator 8: Several focus groups and planning sessions were held on February 10, 2022, March 31, 2022, and July 23, 2022. Members included GDOE Division of personnel in charge of Parent Services, consultants from the University of Guam CEDDERS, and GAPSD parent members.  </w:t>
      </w:r>
      <w:r w:rsidRPr="00781112">
        <w:rPr>
          <w:color w:val="000000" w:themeColor="text1"/>
        </w:rPr>
        <w:br/>
      </w:r>
      <w:r w:rsidRPr="00781112">
        <w:rPr>
          <w:color w:val="000000" w:themeColor="text1"/>
        </w:rPr>
        <w:br/>
        <w:t xml:space="preserve">For Indicator 17 – SSIP: Nine planning meetings with GDOE personnel and UOG CEDDERS were held throughout the school year to ensure the SSIP schools were implementing PDSAs, conducting </w:t>
      </w:r>
      <w:proofErr w:type="spellStart"/>
      <w:r w:rsidRPr="00781112">
        <w:rPr>
          <w:color w:val="000000" w:themeColor="text1"/>
        </w:rPr>
        <w:t>aimswebPlus</w:t>
      </w:r>
      <w:proofErr w:type="spellEnd"/>
      <w:r w:rsidRPr="00781112">
        <w:rPr>
          <w:color w:val="000000" w:themeColor="text1"/>
        </w:rPr>
        <w:t xml:space="preserve"> assessments with fidelity, providing explicit instruction in reading, and overall, following the activities outlined in the SSIP. In addition to the planning meetings, seven core team meetings were held with the SSIP Principals, the teacher leaders, parents from the SSIP schools to review the Theory of Action, Logic Model, and Evaluation Plan. Two large stakeholder group meetings were also held with all personnel, inclusive of parents, from the SSIP schools on May 19, </w:t>
      </w:r>
      <w:proofErr w:type="gramStart"/>
      <w:r w:rsidRPr="00781112">
        <w:rPr>
          <w:color w:val="000000" w:themeColor="text1"/>
        </w:rPr>
        <w:t>2022</w:t>
      </w:r>
      <w:proofErr w:type="gramEnd"/>
      <w:r w:rsidRPr="00781112">
        <w:rPr>
          <w:color w:val="000000" w:themeColor="text1"/>
        </w:rPr>
        <w:t xml:space="preserve"> and October 13, 2022. Additionally, a session on Reading and the Continuous Improvement Cycle was held with all SSIP schools on August 9, 2022, along with a session for the scale up schools which was held on February 16, 2022.</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For this reporting period, there were seven in-person key planning meetings held monthly with personnel from GDOE and the University of Guam CEDDERS to ensure the SSIP schools were implementing the activities outlined in the SSIP through the review of data from </w:t>
      </w:r>
      <w:proofErr w:type="spellStart"/>
      <w:r w:rsidRPr="00781112">
        <w:rPr>
          <w:color w:val="000000" w:themeColor="text1"/>
        </w:rPr>
        <w:t>aimswebPlus</w:t>
      </w:r>
      <w:proofErr w:type="spellEnd"/>
      <w:r w:rsidRPr="00781112">
        <w:rPr>
          <w:color w:val="000000" w:themeColor="text1"/>
        </w:rPr>
        <w:t xml:space="preserve"> and the observations and fidelity checks of the reading programs implemented in the classrooms. Each meeting was </w:t>
      </w:r>
      <w:proofErr w:type="spellStart"/>
      <w:r w:rsidRPr="00781112">
        <w:rPr>
          <w:color w:val="000000" w:themeColor="text1"/>
        </w:rPr>
        <w:t>was</w:t>
      </w:r>
      <w:proofErr w:type="spellEnd"/>
      <w:r w:rsidRPr="00781112">
        <w:rPr>
          <w:color w:val="000000" w:themeColor="text1"/>
        </w:rPr>
        <w:t xml:space="preserve"> announced via email as participants were sent calendar invitations for the meetings. </w:t>
      </w:r>
      <w:r w:rsidRPr="00781112">
        <w:rPr>
          <w:color w:val="000000" w:themeColor="text1"/>
        </w:rPr>
        <w:br/>
      </w:r>
      <w:r w:rsidRPr="00781112">
        <w:rPr>
          <w:color w:val="000000" w:themeColor="text1"/>
        </w:rPr>
        <w:br/>
        <w:t>Additionally, there were nine Core Planning Team meetings that are held every third Wednesday of the month. Attendees at these meetings comprised of the SSIP school principals, teacher leaders from each of the SSIP schools, GDOE Instructional Coaches, and parents of children with IEPs enrolled in the SSIP schools. During the Core Team meetings, agenda items included the following:</w:t>
      </w:r>
      <w:r w:rsidRPr="00781112">
        <w:rPr>
          <w:color w:val="000000" w:themeColor="text1"/>
        </w:rPr>
        <w:br/>
        <w:t>- results of the previous and current summative and secondary data (</w:t>
      </w:r>
      <w:proofErr w:type="spellStart"/>
      <w:r w:rsidRPr="00781112">
        <w:rPr>
          <w:color w:val="000000" w:themeColor="text1"/>
        </w:rPr>
        <w:t>aimswebPlus</w:t>
      </w:r>
      <w:proofErr w:type="spellEnd"/>
      <w:r w:rsidRPr="00781112">
        <w:rPr>
          <w:color w:val="000000" w:themeColor="text1"/>
        </w:rPr>
        <w:t>) for the SSIP</w:t>
      </w:r>
      <w:r w:rsidRPr="00781112">
        <w:rPr>
          <w:color w:val="000000" w:themeColor="text1"/>
        </w:rPr>
        <w:br/>
        <w:t xml:space="preserve">- fidelity checks of </w:t>
      </w:r>
      <w:proofErr w:type="spellStart"/>
      <w:r w:rsidRPr="00781112">
        <w:rPr>
          <w:color w:val="000000" w:themeColor="text1"/>
        </w:rPr>
        <w:t>aimswebPlus</w:t>
      </w:r>
      <w:proofErr w:type="spellEnd"/>
      <w:r w:rsidRPr="00781112">
        <w:rPr>
          <w:color w:val="000000" w:themeColor="text1"/>
        </w:rPr>
        <w:t xml:space="preserve"> administration; fidelity of reading instruction; and SDI observations in the resource rooms</w:t>
      </w:r>
      <w:r w:rsidRPr="00781112">
        <w:rPr>
          <w:color w:val="000000" w:themeColor="text1"/>
        </w:rPr>
        <w:br/>
        <w:t>- results of the observations of the fidelity of reading instruction (Reading Mastery program) and the core Reading program</w:t>
      </w:r>
      <w:r w:rsidRPr="00781112">
        <w:rPr>
          <w:color w:val="000000" w:themeColor="text1"/>
        </w:rPr>
        <w:br/>
        <w:t>- continued training on PDSA, explicit instruction, and reading strategies</w:t>
      </w:r>
      <w:r w:rsidRPr="00781112">
        <w:rPr>
          <w:color w:val="000000" w:themeColor="text1"/>
        </w:rPr>
        <w:br/>
        <w:t>- progress and updates on the revisions of the Theory of Action, the Logic Model, and the Evaluation Plan</w:t>
      </w:r>
      <w:r w:rsidRPr="00781112">
        <w:rPr>
          <w:color w:val="000000" w:themeColor="text1"/>
        </w:rPr>
        <w:br/>
      </w:r>
      <w:r w:rsidRPr="00781112">
        <w:rPr>
          <w:color w:val="000000" w:themeColor="text1"/>
        </w:rPr>
        <w:br/>
        <w:t>During one Core Team meeting, participants conducted a "5 Why's" activity to discuss reasons for little to no improvement with the SIMR. This activity revealed that teachers at the SSIP schools needed more training on the core reading program because the level of knowledge in reading content and skills varied among the schools. In the end, Core Team members, most especially the SSIP Principals, committed to ensuring the teachers in their schools attend all professional learning opportunities geared towards increasing the content knowledge and skills in teaching reading and conduct consistent fidelity checks and observations during reading instruction to ensure there is movement and progress in both the universal screener and the SIMR.</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lastRenderedPageBreak/>
        <w:t xml:space="preserve">Stakeholders recognized the need to review and revise the Theory of Action, the Logic </w:t>
      </w:r>
      <w:proofErr w:type="gramStart"/>
      <w:r w:rsidRPr="00781112">
        <w:rPr>
          <w:color w:val="000000" w:themeColor="text1"/>
        </w:rPr>
        <w:t>Model</w:t>
      </w:r>
      <w:proofErr w:type="gramEnd"/>
      <w:r w:rsidRPr="00781112">
        <w:rPr>
          <w:color w:val="000000" w:themeColor="text1"/>
        </w:rPr>
        <w:t xml:space="preserve"> and the Evaluation Plan to ensure alignment between goals, coherent improvement strategies and activities. Once the revisions were made, the </w:t>
      </w:r>
      <w:proofErr w:type="gramStart"/>
      <w:r w:rsidRPr="00781112">
        <w:rPr>
          <w:color w:val="000000" w:themeColor="text1"/>
        </w:rPr>
        <w:t>stakeholders</w:t>
      </w:r>
      <w:proofErr w:type="gramEnd"/>
      <w:r w:rsidRPr="00781112">
        <w:rPr>
          <w:color w:val="000000" w:themeColor="text1"/>
        </w:rPr>
        <w:t xml:space="preserve"> felt clarity was provided to validate all efforts put forth into the SSIP.</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 xml:space="preserve">Activities to be implemented in the next fiscal year that are related to the </w:t>
      </w:r>
      <w:proofErr w:type="spellStart"/>
      <w:r w:rsidRPr="00781112">
        <w:rPr>
          <w:color w:val="000000" w:themeColor="text1"/>
        </w:rPr>
        <w:t>SiMR</w:t>
      </w:r>
      <w:proofErr w:type="spellEnd"/>
      <w:r w:rsidRPr="00781112">
        <w:rPr>
          <w:color w:val="000000" w:themeColor="text1"/>
        </w:rPr>
        <w:t xml:space="preserve"> will be focused on continuing the scale-up process.  GDOE has scaled-up in two distinct ways this year:  through widespread implementation of reading evidence-based practices with the addition of 4 more schools for a total of 8 SSIP schools; and through deep changes in classroom practices with the addition of math evidence-based content strategies. Moreover, the scale-up process will be in conjunction with GDOE’s SPDG which establishes a professional development system centered on developing agency, choice, and engagement with stakeholders by utilizing the Leading by Convening framework.  The SPDG is also focused on sustainability and the broad implementation of EBPs for reading. For this reporting year, the scale-up process focused on developing and providing support for implementation.  This was accomplished through district and school-level professional learning.  The scale-up schools are building their knowledge in Improvement Science and EBPs and starting the implementation of PDSAs. The target schools have started building capacity in EBPs for math.  However, the math scale-up was paused to reexamine the district’s Math curriculum and address the gaps in the selected priority standards. Moving forward, the core tasks for the scale-up process that will be implemented next fiscal year and are related to the </w:t>
      </w:r>
      <w:proofErr w:type="spellStart"/>
      <w:r w:rsidRPr="00781112">
        <w:rPr>
          <w:color w:val="000000" w:themeColor="text1"/>
        </w:rPr>
        <w:t>SiMR</w:t>
      </w:r>
      <w:proofErr w:type="spellEnd"/>
      <w:r w:rsidRPr="00781112">
        <w:rPr>
          <w:color w:val="000000" w:themeColor="text1"/>
        </w:rPr>
        <w:t xml:space="preserve"> include:</w:t>
      </w:r>
      <w:r w:rsidRPr="00781112">
        <w:rPr>
          <w:color w:val="000000" w:themeColor="text1"/>
        </w:rPr>
        <w:br/>
        <w:t>1. Supporting scale-up schools in the implementation of Improvement Science (data literacy, data-based decision making, identification of EBPs).</w:t>
      </w:r>
      <w:r w:rsidRPr="00781112">
        <w:rPr>
          <w:color w:val="000000" w:themeColor="text1"/>
        </w:rPr>
        <w:br/>
        <w:t>2. Supporting Resource Room teachers from the scale-up schools in the implementation of EBP supplemental interventions in reading for students with IEPs.</w:t>
      </w:r>
      <w:r w:rsidRPr="00781112">
        <w:rPr>
          <w:color w:val="000000" w:themeColor="text1"/>
        </w:rPr>
        <w:br/>
        <w:t>3. Conducting a math curriculum audit.</w:t>
      </w:r>
      <w:r w:rsidRPr="00781112">
        <w:rPr>
          <w:color w:val="000000" w:themeColor="text1"/>
        </w:rPr>
        <w:br/>
      </w:r>
      <w:r w:rsidRPr="00781112">
        <w:rPr>
          <w:color w:val="000000" w:themeColor="text1"/>
        </w:rPr>
        <w:br/>
        <w:t xml:space="preserve">Other activities unrelated to the scale-up process include supporting schools in the use of EBPs for family engagement </w:t>
      </w:r>
      <w:proofErr w:type="gramStart"/>
      <w:r w:rsidRPr="00781112">
        <w:rPr>
          <w:color w:val="000000" w:themeColor="text1"/>
        </w:rPr>
        <w:t>through the use of</w:t>
      </w:r>
      <w:proofErr w:type="gramEnd"/>
      <w:r w:rsidRPr="00781112">
        <w:rPr>
          <w:color w:val="000000" w:themeColor="text1"/>
        </w:rPr>
        <w:t xml:space="preserve"> the resource from the Institute of Education Sciences, Supporting Family Engagement in Foundational Reading Skills.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3F88E7D6" w:rsidR="00AE1972" w:rsidRPr="00781112" w:rsidRDefault="00AE1972" w:rsidP="00AE1972">
      <w:pPr>
        <w:rPr>
          <w:color w:val="000000" w:themeColor="text1"/>
        </w:rPr>
      </w:pPr>
      <w:r w:rsidRPr="00781112">
        <w:rPr>
          <w:color w:val="000000" w:themeColor="text1"/>
        </w:rPr>
        <w:t>1. Supporting scale-up schools in the implementation of Improvement Science (data literacy, data-based decision making, identification of EBPs)</w:t>
      </w:r>
      <w:r w:rsidRPr="00781112">
        <w:rPr>
          <w:color w:val="000000" w:themeColor="text1"/>
        </w:rPr>
        <w:br/>
        <w:t>Timeline: February 2023 to February 2024</w:t>
      </w:r>
      <w:r w:rsidRPr="00781112">
        <w:rPr>
          <w:color w:val="000000" w:themeColor="text1"/>
        </w:rPr>
        <w:br/>
        <w:t>Expected outcomes:</w:t>
      </w:r>
      <w:r w:rsidRPr="00781112">
        <w:rPr>
          <w:color w:val="000000" w:themeColor="text1"/>
        </w:rPr>
        <w:br/>
        <w:t>- Teachers at scale-up schools will have increased knowledge and skill in data literacy and data-based decision making.</w:t>
      </w:r>
      <w:r w:rsidRPr="00781112">
        <w:rPr>
          <w:color w:val="000000" w:themeColor="text1"/>
        </w:rPr>
        <w:br/>
        <w:t>- Teachers at scale-up schools will develop a PDSA cycle.</w:t>
      </w:r>
      <w:r w:rsidRPr="00781112">
        <w:rPr>
          <w:color w:val="000000" w:themeColor="text1"/>
        </w:rPr>
        <w:br/>
        <w:t>- Students from the scale-up schools will be proficient reading as measured by the universal screener &amp; the district-wide assessment</w:t>
      </w:r>
      <w:r w:rsidRPr="00781112">
        <w:rPr>
          <w:color w:val="000000" w:themeColor="text1"/>
        </w:rPr>
        <w:br/>
        <w:t>Data collection:</w:t>
      </w:r>
      <w:r w:rsidRPr="00781112">
        <w:rPr>
          <w:color w:val="000000" w:themeColor="text1"/>
        </w:rPr>
        <w:br/>
        <w:t>- Teacher survey</w:t>
      </w:r>
      <w:r w:rsidRPr="00781112">
        <w:rPr>
          <w:color w:val="000000" w:themeColor="text1"/>
        </w:rPr>
        <w:br/>
        <w:t>- Classroom observations &amp; document reviews</w:t>
      </w:r>
      <w:r w:rsidRPr="00781112">
        <w:rPr>
          <w:color w:val="000000" w:themeColor="text1"/>
        </w:rPr>
        <w:br/>
        <w:t>- Universal screening &amp; district-wide assessment data–to be reported in FFY2022</w:t>
      </w:r>
      <w:r w:rsidRPr="00781112">
        <w:rPr>
          <w:color w:val="000000" w:themeColor="text1"/>
        </w:rPr>
        <w:br/>
      </w:r>
      <w:r w:rsidRPr="00781112">
        <w:rPr>
          <w:color w:val="000000" w:themeColor="text1"/>
        </w:rPr>
        <w:br/>
        <w:t>2. Supporting Resource Room teachers (RRTs) from the scale-up schools in the implementation of EBPs for supplemental interventions in reading for students with IEPs.</w:t>
      </w:r>
      <w:r w:rsidRPr="00781112">
        <w:rPr>
          <w:color w:val="000000" w:themeColor="text1"/>
        </w:rPr>
        <w:br/>
        <w:t>Timeline: February 2023 to February 2024</w:t>
      </w:r>
      <w:r w:rsidRPr="00781112">
        <w:rPr>
          <w:color w:val="000000" w:themeColor="text1"/>
        </w:rPr>
        <w:br/>
        <w:t>Expected Outcomes:</w:t>
      </w:r>
      <w:r w:rsidRPr="00781112">
        <w:rPr>
          <w:color w:val="000000" w:themeColor="text1"/>
        </w:rPr>
        <w:br/>
        <w:t>- RRTs have increased knowledge in EBPs for supplemental interventions in reading.</w:t>
      </w:r>
      <w:r w:rsidRPr="00781112">
        <w:rPr>
          <w:color w:val="000000" w:themeColor="text1"/>
        </w:rPr>
        <w:br/>
        <w:t>- RRTs are implementing EBP supplemental interventions with fidelity.</w:t>
      </w:r>
      <w:r w:rsidRPr="00781112">
        <w:rPr>
          <w:color w:val="000000" w:themeColor="text1"/>
        </w:rPr>
        <w:br/>
        <w:t>- Students with IEPs from the scale-up schools will be proficient</w:t>
      </w:r>
      <w:r w:rsidR="008D75A4">
        <w:rPr>
          <w:color w:val="000000" w:themeColor="text1"/>
        </w:rPr>
        <w:t xml:space="preserve"> in</w:t>
      </w:r>
      <w:r w:rsidRPr="00781112">
        <w:rPr>
          <w:color w:val="000000" w:themeColor="text1"/>
        </w:rPr>
        <w:t xml:space="preserve"> reading as measured by the universal screener &amp; the district-wide assessment</w:t>
      </w:r>
      <w:r w:rsidRPr="00781112">
        <w:rPr>
          <w:color w:val="000000" w:themeColor="text1"/>
        </w:rPr>
        <w:br/>
        <w:t xml:space="preserve"> Data collection:</w:t>
      </w:r>
      <w:r w:rsidRPr="00781112">
        <w:rPr>
          <w:color w:val="000000" w:themeColor="text1"/>
        </w:rPr>
        <w:br/>
        <w:t>- Teacher survey</w:t>
      </w:r>
      <w:r w:rsidRPr="00781112">
        <w:rPr>
          <w:color w:val="000000" w:themeColor="text1"/>
        </w:rPr>
        <w:br/>
        <w:t>- Fidelity classroom observations</w:t>
      </w:r>
      <w:r w:rsidRPr="00781112">
        <w:rPr>
          <w:color w:val="000000" w:themeColor="text1"/>
        </w:rPr>
        <w:br/>
        <w:t>- Universal screening &amp; district-wide assessment data–to be reported in FFY2022</w:t>
      </w:r>
      <w:r w:rsidRPr="00781112">
        <w:rPr>
          <w:color w:val="000000" w:themeColor="text1"/>
        </w:rPr>
        <w:br/>
      </w:r>
      <w:r w:rsidRPr="00781112">
        <w:rPr>
          <w:color w:val="000000" w:themeColor="text1"/>
        </w:rPr>
        <w:br/>
        <w:t>3. Conducting a math curriculum audit.</w:t>
      </w:r>
      <w:r w:rsidRPr="00781112">
        <w:rPr>
          <w:color w:val="000000" w:themeColor="text1"/>
        </w:rPr>
        <w:br/>
        <w:t>Timeline: February 2023-May 2023</w:t>
      </w:r>
      <w:r w:rsidRPr="00781112">
        <w:rPr>
          <w:color w:val="000000" w:themeColor="text1"/>
        </w:rPr>
        <w:br/>
        <w:t>Expected Outcomes:</w:t>
      </w:r>
      <w:r w:rsidRPr="00781112">
        <w:rPr>
          <w:color w:val="000000" w:themeColor="text1"/>
        </w:rPr>
        <w:br/>
        <w:t xml:space="preserve">- Identification of learning gaps in the district’s math curriculum </w:t>
      </w:r>
      <w:r w:rsidRPr="00781112">
        <w:rPr>
          <w:color w:val="000000" w:themeColor="text1"/>
        </w:rPr>
        <w:br/>
        <w:t>Data collection:</w:t>
      </w:r>
      <w:r w:rsidRPr="00781112">
        <w:rPr>
          <w:color w:val="000000" w:themeColor="text1"/>
        </w:rPr>
        <w:br/>
        <w:t>- Completion of curriculum audit</w:t>
      </w:r>
      <w:r w:rsidRPr="00781112">
        <w:rPr>
          <w:color w:val="000000" w:themeColor="text1"/>
        </w:rPr>
        <w:br/>
      </w:r>
      <w:r w:rsidRPr="00781112">
        <w:rPr>
          <w:color w:val="000000" w:themeColor="text1"/>
        </w:rPr>
        <w:br/>
        <w:t>4. Supporting schools in the use of EBPs for family engagement through the use of the resource from the Institute of Education Sciences, Supporting Family Engagement in Foundational Reading Skills.</w:t>
      </w:r>
      <w:r w:rsidRPr="00781112">
        <w:rPr>
          <w:color w:val="000000" w:themeColor="text1"/>
        </w:rPr>
        <w:br/>
        <w:t>Timeline: February 2023-May 2023</w:t>
      </w:r>
      <w:r w:rsidRPr="00781112">
        <w:rPr>
          <w:color w:val="000000" w:themeColor="text1"/>
        </w:rPr>
        <w:br/>
        <w:t>Expected Outcomes:</w:t>
      </w:r>
      <w:r w:rsidRPr="00781112">
        <w:rPr>
          <w:color w:val="000000" w:themeColor="text1"/>
        </w:rPr>
        <w:br/>
        <w:t>- Increased percentage of SSIP schools that implement family engagement strategies for improving reading</w:t>
      </w:r>
      <w:r w:rsidRPr="00781112">
        <w:rPr>
          <w:color w:val="000000" w:themeColor="text1"/>
        </w:rPr>
        <w:br/>
        <w:t>- Increased percentage of families who perceive they are knowledgeable about strategies for supporting reading at home in the community</w:t>
      </w:r>
      <w:r w:rsidRPr="00781112">
        <w:rPr>
          <w:color w:val="000000" w:themeColor="text1"/>
        </w:rPr>
        <w:br/>
        <w:t>Data collection:</w:t>
      </w:r>
      <w:r w:rsidRPr="00781112">
        <w:rPr>
          <w:color w:val="000000" w:themeColor="text1"/>
        </w:rPr>
        <w:br/>
        <w:t>- Family survey and/or interviews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Implementation of a Core Reading Program</w:t>
      </w:r>
      <w:r w:rsidRPr="00781112">
        <w:rPr>
          <w:color w:val="000000" w:themeColor="text1"/>
        </w:rPr>
        <w:br/>
        <w:t xml:space="preserve">A root causes analysis was conducted with grade-levels in the scale-up schools and SSIP principals to identify possible causes for the poor performance of students in reading.  The “Five Whys” and the “Fish-bone diagram” improvement tools were used in the analysis.  The root cause analysis revealed that schools were struggling with the lack of a guaranteed and viable reading program.  The district recently adopted the “Journeys” reading program. However, the implementation of the program is patchwork with some schools using the program only as a supplemental resource.  In addition, teachers noted a lack of training provided by the district in the implementation of the program. </w:t>
      </w:r>
      <w:r w:rsidRPr="00781112">
        <w:rPr>
          <w:color w:val="000000" w:themeColor="text1"/>
        </w:rPr>
        <w:br/>
        <w:t xml:space="preserve">Steps to address this barrier include working with the “Journeys” vendor to provide professional learning on how to effectively use the program for core instruction.  In addition, overlaying the program with explicit instruction strategies so teachers can implement the program explicitly despite a lack of training in the program. Also, targeted monitoring by school administrators in the implementation of the program to ensure teachers are implementing essential practices well. </w:t>
      </w:r>
      <w:r w:rsidRPr="00781112">
        <w:rPr>
          <w:color w:val="000000" w:themeColor="text1"/>
        </w:rPr>
        <w:br/>
      </w:r>
      <w:r w:rsidRPr="00781112">
        <w:rPr>
          <w:color w:val="000000" w:themeColor="text1"/>
        </w:rPr>
        <w:br/>
      </w:r>
      <w:r w:rsidRPr="00781112">
        <w:rPr>
          <w:color w:val="000000" w:themeColor="text1"/>
        </w:rPr>
        <w:lastRenderedPageBreak/>
        <w:t>Recruitment and retention of certified teachers</w:t>
      </w:r>
      <w:r w:rsidRPr="00781112">
        <w:rPr>
          <w:color w:val="000000" w:themeColor="text1"/>
        </w:rPr>
        <w:br/>
        <w:t xml:space="preserve">This reporting period saw continued vacancies for certified teachers for both special education and general education. Though the </w:t>
      </w:r>
      <w:proofErr w:type="gramStart"/>
      <w:r w:rsidRPr="00781112">
        <w:rPr>
          <w:color w:val="000000" w:themeColor="text1"/>
        </w:rPr>
        <w:t>amount</w:t>
      </w:r>
      <w:proofErr w:type="gramEnd"/>
      <w:r w:rsidRPr="00781112">
        <w:rPr>
          <w:color w:val="000000" w:themeColor="text1"/>
        </w:rPr>
        <w:t xml:space="preserve"> of vacancies has decreased from the last reporting period, it is still an ongoing concern. One SSIP school is still waiting for a permanent special education teacher. In the general education category, currently there are 7 teacher vacancies at the SSIP target schools with 3 of the 7 vacancies in grades K-3. GDOE has addressed this barrier by leveraging district personnel such as </w:t>
      </w:r>
      <w:proofErr w:type="spellStart"/>
      <w:r w:rsidRPr="00781112">
        <w:rPr>
          <w:color w:val="000000" w:themeColor="text1"/>
        </w:rPr>
        <w:t>SpEd</w:t>
      </w:r>
      <w:proofErr w:type="spellEnd"/>
      <w:r w:rsidRPr="00781112">
        <w:rPr>
          <w:color w:val="000000" w:themeColor="text1"/>
        </w:rPr>
        <w:t xml:space="preserve"> coaches, service providers, and instructional coaches to cover vacant classes to address the teacher shortage. This strategy addresses the “symptoms” of the problem but does not tackle the underlying cause of the lack of certified teachers.  Tackling this barrier involves community collaboration to determine what supports teachers need to stay in the teaching profession.  This will involve working with GDOE’s teacher mentors and with community leaders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327F8E47" w:rsidR="00AE1972" w:rsidRPr="00781112" w:rsidRDefault="00AE1972" w:rsidP="00AE1972">
      <w:pPr>
        <w:rPr>
          <w:color w:val="000000" w:themeColor="text1"/>
        </w:rPr>
      </w:pPr>
      <w:r w:rsidRPr="00781112">
        <w:rPr>
          <w:color w:val="000000" w:themeColor="text1"/>
        </w:rPr>
        <w:t xml:space="preserve">It should be noted that although </w:t>
      </w:r>
      <w:proofErr w:type="spellStart"/>
      <w:r w:rsidRPr="00781112">
        <w:rPr>
          <w:color w:val="000000" w:themeColor="text1"/>
        </w:rPr>
        <w:t>aimswebPlus</w:t>
      </w:r>
      <w:proofErr w:type="spellEnd"/>
      <w:r w:rsidRPr="00781112">
        <w:rPr>
          <w:color w:val="000000" w:themeColor="text1"/>
        </w:rPr>
        <w:t xml:space="preserve"> can be predictive of performance in the summative assessment, the data from the screener demonstrates that proficiency in </w:t>
      </w:r>
      <w:proofErr w:type="spellStart"/>
      <w:r w:rsidRPr="00781112">
        <w:rPr>
          <w:color w:val="000000" w:themeColor="text1"/>
        </w:rPr>
        <w:t>aimswebPlus</w:t>
      </w:r>
      <w:proofErr w:type="spellEnd"/>
      <w:r w:rsidRPr="00781112">
        <w:rPr>
          <w:color w:val="000000" w:themeColor="text1"/>
        </w:rPr>
        <w:t xml:space="preserve"> has not correlated with success in the summative assessment. As an example, in Spring ‘22, 28% of 3rd graders at the SSIP target schools scored at the 45th percentile &amp; above in ORF in </w:t>
      </w:r>
      <w:proofErr w:type="spellStart"/>
      <w:r w:rsidRPr="00781112">
        <w:rPr>
          <w:color w:val="000000" w:themeColor="text1"/>
        </w:rPr>
        <w:t>aimswebPlus</w:t>
      </w:r>
      <w:proofErr w:type="spellEnd"/>
      <w:r w:rsidRPr="00781112">
        <w:rPr>
          <w:color w:val="000000" w:themeColor="text1"/>
        </w:rPr>
        <w:t xml:space="preserve">.  However, on the summative assessment (ACT Aspire), only 9%-21% of all 3rd graders at the 4 target schools were proficient in reading. For all 3rd grade students in GDOE, the district proficiency rate was 13%.  Two SSIP schools surpassed the district’s overall average with 21% at </w:t>
      </w:r>
      <w:r w:rsidR="00617CA2">
        <w:rPr>
          <w:color w:val="000000" w:themeColor="text1"/>
        </w:rPr>
        <w:t xml:space="preserve">SSIP School </w:t>
      </w:r>
      <w:r w:rsidR="002A6AC4">
        <w:rPr>
          <w:color w:val="000000" w:themeColor="text1"/>
        </w:rPr>
        <w:t>1</w:t>
      </w:r>
      <w:r w:rsidRPr="00781112">
        <w:rPr>
          <w:color w:val="000000" w:themeColor="text1"/>
        </w:rPr>
        <w:t xml:space="preserve"> &amp; 14% at </w:t>
      </w:r>
      <w:r w:rsidR="002A6AC4">
        <w:rPr>
          <w:color w:val="000000" w:themeColor="text1"/>
        </w:rPr>
        <w:t>SSIP School 4</w:t>
      </w:r>
      <w:r w:rsidRPr="00781112">
        <w:rPr>
          <w:color w:val="000000" w:themeColor="text1"/>
        </w:rPr>
        <w:t xml:space="preserve">. Also, the data for all SSIP schools were higher than in FFY2018 (pre-pandemic) in which only 5%-9% of all 3rd graders in the SSIP schools were proficient in reading. In stark contrast, for this reporting period, </w:t>
      </w:r>
      <w:r w:rsidR="002A6AC4">
        <w:rPr>
          <w:color w:val="000000" w:themeColor="text1"/>
        </w:rPr>
        <w:t>x</w:t>
      </w:r>
      <w:r w:rsidRPr="00781112">
        <w:rPr>
          <w:color w:val="000000" w:themeColor="text1"/>
        </w:rPr>
        <w:t xml:space="preserve">% of students with IEPs were proficient in reading which was the same in FFY2018.  Hence, as general education students continue to make progress despite the impact of the pandemic, students with IEPs continue to demonstrate low performance in reading-–pre and post pandemic.  The data collected show that the gap widens as students move up grade-levels.  In reviewing other data sources such as the IEP, </w:t>
      </w:r>
      <w:proofErr w:type="gramStart"/>
      <w:r w:rsidRPr="00781112">
        <w:rPr>
          <w:color w:val="000000" w:themeColor="text1"/>
        </w:rPr>
        <w:t>it  is</w:t>
      </w:r>
      <w:proofErr w:type="gramEnd"/>
      <w:r w:rsidRPr="00781112">
        <w:rPr>
          <w:color w:val="000000" w:themeColor="text1"/>
        </w:rPr>
        <w:t xml:space="preserve"> evident that the SDI for students with IEPs needs to be clearly outlined to ensure the unique needs of students are addressed.  To change the trajectory of students with IEPs, GDOE recognizes that there needs to be a shift from a procedural focus to a more substantive basis that builds the capacity of Special Education teachers in identifying and delivering effective Specially Designed Instruction.  Instruction is essentially “where the rubber meets the road”.  As Anita Archer, expert in explicit instruction, acknowledged, “the magic is in the instruction”.  Moving forward, the next steps that GDOE has set forth in this report provides a targeted focus on the instruction that students with IEPs are receiving to ensure it is effective and incorporates the use of EBPs and interventions.  Moreover, GDOE will work to ensure that teachers are systematically monitoring the progress of  students with IEPs through the PDSA cycle and are adapting instruction, based on the data, to meet the emerging needs of students.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Guam provided an explanation of how COVID-19 impacted its ability to collect FFY 2021 data for this indicator and steps Guam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Tom </w:t>
      </w:r>
      <w:proofErr w:type="spellStart"/>
      <w:r w:rsidRPr="00781112">
        <w:rPr>
          <w:rFonts w:cs="Arial"/>
          <w:color w:val="000000" w:themeColor="text1"/>
          <w:szCs w:val="16"/>
        </w:rPr>
        <w:t>Babauta</w:t>
      </w:r>
      <w:proofErr w:type="spellEnd"/>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tcbabauta@gdoe.net</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(671)777-7732</w:t>
      </w:r>
    </w:p>
    <w:bookmarkEnd w:id="9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04/25/23  4:30:22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9FB6F5F" w14:textId="62CE523A" w:rsidR="00D263A8" w:rsidRPr="00D263A8" w:rsidRDefault="00D263A8" w:rsidP="00D263A8">
      <w:pPr>
        <w:rPr>
          <w:b/>
          <w:bCs/>
          <w:sz w:val="20"/>
          <w:szCs w:val="28"/>
        </w:rPr>
      </w:pPr>
      <w:r w:rsidRPr="00D263A8">
        <w:rPr>
          <w:b/>
          <w:bCs/>
          <w:sz w:val="20"/>
          <w:szCs w:val="28"/>
        </w:rPr>
        <w:t>Guam</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1"/>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65.00%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4</w:t>
            </w:r>
          </w:p>
        </w:tc>
        <w:tc>
          <w:tcPr>
            <w:tcW w:w="1218" w:type="pct"/>
          </w:tcPr>
          <w:p w14:paraId="0E3866D0" w14:textId="74D5D84B" w:rsidR="00E1330D" w:rsidRPr="00210AC6" w:rsidRDefault="00E1330D" w:rsidP="00E1330D">
            <w:pPr>
              <w:rPr>
                <w:rFonts w:cs="Arial"/>
                <w:szCs w:val="16"/>
              </w:rPr>
            </w:pPr>
            <w:r w:rsidRPr="00210AC6">
              <w:rPr>
                <w:rFonts w:cs="Arial"/>
                <w:szCs w:val="16"/>
              </w:rPr>
              <w:t>50.00%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12</w:t>
            </w:r>
          </w:p>
        </w:tc>
        <w:tc>
          <w:tcPr>
            <w:tcW w:w="1260" w:type="pct"/>
          </w:tcPr>
          <w:p w14:paraId="0A360C78" w14:textId="7DE98E29" w:rsidR="00E1330D" w:rsidRPr="00210AC6" w:rsidRDefault="00E1330D" w:rsidP="00E1330D">
            <w:pPr>
              <w:rPr>
                <w:rFonts w:cs="Arial"/>
                <w:szCs w:val="16"/>
              </w:rPr>
            </w:pPr>
            <w:r w:rsidRPr="00210AC6">
              <w:rPr>
                <w:rFonts w:cs="Arial"/>
                <w:szCs w:val="16"/>
              </w:rPr>
              <w:t>9</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3521B1F4" w:rsidR="00416FE7" w:rsidRPr="00210AC6" w:rsidRDefault="004A3448" w:rsidP="00416FE7">
            <w:pPr>
              <w:rPr>
                <w:rFonts w:cs="Arial"/>
                <w:szCs w:val="16"/>
              </w:rPr>
            </w:pPr>
            <w:r>
              <w:rPr>
                <w:rFonts w:cs="Arial"/>
                <w:szCs w:val="16"/>
              </w:rPr>
              <w:t>*</w:t>
            </w:r>
          </w:p>
        </w:tc>
        <w:tc>
          <w:tcPr>
            <w:tcW w:w="833" w:type="pct"/>
          </w:tcPr>
          <w:p w14:paraId="24CF081D" w14:textId="4C5055FB" w:rsidR="00416FE7" w:rsidRPr="00210AC6" w:rsidRDefault="00416FE7" w:rsidP="00416FE7">
            <w:pPr>
              <w:rPr>
                <w:rFonts w:cs="Arial"/>
                <w:szCs w:val="16"/>
              </w:rPr>
            </w:pPr>
            <w:r w:rsidRPr="00210AC6">
              <w:rPr>
                <w:rFonts w:cs="Arial"/>
                <w:szCs w:val="16"/>
              </w:rPr>
              <w:t>0</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361FF884" w14:textId="77777777" w:rsidR="004A3448" w:rsidRDefault="004A3448" w:rsidP="004A3448">
      <w:pPr>
        <w:spacing w:before="0" w:after="200" w:line="276" w:lineRule="auto"/>
        <w:rPr>
          <w:rFonts w:cs="Arial"/>
          <w:b/>
          <w:bCs/>
          <w:szCs w:val="16"/>
        </w:rPr>
      </w:pPr>
      <w:r>
        <w:rPr>
          <w:rFonts w:cs="Arial"/>
          <w:szCs w:val="16"/>
        </w:rPr>
        <w:t>*Due to privacy concerns the Department has chosen to suppress this calculation.</w:t>
      </w:r>
    </w:p>
    <w:p w14:paraId="07CD2882" w14:textId="6941FC6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4E6E4E2E" w:rsidR="00FB3CF2" w:rsidRPr="00210AC6" w:rsidRDefault="004A3448" w:rsidP="00FB3CF2">
            <w:pPr>
              <w:rPr>
                <w:rFonts w:cs="Arial"/>
                <w:szCs w:val="16"/>
              </w:rPr>
            </w:pPr>
            <w:r>
              <w:rPr>
                <w:rFonts w:cs="Arial"/>
                <w:szCs w:val="16"/>
              </w:rPr>
              <w:t>*</w:t>
            </w:r>
          </w:p>
        </w:tc>
        <w:tc>
          <w:tcPr>
            <w:tcW w:w="833" w:type="pct"/>
          </w:tcPr>
          <w:p w14:paraId="0ABE3821" w14:textId="13CF98A7" w:rsidR="00FB3CF2" w:rsidRPr="00210AC6" w:rsidRDefault="00FB3CF2" w:rsidP="00FB3CF2">
            <w:pPr>
              <w:rPr>
                <w:rFonts w:cs="Arial"/>
                <w:szCs w:val="16"/>
              </w:rPr>
            </w:pPr>
            <w:r w:rsidRPr="00210AC6">
              <w:rPr>
                <w:rFonts w:cs="Arial"/>
                <w:szCs w:val="16"/>
              </w:rPr>
              <w:t>0</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26B2A12B" w14:textId="661D5F43" w:rsidR="00570930" w:rsidRDefault="004A3448">
      <w:pPr>
        <w:spacing w:before="0" w:after="200" w:line="276" w:lineRule="auto"/>
        <w:rPr>
          <w:rFonts w:cs="Arial"/>
          <w:b/>
          <w:bCs/>
          <w:szCs w:val="16"/>
        </w:rPr>
      </w:pPr>
      <w:r>
        <w:rPr>
          <w:rFonts w:cs="Arial"/>
          <w:szCs w:val="16"/>
        </w:rPr>
        <w:t>*Due to privacy concerns the Department has chosen to suppress this calculation.</w:t>
      </w:r>
      <w:r w:rsidR="00570930">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10</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2</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89</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2"/>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83.77%</w:t>
            </w:r>
          </w:p>
        </w:tc>
        <w:tc>
          <w:tcPr>
            <w:tcW w:w="832" w:type="pct"/>
          </w:tcPr>
          <w:p w14:paraId="379B6676" w14:textId="76488CD7" w:rsidR="00AA1152" w:rsidRPr="00210AC6" w:rsidRDefault="00AA1152" w:rsidP="00AA1152">
            <w:pPr>
              <w:rPr>
                <w:rFonts w:cs="Arial"/>
                <w:szCs w:val="16"/>
              </w:rPr>
            </w:pPr>
            <w:r w:rsidRPr="00210AC6">
              <w:rPr>
                <w:rFonts w:cs="Arial"/>
                <w:szCs w:val="16"/>
              </w:rPr>
              <w:t>N/A</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100.00%</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94.80%</w:t>
            </w:r>
          </w:p>
        </w:tc>
        <w:tc>
          <w:tcPr>
            <w:tcW w:w="832" w:type="pct"/>
          </w:tcPr>
          <w:p w14:paraId="3F499F14" w14:textId="09C97ADF" w:rsidR="00AA1152" w:rsidRPr="00210AC6" w:rsidRDefault="00AA1152" w:rsidP="00AA1152">
            <w:pPr>
              <w:rPr>
                <w:rFonts w:cs="Arial"/>
                <w:szCs w:val="16"/>
              </w:rPr>
            </w:pPr>
            <w:r w:rsidRPr="00210AC6">
              <w:rPr>
                <w:rFonts w:cs="Arial"/>
                <w:szCs w:val="16"/>
              </w:rPr>
              <w:t>N/A</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0</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5 or more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358E35F1" w14:textId="77777777" w:rsidR="00D263A8" w:rsidRPr="00D263A8" w:rsidRDefault="00D263A8" w:rsidP="00D263A8">
      <w:pPr>
        <w:rPr>
          <w:b/>
          <w:bCs/>
          <w:sz w:val="20"/>
          <w:szCs w:val="28"/>
        </w:rPr>
      </w:pPr>
      <w:r w:rsidRPr="00D263A8">
        <w:rPr>
          <w:b/>
          <w:bCs/>
          <w:sz w:val="20"/>
          <w:szCs w:val="28"/>
        </w:rPr>
        <w:t>Guam</w:t>
      </w:r>
    </w:p>
    <w:p w14:paraId="2A9F1FA8" w14:textId="77777777" w:rsidR="00D263A8" w:rsidRPr="00D263A8" w:rsidRDefault="00D263A8" w:rsidP="00D263A8"/>
    <w:p w14:paraId="27E7D5D5" w14:textId="314242AE" w:rsidR="00110BB6" w:rsidRDefault="00110BB6" w:rsidP="00110BB6">
      <w:pPr>
        <w:jc w:val="center"/>
      </w:pPr>
      <w:r>
        <w:t>FFY 2021 APR</w:t>
      </w:r>
      <w:r w:rsidR="00A47134">
        <w:rPr>
          <w:rStyle w:val="FootnoteReference"/>
        </w:rPr>
        <w:footnoteReference w:id="13"/>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18</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23</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4"/>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23</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3</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49.00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0B594B2F" w14:textId="77777777" w:rsidR="00D263A8" w:rsidRDefault="00D263A8">
      <w:pPr>
        <w:spacing w:before="0" w:after="200" w:line="276" w:lineRule="auto"/>
      </w:pPr>
    </w:p>
    <w:p w14:paraId="10BA59E7" w14:textId="002EA065" w:rsidR="0058254D" w:rsidRDefault="00D263A8">
      <w:pPr>
        <w:spacing w:before="0" w:after="200" w:line="276" w:lineRule="auto"/>
      </w:pPr>
      <w:r>
        <w:object w:dxaOrig="1540" w:dyaOrig="997" w14:anchorId="5EE2D991">
          <v:shape id="_x0000_i1026" type="#_x0000_t75" alt="GU-B-DR-2021-22" style="width:77.25pt;height:50.25pt" o:ole="">
            <v:imagedata r:id="rId12" o:title=""/>
          </v:shape>
          <o:OLEObject Type="Embed" ProgID="Acrobat.Document.DC" ShapeID="_x0000_i1026" DrawAspect="Icon" ObjectID="_1753072268"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52F30793"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2" w:name="Introduction"/>
      <w:bookmarkStart w:id="93" w:name="_Hlk124349373"/>
      <w:bookmarkEnd w:id="3"/>
      <w:bookmarkEnd w:id="92"/>
      <w:bookmarkEnd w:id="93"/>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31FD" w14:textId="77777777" w:rsidR="004F1E53" w:rsidRDefault="004F1E53" w:rsidP="000802F7">
      <w:pPr>
        <w:spacing w:before="0" w:after="0"/>
      </w:pPr>
      <w:r>
        <w:separator/>
      </w:r>
    </w:p>
  </w:endnote>
  <w:endnote w:type="continuationSeparator" w:id="0">
    <w:p w14:paraId="6C0E180C" w14:textId="77777777" w:rsidR="004F1E53" w:rsidRDefault="004F1E53" w:rsidP="000802F7">
      <w:pPr>
        <w:spacing w:before="0" w:after="0"/>
      </w:pPr>
      <w:r>
        <w:continuationSeparator/>
      </w:r>
    </w:p>
  </w:endnote>
  <w:endnote w:type="continuationNotice" w:id="1">
    <w:p w14:paraId="4501432F" w14:textId="77777777" w:rsidR="004F1E53" w:rsidRDefault="004F1E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3E4375AE"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7D9E5583"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1F0" w14:textId="77777777" w:rsidR="004F1E53" w:rsidRDefault="004F1E53" w:rsidP="000802F7">
      <w:pPr>
        <w:spacing w:before="0" w:after="0"/>
      </w:pPr>
      <w:r>
        <w:separator/>
      </w:r>
    </w:p>
  </w:footnote>
  <w:footnote w:type="continuationSeparator" w:id="0">
    <w:p w14:paraId="664D2E5F" w14:textId="77777777" w:rsidR="004F1E53" w:rsidRDefault="004F1E53" w:rsidP="000802F7">
      <w:pPr>
        <w:spacing w:before="0" w:after="0"/>
      </w:pPr>
      <w:r>
        <w:continuationSeparator/>
      </w:r>
    </w:p>
  </w:footnote>
  <w:footnote w:type="continuationNotice" w:id="1">
    <w:p w14:paraId="1E8FA7A3" w14:textId="77777777" w:rsidR="004F1E53" w:rsidRDefault="004F1E53">
      <w:pPr>
        <w:spacing w:before="0" w:after="0"/>
      </w:pPr>
    </w:p>
  </w:footnote>
  <w:footnote w:id="2">
    <w:p w14:paraId="594D0E40" w14:textId="257952B4" w:rsidR="00D263A8" w:rsidRPr="00D263A8" w:rsidRDefault="00D263A8" w:rsidP="00D263A8">
      <w:pPr>
        <w:spacing w:after="0"/>
        <w:rPr>
          <w:rFonts w:cs="Arial"/>
          <w:szCs w:val="16"/>
        </w:rPr>
      </w:pPr>
      <w:r>
        <w:rPr>
          <w:rStyle w:val="FootnoteReference"/>
        </w:rPr>
        <w:footnoteRef/>
      </w:r>
      <w:r>
        <w:t xml:space="preserve"> </w:t>
      </w:r>
      <w:bookmarkStart w:id="10" w:name="_Hlk138799496"/>
      <w:r w:rsidRPr="00891632">
        <w:rPr>
          <w:rFonts w:cs="Arial"/>
          <w:szCs w:val="16"/>
        </w:rPr>
        <w:t>Prior to the FFY 2020 submission, the State used a different data source to report data under this indicator.</w:t>
      </w:r>
      <w:bookmarkEnd w:id="10"/>
    </w:p>
  </w:footnote>
  <w:footnote w:id="3">
    <w:p w14:paraId="3AB8BA65" w14:textId="639F5783" w:rsidR="007A01EA" w:rsidRDefault="007A01EA">
      <w:pPr>
        <w:pStyle w:val="FootnoteText"/>
      </w:pPr>
      <w:r w:rsidRPr="007A01EA">
        <w:rPr>
          <w:rStyle w:val="FootnoteReference"/>
          <w:sz w:val="16"/>
          <w:szCs w:val="16"/>
        </w:rPr>
        <w:footnoteRef/>
      </w:r>
      <w:r w:rsidRPr="007A01EA">
        <w:rPr>
          <w:sz w:val="16"/>
          <w:szCs w:val="16"/>
        </w:rPr>
        <w:t xml:space="preserve"> Data suppressed due to small cell size.</w:t>
      </w:r>
    </w:p>
  </w:footnote>
  <w:footnote w:id="4">
    <w:p w14:paraId="73C11307" w14:textId="27F5ED14" w:rsidR="00855B43" w:rsidRDefault="00855B43">
      <w:pPr>
        <w:pStyle w:val="FootnoteText"/>
      </w:pPr>
      <w:r w:rsidRPr="00855B43">
        <w:rPr>
          <w:rStyle w:val="FootnoteReference"/>
          <w:sz w:val="16"/>
          <w:szCs w:val="16"/>
        </w:rPr>
        <w:footnoteRef/>
      </w:r>
      <w:r w:rsidRPr="00855B43">
        <w:rPr>
          <w:sz w:val="16"/>
          <w:szCs w:val="16"/>
        </w:rPr>
        <w:t xml:space="preserve"> Data suppressed due to small cell size.</w:t>
      </w:r>
    </w:p>
  </w:footnote>
  <w:footnote w:id="5">
    <w:p w14:paraId="558337CC" w14:textId="35F92064" w:rsidR="00855B43" w:rsidRDefault="00855B43">
      <w:pPr>
        <w:pStyle w:val="FootnoteText"/>
      </w:pPr>
      <w:r w:rsidRPr="00855B43">
        <w:rPr>
          <w:rStyle w:val="FootnoteReference"/>
          <w:sz w:val="16"/>
          <w:szCs w:val="16"/>
        </w:rPr>
        <w:footnoteRef/>
      </w:r>
      <w:r w:rsidRPr="00855B43">
        <w:rPr>
          <w:sz w:val="16"/>
          <w:szCs w:val="16"/>
        </w:rPr>
        <w:t xml:space="preserve"> Data suppressed due to small cell size.</w:t>
      </w:r>
    </w:p>
  </w:footnote>
  <w:footnote w:id="6">
    <w:p w14:paraId="194238DD" w14:textId="5C2CC6B3" w:rsidR="005C7646" w:rsidRDefault="005C7646">
      <w:pPr>
        <w:pStyle w:val="FootnoteText"/>
      </w:pPr>
      <w:r w:rsidRPr="005C7646">
        <w:rPr>
          <w:rStyle w:val="FootnoteReference"/>
          <w:sz w:val="16"/>
          <w:szCs w:val="16"/>
        </w:rPr>
        <w:footnoteRef/>
      </w:r>
      <w:r w:rsidRPr="005C7646">
        <w:rPr>
          <w:sz w:val="16"/>
          <w:szCs w:val="16"/>
        </w:rPr>
        <w:t xml:space="preserve"> Data suppressed due to small cell size.</w:t>
      </w:r>
    </w:p>
  </w:footnote>
  <w:footnote w:id="7">
    <w:p w14:paraId="49CF1DC7" w14:textId="3FB070CB" w:rsidR="005C7646" w:rsidRDefault="005C7646">
      <w:pPr>
        <w:pStyle w:val="FootnoteText"/>
      </w:pPr>
      <w:r w:rsidRPr="005C7646">
        <w:rPr>
          <w:rStyle w:val="FootnoteReference"/>
          <w:sz w:val="16"/>
          <w:szCs w:val="16"/>
        </w:rPr>
        <w:footnoteRef/>
      </w:r>
      <w:r w:rsidRPr="005C7646">
        <w:rPr>
          <w:sz w:val="16"/>
          <w:szCs w:val="16"/>
        </w:rPr>
        <w:t xml:space="preserve"> Data suppressed due to small cell size.</w:t>
      </w:r>
    </w:p>
  </w:footnote>
  <w:footnote w:id="8">
    <w:p w14:paraId="5D90BC0D" w14:textId="7D068252" w:rsidR="005C7646" w:rsidRDefault="005C7646">
      <w:pPr>
        <w:pStyle w:val="FootnoteText"/>
      </w:pPr>
      <w:r w:rsidRPr="005C7646">
        <w:rPr>
          <w:rStyle w:val="FootnoteReference"/>
          <w:sz w:val="16"/>
          <w:szCs w:val="16"/>
        </w:rPr>
        <w:footnoteRef/>
      </w:r>
      <w:r w:rsidRPr="005C7646">
        <w:rPr>
          <w:sz w:val="16"/>
          <w:szCs w:val="16"/>
        </w:rPr>
        <w:t xml:space="preserve"> Data suppressed due to small cell size.</w:t>
      </w:r>
    </w:p>
  </w:footnote>
  <w:footnote w:id="9">
    <w:p w14:paraId="4A325E95" w14:textId="0A889B04" w:rsidR="002D341C" w:rsidRDefault="002D341C">
      <w:pPr>
        <w:pStyle w:val="FootnoteText"/>
      </w:pPr>
      <w:r w:rsidRPr="002D341C">
        <w:rPr>
          <w:rStyle w:val="FootnoteReference"/>
          <w:sz w:val="16"/>
          <w:szCs w:val="16"/>
        </w:rPr>
        <w:footnoteRef/>
      </w:r>
      <w:r w:rsidRPr="002D341C">
        <w:rPr>
          <w:sz w:val="16"/>
          <w:szCs w:val="16"/>
        </w:rPr>
        <w:t xml:space="preserve"> Data suppressed due to small cell size.</w:t>
      </w:r>
    </w:p>
  </w:footnote>
  <w:footnote w:id="10">
    <w:p w14:paraId="41D8867E" w14:textId="48FA468D" w:rsidR="002D341C" w:rsidRDefault="002D341C">
      <w:pPr>
        <w:pStyle w:val="FootnoteText"/>
      </w:pPr>
      <w:r w:rsidRPr="002D341C">
        <w:rPr>
          <w:rStyle w:val="FootnoteReference"/>
          <w:sz w:val="16"/>
          <w:szCs w:val="16"/>
        </w:rPr>
        <w:footnoteRef/>
      </w:r>
      <w:r w:rsidRPr="002D341C">
        <w:rPr>
          <w:sz w:val="16"/>
          <w:szCs w:val="16"/>
        </w:rPr>
        <w:t xml:space="preserve"> Data suppressed due to small cell size.</w:t>
      </w:r>
    </w:p>
  </w:footnote>
  <w:footnote w:id="11">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2">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3">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4">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59"/>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65AE"/>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5370"/>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6E4"/>
    <w:rsid w:val="001E1828"/>
    <w:rsid w:val="001E1D92"/>
    <w:rsid w:val="001E2193"/>
    <w:rsid w:val="001E2418"/>
    <w:rsid w:val="001E2749"/>
    <w:rsid w:val="001E2AFB"/>
    <w:rsid w:val="001E2E5A"/>
    <w:rsid w:val="001E2F3E"/>
    <w:rsid w:val="001E430B"/>
    <w:rsid w:val="001E4328"/>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957"/>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AC4"/>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41C"/>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767"/>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A84"/>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2AE9"/>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B4D"/>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3CF4"/>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448"/>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1E53"/>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2C65"/>
    <w:rsid w:val="005C362A"/>
    <w:rsid w:val="005C3BB5"/>
    <w:rsid w:val="005C3DF6"/>
    <w:rsid w:val="005C4208"/>
    <w:rsid w:val="005C4311"/>
    <w:rsid w:val="005C50DB"/>
    <w:rsid w:val="005C6000"/>
    <w:rsid w:val="005C6BF5"/>
    <w:rsid w:val="005C6DCB"/>
    <w:rsid w:val="005C7646"/>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3CE"/>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CA2"/>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6DF"/>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5CD9"/>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1EA"/>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5B43"/>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5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2E7"/>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3E7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0DE6"/>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16F"/>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1BE9"/>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6A84"/>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3A8"/>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78B"/>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776"/>
    <w:rsid w:val="00E37FDF"/>
    <w:rsid w:val="00E4039F"/>
    <w:rsid w:val="00E4112E"/>
    <w:rsid w:val="00E414DC"/>
    <w:rsid w:val="00E418E6"/>
    <w:rsid w:val="00E428BD"/>
    <w:rsid w:val="00E43292"/>
    <w:rsid w:val="00E4333D"/>
    <w:rsid w:val="00E4371F"/>
    <w:rsid w:val="00E43C3E"/>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581"/>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50DBF-307E-4001-B44C-3DE621A04DAF}"/>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304</TotalTime>
  <Pages>107</Pages>
  <Words>65987</Words>
  <Characters>376130</Characters>
  <Application>Microsoft Office Word</Application>
  <DocSecurity>0</DocSecurity>
  <Lines>3134</Lines>
  <Paragraphs>882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20</cp:revision>
  <cp:lastPrinted>2014-08-19T16:56:00Z</cp:lastPrinted>
  <dcterms:created xsi:type="dcterms:W3CDTF">2023-08-08T14:11:00Z</dcterms:created>
  <dcterms:modified xsi:type="dcterms:W3CDTF">2023-08-09T11:44:00Z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