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Georgia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During FFY 2020, Georgia continued to be impacted by the COVID pandemic, and instruction was conducted in a wide variety of formats ranging from face-to-face, virtual, and hybrid in the 2020-2021 school year. The instructional formats utilized (i.e., virtual, in person, hybrid) were variable both across Local Education Agencies (LEAs) and within LEAs based upon the severity of COVID infection rates in different regions of the state and individual student health challenges. High stakes testing for all students, including students with disabilities, was resumed in the 2020-2021 school year with decreased participation. Students participating in virtual instruction were not required to report to a physical school facility for assessment participation if there were health concerns. As a result, the number of students participating in assessments was lower than in previous years. Program participation for young children in the 3- and 4-year-old age range declined due in part to parental COVID concerns. Despite these challenges, Georgia’s Annual Performance Report for 2020-2021 continued to demonstrate Georgia’s resilience and commitment to providing services for students with disabilities and building inclusive partnerships with families and communities. </w:t>
      </w:r>
      <w:r w:rsidRPr="00781112">
        <w:rPr>
          <w:rFonts w:cs="Arial"/>
          <w:color w:val="000000" w:themeColor="text1"/>
          <w:szCs w:val="16"/>
        </w:rPr>
        <w:br/>
      </w:r>
      <w:r w:rsidRPr="00781112">
        <w:rPr>
          <w:rFonts w:cs="Arial"/>
          <w:color w:val="000000" w:themeColor="text1"/>
          <w:szCs w:val="16"/>
        </w:rPr>
        <w:br/>
        <w:t>Georgia met targets for the following SPP/APR Indicators: 4b (Significant Discrepancy), 7A (1) (Preschool Outcomes- Positive social-emotional outcomes), 7B (1 &amp; 2) (Preschool Outcomes- Acquisition and use of knowledge and skills), 7C (1) (Preschool Outcomes- Use of appropriate behaviors to meet their needs), 8 (Parent Involvement), 9 (Disproportionate Representation), 14B (Post-School Outcomes- Enrolled in Higher Education or Competitively Employed), 14C (Post-School Outcomes Enrolled in Higher Education, or some other type of postsecondary training, Competitively Employed, or employed in some other employment), and 17 (State Systemic Improvement Plan). Indicators 1 (Graduation), 2 (Dropout), 3 (Assessment), and 6C (Early Childhood Environment - Receiving Services in the Home) were all reset to baseline level in this FFY 2020 report.</w:t>
      </w:r>
      <w:r w:rsidRPr="00781112">
        <w:rPr>
          <w:rFonts w:cs="Arial"/>
          <w:color w:val="000000" w:themeColor="text1"/>
          <w:szCs w:val="16"/>
        </w:rPr>
        <w:br/>
      </w:r>
      <w:r w:rsidRPr="00781112">
        <w:rPr>
          <w:rFonts w:cs="Arial"/>
          <w:color w:val="000000" w:themeColor="text1"/>
          <w:szCs w:val="16"/>
        </w:rPr>
        <w:br/>
        <w:t xml:space="preserve">Georgia did not meet targets but had no slippage for the following Indicators: 5A (Educational Environment, Inside the regular classroom 80% or more), 5B (Educational Environment, Inside the regular classroom &lt;40%), 5C (Educational Environment, Separate Settings), 6B (Early Childhood Environment - Receiving Majority of services in Separate Classroom, Separate School, or Residential Facility), 7A (2) (Preschool Outcomes- Positive social-emotional outcomes), 7C (2) (Preschool Outcomes- Use of appropriate behaviors to meet their needs),10 (Disproportionate Representation by Specific Eligibility Category), 11 (Child Find), 12 (Early Childhood Transition), 13 (Secondary Transition), and 14 A (Post-School Outcomes- Enrolled in Higher Education). </w:t>
      </w:r>
      <w:r w:rsidRPr="00781112">
        <w:rPr>
          <w:rFonts w:cs="Arial"/>
          <w:color w:val="000000" w:themeColor="text1"/>
          <w:szCs w:val="16"/>
        </w:rPr>
        <w:br/>
        <w:t xml:space="preserve">Georgia had slippage in SPP/APR Indicators: 4A (Significant Discrepancy), 6A (Early Childhood Environment - Receiving Majority of Services in the Regular Childhood Program), 15 (Resolution Sessions), and 16 (Mediations). </w:t>
      </w:r>
      <w:r w:rsidRPr="00781112">
        <w:rPr>
          <w:rFonts w:cs="Arial"/>
          <w:color w:val="000000" w:themeColor="text1"/>
          <w:szCs w:val="16"/>
        </w:rPr>
        <w:br/>
      </w:r>
      <w:r w:rsidRPr="00781112">
        <w:rPr>
          <w:rFonts w:cs="Arial"/>
          <w:color w:val="000000" w:themeColor="text1"/>
          <w:szCs w:val="16"/>
        </w:rPr>
        <w:br/>
        <w:t xml:space="preserve">The Georgia Department of Education (GaDOE) continued to have a supportive stance in addressing the needs of students, teachers, leaders, and families in the COVID pandemic in the 2020-2021 school year. Georgia maintained a website for LEAs and parents with COVID information and resources at https://www.georgiainsights.com/coronavirus.html. The website contained a specific link to information regarding services for students with disabilities at https://www.georgiainsights.com/specialeducation.html. The Division for Special Education Services and Supports (DSESS) provided ongoing technical assistance and guidance for special education leaders, as well as, partnered with other divisions to address the needs of all leaders. On August 7, 2020, Dr. Zelphine Smith-Dixon, former Georgia State Director of Special Education, conducted a COVID-related Q &amp; A session with special education leaders at the Local Education Agency (LEA) level about the implementation of general supervision and FAPE in a variety of instructional settings. Relevant guidance was provided on numerous topics such as virtual instruction, assistive technology, extended school year, working with parents, documenting services, and FERPA adherence in a virtual environment (see https://www.gadoe.org/Curriculum-Instruction-and-Assessment/Special-Education-Services/Documents/Directors%20Webinars/2020-21/Lunch%20and%20Learn%20with%20Dr.%20Smith-Dixon%20ppt.pdf). </w:t>
      </w:r>
      <w:r w:rsidRPr="00781112">
        <w:rPr>
          <w:rFonts w:cs="Arial"/>
          <w:color w:val="000000" w:themeColor="text1"/>
          <w:szCs w:val="16"/>
        </w:rPr>
        <w:br/>
        <w:t xml:space="preserve">Georgia provided LEA restart guidance regarding change of placement for students with disabilities in February 2021 at https://www.gadoe.org/Curriculum-Instruction-and-Assessment/Special-Education-Services/Documents/GaDOE%20Restart%20Guidance/GaDOE%20Restart%20Guidance%20on%20Change%20of%20Placement%20vs%20Change%20of%20Location%202-17-21.pdf. </w:t>
      </w:r>
      <w:r w:rsidRPr="00781112">
        <w:rPr>
          <w:rFonts w:cs="Arial"/>
          <w:color w:val="000000" w:themeColor="text1"/>
          <w:szCs w:val="16"/>
        </w:rPr>
        <w:br/>
        <w:t>Compensatory services were addressed for students with disabilities at https://www.gadoe.org/Curriculum-Instruction-and-Assessment/Special-Education-Services/Documents/GaDOE%20Restart%20Guidance/Georgia%27s%20Restart%20Guidance%20%28Compensatory%20Services%29.pdf</w:t>
      </w:r>
      <w:r w:rsidRPr="00781112">
        <w:rPr>
          <w:rFonts w:cs="Arial"/>
          <w:color w:val="000000" w:themeColor="text1"/>
          <w:szCs w:val="16"/>
        </w:rPr>
        <w:br/>
        <w:t xml:space="preserve">on February 19, 2021. </w:t>
      </w:r>
      <w:r w:rsidRPr="00781112">
        <w:rPr>
          <w:rFonts w:cs="Arial"/>
          <w:color w:val="000000" w:themeColor="text1"/>
          <w:szCs w:val="16"/>
        </w:rPr>
        <w:br/>
      </w:r>
      <w:r w:rsidRPr="00781112">
        <w:rPr>
          <w:rFonts w:cs="Arial"/>
          <w:color w:val="000000" w:themeColor="text1"/>
          <w:szCs w:val="16"/>
        </w:rPr>
        <w:br/>
        <w:t xml:space="preserve">There was continual communication by DSESS with LEA leaders and the provision of resources. Resources were compiled and are available at </w:t>
      </w:r>
      <w:r w:rsidRPr="00781112">
        <w:rPr>
          <w:rFonts w:cs="Arial"/>
          <w:color w:val="000000" w:themeColor="text1"/>
          <w:szCs w:val="16"/>
        </w:rPr>
        <w:br/>
        <w:t xml:space="preserve">https://www.georgiainsights.com/specialeducation.html and https://www.georgiainsights.com/uploads/1/2/2/2/122221993/special_education_restart_guidance.pdf </w:t>
      </w:r>
      <w:r w:rsidRPr="00781112">
        <w:rPr>
          <w:rFonts w:cs="Arial"/>
          <w:color w:val="000000" w:themeColor="text1"/>
          <w:szCs w:val="16"/>
        </w:rPr>
        <w:br/>
      </w:r>
      <w:r w:rsidRPr="00781112">
        <w:rPr>
          <w:rFonts w:cs="Arial"/>
          <w:color w:val="000000" w:themeColor="text1"/>
          <w:szCs w:val="16"/>
        </w:rPr>
        <w:br/>
        <w:t xml:space="preserve">Georgia has adopted the Association for Supervision and Curriculum Development: Whole Child Framework in an effort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Georgia received a waiver from the Office of Elementary and Secondary Education related to the Every Student Succeeds Act (ESSA) which waived accountability, school identification, and related reporting requirements (see https://www.gadoe.org/Curriculum-Instruction-and-Assessment/Accountability/Documents/ESSA/ga%20acct%20waiver%20response.pdf). However, high stakes testing was not waived and resumed for all students, including students with disabilities, in the 2020-2021 school year. Students participating in virtual instruction were not required to report to a physical school facility for assessment participation if there were health concerns. As a result, the number of students participating in assessments was significantly lower than in previous years for all students, including students with disabilities. More specific information about the impact of COVID on individual SPP/APR Indicators, including Assessment Indicator 3 A-D, is located in the narratives for those Indicators.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223</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lastRenderedPageBreak/>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DSESS implemented an effective system of General Supervision to complete the following tasks: (1) Support practices that improve educational results and functional outcomes; (2) Use multiple methods to identify and correct noncompliance within one year; and (3) Use mechanisms to encourage and support improvement and to enforce compliance. The GaDOE’s system for General Supervision included eight components: (1) State Performance Plan; (2) Policies, Procedures, and Effective Implementation; (3) Integrated Monitoring Activities; (4) Fiscal Management; (5) Data on Processes and Results; (6) Improvement, Correction, Incentives, and Sanctions; (7) Effective Dispute Resolution; and (8) Targeted Technical Assistance and Professional Development.</w:t>
      </w:r>
      <w:r w:rsidRPr="00781112">
        <w:rPr>
          <w:rFonts w:cs="Arial"/>
          <w:color w:val="000000" w:themeColor="text1"/>
          <w:szCs w:val="16"/>
        </w:rPr>
        <w:br/>
      </w:r>
      <w:r w:rsidRPr="00781112">
        <w:rPr>
          <w:rFonts w:cs="Arial"/>
          <w:color w:val="000000" w:themeColor="text1"/>
          <w:szCs w:val="16"/>
        </w:rPr>
        <w:br/>
        <w:t xml:space="preserve">The DSESS provided appropriate accountability to ensure that LEAs complied with federal regulations. Fidelity of compliant practices was enforced by using a tiered monitoring system that enabled the Division staff to “monitor” all LEAs every year. The DSESS monitored each LEA every year through a tiered monitoring system to ensure timely identification and correction of any identified noncompliance. At each tier, the DSESS conducted a systematic collection and analysis of data to inform compliant practices and improve results. The State provided increased or more intensive supports based on the analysis of data. An additional critical component of Georgia’s continuous improvement monitoring is Cross Functional Monitoring (CFM), which is conducted using a four-year cycle. The CFM process is intensive and examines all components of a system’s implementation of IDEA. The State monitors at least sixty LEAs each year in the process allowing all LEAs to be reviewed within the four-year cycle. The closure of LEAs due to COVID in the 2019-2020 school year impacted the CFM process in 2020-2021. Due to the challenges of COVID in 2019-2020, the CFM process for that year had to be completed in 2020-2021 for LEAs in that yearly cycle. The standard schedule resumed beginning in 2021-2022. </w:t>
      </w:r>
      <w:r w:rsidRPr="00781112">
        <w:rPr>
          <w:rFonts w:cs="Arial"/>
          <w:color w:val="000000" w:themeColor="text1"/>
          <w:szCs w:val="16"/>
        </w:rPr>
        <w:br/>
      </w:r>
      <w:r w:rsidRPr="00781112">
        <w:rPr>
          <w:rFonts w:cs="Arial"/>
          <w:color w:val="000000" w:themeColor="text1"/>
          <w:szCs w:val="16"/>
        </w:rPr>
        <w:br/>
        <w:t>Tier 1 monitoring procedures were implemented for all LEAs to enforce compliance and improve results. Tier 1 activities included items such as a review of LEA Determination Data, Continuation of Services Data, Fiscal Risk Assessment, and Child Find Initial Evaluation Timelines.</w:t>
      </w:r>
      <w:r w:rsidRPr="00781112">
        <w:rPr>
          <w:rFonts w:cs="Arial"/>
          <w:color w:val="000000" w:themeColor="text1"/>
          <w:szCs w:val="16"/>
        </w:rPr>
        <w:br/>
      </w:r>
      <w:r w:rsidRPr="00781112">
        <w:rPr>
          <w:rFonts w:cs="Arial"/>
          <w:color w:val="000000" w:themeColor="text1"/>
          <w:szCs w:val="16"/>
        </w:rPr>
        <w:br/>
        <w:t xml:space="preserve">Tier 2 monitoring procedures were implemented for a targeted group of LEAs based upon areas of noncompliance at Tier 1, such as exceeding the 60-day timeframe for Child Find Initial Evaluations. In addition to noncompliance, some LEAs may be targeted to receive supports based on local performance on indicators such graduation, dropout, and young children's outcomes. </w:t>
      </w:r>
      <w:r w:rsidRPr="00781112">
        <w:rPr>
          <w:rFonts w:cs="Arial"/>
          <w:color w:val="000000" w:themeColor="text1"/>
          <w:szCs w:val="16"/>
        </w:rPr>
        <w:br/>
      </w:r>
      <w:r w:rsidRPr="00781112">
        <w:rPr>
          <w:rFonts w:cs="Arial"/>
          <w:color w:val="000000" w:themeColor="text1"/>
          <w:szCs w:val="16"/>
        </w:rPr>
        <w:br/>
        <w:t xml:space="preserve">Tier 3 monitoring procedures were implemented for a targeted group of LEAs and differentiated to meet their compliance and/or performance needs, which were triggered by the previous tier’s data (i.e., Significant Disproportionality) or the CFM cycle. </w:t>
      </w:r>
      <w:r w:rsidRPr="00781112">
        <w:rPr>
          <w:rFonts w:cs="Arial"/>
          <w:color w:val="000000" w:themeColor="text1"/>
          <w:szCs w:val="16"/>
        </w:rPr>
        <w:br/>
      </w:r>
      <w:r w:rsidRPr="00781112">
        <w:rPr>
          <w:rFonts w:cs="Arial"/>
          <w:color w:val="000000" w:themeColor="text1"/>
          <w:szCs w:val="16"/>
        </w:rPr>
        <w:br/>
        <w:t>Tier 4 monitoring procedures were implemented for any LEAs that demonstrated difficulty in the timely correction of noncompliance.</w:t>
      </w:r>
      <w:r w:rsidRPr="00781112">
        <w:rPr>
          <w:rFonts w:cs="Arial"/>
          <w:color w:val="000000" w:themeColor="text1"/>
          <w:szCs w:val="16"/>
        </w:rPr>
        <w:br/>
      </w:r>
      <w:r w:rsidRPr="00781112">
        <w:rPr>
          <w:rFonts w:cs="Arial"/>
          <w:color w:val="000000" w:themeColor="text1"/>
          <w:szCs w:val="16"/>
        </w:rPr>
        <w:br/>
        <w:t xml:space="preserve">Using all four tiers of monitoring, the DSESS ensured timely identification and correction of noncompliance and fostered a “continuous improvement monitoring process." </w:t>
      </w:r>
      <w:r w:rsidRPr="00781112">
        <w:rPr>
          <w:rFonts w:cs="Arial"/>
          <w:color w:val="000000" w:themeColor="text1"/>
          <w:szCs w:val="16"/>
        </w:rPr>
        <w:br/>
      </w:r>
      <w:r w:rsidRPr="00781112">
        <w:rPr>
          <w:rFonts w:cs="Arial"/>
          <w:color w:val="000000" w:themeColor="text1"/>
          <w:szCs w:val="16"/>
        </w:rPr>
        <w:br/>
        <w:t xml:space="preserve">Example of Monitoring Process - </w:t>
      </w:r>
      <w:r w:rsidRPr="00781112">
        <w:rPr>
          <w:rFonts w:cs="Arial"/>
          <w:color w:val="000000" w:themeColor="text1"/>
          <w:szCs w:val="16"/>
        </w:rPr>
        <w:br/>
        <w:t xml:space="preserve">In Tier 1 for Child Find, the GaDOE provided all LEAs with monitoring and analysis tools, such as spreadsheets with calculations of the 60-day timeline. LEAs who used Georgia Online IEP (GO-IEP, the voluntary State IEP program), had timelines automatically calculated in alignment with their local calendars. Tier 2 supports were provided for LEAs that did not meet the 100% target for completion of initial evaluations in the 60-day timeline. Those LEAs were required to submit an update regarding their review of policies, procedures, and practices to support correction of the non-compliance, a list of students reported late along with the rationale for the delay, and any other relevant supporting information. </w:t>
      </w:r>
      <w:r w:rsidRPr="00781112">
        <w:rPr>
          <w:rFonts w:cs="Arial"/>
          <w:color w:val="000000" w:themeColor="text1"/>
          <w:szCs w:val="16"/>
        </w:rPr>
        <w:br/>
      </w:r>
      <w:r w:rsidRPr="00781112">
        <w:rPr>
          <w:rFonts w:cs="Arial"/>
          <w:color w:val="000000" w:themeColor="text1"/>
          <w:szCs w:val="16"/>
        </w:rPr>
        <w:br/>
        <w:t>Examples of Monitoring Activities for all SPP/APR indicators -</w:t>
      </w:r>
      <w:r w:rsidRPr="00781112">
        <w:rPr>
          <w:rFonts w:cs="Arial"/>
          <w:color w:val="000000" w:themeColor="text1"/>
          <w:szCs w:val="16"/>
        </w:rPr>
        <w:br/>
        <w:t>Cross Functional Monitoring (CFM) - The DSESS conducted reviews to evaluate due process procedural compliance for LEAs. The DSESS reviewed records from all LEAs in the CFM process which included IEPs, eligibility reports, and transition plans. LEAs are monitored in the CFM process on a four-year cycle. Some LEAs may be monitored more frequently if deemed High Risk. Risk assessment is completed to determine if an LEA falls into the high-risk category. High-risk LEAs are defined as:</w:t>
      </w:r>
      <w:r w:rsidRPr="00781112">
        <w:rPr>
          <w:rFonts w:cs="Arial"/>
          <w:color w:val="000000" w:themeColor="text1"/>
          <w:szCs w:val="16"/>
        </w:rPr>
        <w:br/>
        <w:t>• showing evidence of serious or chronic compliance problems</w:t>
      </w:r>
      <w:r w:rsidRPr="00781112">
        <w:rPr>
          <w:rFonts w:cs="Arial"/>
          <w:color w:val="000000" w:themeColor="text1"/>
          <w:szCs w:val="16"/>
        </w:rPr>
        <w:br/>
        <w:t>• having previous financial monitoring/audit findings</w:t>
      </w:r>
      <w:r w:rsidRPr="00781112">
        <w:rPr>
          <w:rFonts w:cs="Arial"/>
          <w:color w:val="000000" w:themeColor="text1"/>
          <w:szCs w:val="16"/>
        </w:rPr>
        <w:br/>
        <w:t>• having a high number of complaints from parents and other stakeholders about program implementation.</w:t>
      </w:r>
      <w:r w:rsidRPr="00781112">
        <w:rPr>
          <w:rFonts w:cs="Arial"/>
          <w:color w:val="000000" w:themeColor="text1"/>
          <w:szCs w:val="16"/>
        </w:rPr>
        <w:br/>
      </w:r>
      <w:r w:rsidRPr="00781112">
        <w:rPr>
          <w:rFonts w:cs="Arial"/>
          <w:color w:val="000000" w:themeColor="text1"/>
          <w:szCs w:val="16"/>
        </w:rPr>
        <w:br/>
        <w:t xml:space="preserve">Fiscal Monitoring - Monitoring of federal programs is conducted to ensure that all children have a fair and equal educational opportunity. CFM emphasizes accountability for using federal resources wisely and supports LEAs in effective program implementation using federal allocations. The Uniform Grant’s Guidance, along with other pertinent federal regulations, guides the fiscal monitoring process of CFM. </w:t>
      </w:r>
      <w:r w:rsidRPr="00781112">
        <w:rPr>
          <w:rFonts w:cs="Arial"/>
          <w:color w:val="000000" w:themeColor="text1"/>
          <w:szCs w:val="16"/>
        </w:rPr>
        <w:br/>
      </w:r>
      <w:r w:rsidRPr="00781112">
        <w:rPr>
          <w:rFonts w:cs="Arial"/>
          <w:color w:val="000000" w:themeColor="text1"/>
          <w:szCs w:val="16"/>
        </w:rPr>
        <w:br/>
        <w:t>Data Verifications and Audits - DSESS selected a sampling of LEAs to provide data verification based on certain risk factors. In these instances, the LEAs provided appropriate documentation to support valid and accurate data reporting practices. This level of verification impacted a target group of LEAs.</w:t>
      </w:r>
      <w:r w:rsidRPr="00781112">
        <w:rPr>
          <w:rFonts w:cs="Arial"/>
          <w:color w:val="000000" w:themeColor="text1"/>
          <w:szCs w:val="16"/>
        </w:rPr>
        <w:br/>
      </w:r>
      <w:r w:rsidRPr="00781112">
        <w:rPr>
          <w:rFonts w:cs="Arial"/>
          <w:color w:val="000000" w:themeColor="text1"/>
          <w:szCs w:val="16"/>
        </w:rPr>
        <w:br/>
        <w:t>Dispute Resolution - The DSESS provided desk audits to resolve issues of noncompliance as a part of the implementation of the dispute resolution processes. These data and documentation were used to support identification and/or correction of noncompliance for LEAs identified through a complaint investigation or a due process hearing.</w:t>
      </w:r>
      <w:r w:rsidRPr="00781112">
        <w:rPr>
          <w:rFonts w:cs="Arial"/>
          <w:color w:val="000000" w:themeColor="text1"/>
          <w:szCs w:val="16"/>
        </w:rPr>
        <w:br/>
      </w:r>
      <w:r w:rsidRPr="00781112">
        <w:rPr>
          <w:rFonts w:cs="Arial"/>
          <w:color w:val="000000" w:themeColor="text1"/>
          <w:szCs w:val="16"/>
        </w:rPr>
        <w:br/>
        <w:t>Disproportionality Compliance Review - The DSESS required all LEAs if identified as having some type of disproportionality determination to complete the Compliance Review. The DSESS reviewed these data and other pertinent documentation to determine compliance.</w:t>
      </w:r>
      <w:r w:rsidRPr="00781112">
        <w:rPr>
          <w:rFonts w:cs="Arial"/>
          <w:color w:val="000000" w:themeColor="text1"/>
          <w:szCs w:val="16"/>
        </w:rPr>
        <w:br/>
        <w:t xml:space="preserve"> </w:t>
      </w:r>
      <w:r w:rsidRPr="00781112">
        <w:rPr>
          <w:rFonts w:cs="Arial"/>
          <w:color w:val="000000" w:themeColor="text1"/>
          <w:szCs w:val="16"/>
        </w:rPr>
        <w:br/>
        <w:t>Timeline Reviews - Timeline summary reports are submitted as a part of the required publicly reported data to the DSESS. Each LEA submits a summary of its performance in meeting requirements for timely completion of evaluation/eligibility for initial referrals to special education, and timely transition of young children from Babies Can’t Wait (Part C) to Special Education (Part B). These data for the fiscal year (July 1 – June 30) are reported by September 30 each year, previously reported July 30 each year.</w:t>
      </w:r>
      <w:r w:rsidRPr="00781112">
        <w:rPr>
          <w:rFonts w:cs="Arial"/>
          <w:color w:val="000000" w:themeColor="text1"/>
          <w:szCs w:val="16"/>
        </w:rPr>
        <w:br/>
      </w:r>
      <w:r w:rsidRPr="00781112">
        <w:rPr>
          <w:rFonts w:cs="Arial"/>
          <w:color w:val="000000" w:themeColor="text1"/>
          <w:szCs w:val="16"/>
        </w:rPr>
        <w:br/>
        <w:t>The following link provides additional information regarding Georgia’s General Supervision processes:</w:t>
      </w:r>
      <w:r w:rsidRPr="00781112">
        <w:rPr>
          <w:rFonts w:cs="Arial"/>
          <w:color w:val="000000" w:themeColor="text1"/>
          <w:szCs w:val="16"/>
        </w:rPr>
        <w:br/>
        <w:t>https://www.gadoe.org/Curriculum-Instruction-and-Assessment/Special-Education-Services/Pages/Georgia%27s-Continuous-Improvement-Monitoring-Process-%28GCIMP%29.aspx.</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lastRenderedPageBreak/>
        <w:t>Targeted Technical Assistance (TTA) includes focused levels of support, such as the GaDOE directing root cause analysis and monitoring of Corrective Action Plan (CAP) development and correction. TTA may also include assistance with data analysis, improvement planning, identification of promising practices, training in identified needs, and other requests for resources that would facilitate program change. Successful TTA requires an ongoing negotiated and collaborative relationship. TTA leads to a purposeful, planned series of activities that result in changes to policy, program, or operations that support increased capacity at the state, LEA, and school levels. To achieve these outcomes, the collaboration often includes the Georgia Learning Resources System (GLRS), Regional Education Service Agencies (RESA), local colleges and universities, and national partners to provide additional technical assistance to LEAs.</w:t>
      </w:r>
      <w:r w:rsidRPr="00781112">
        <w:rPr>
          <w:rFonts w:cs="Arial"/>
          <w:color w:val="000000" w:themeColor="text1"/>
          <w:szCs w:val="16"/>
        </w:rPr>
        <w:br/>
      </w:r>
      <w:r w:rsidRPr="00781112">
        <w:rPr>
          <w:rFonts w:cs="Arial"/>
          <w:color w:val="000000" w:themeColor="text1"/>
          <w:szCs w:val="16"/>
        </w:rPr>
        <w:br/>
        <w:t xml:space="preserve">TTA opportunities can be both voluntary and prescribed. For example, LEAs that are determined Significantly Disproportionate must participate in Comprehensive Coordinated Early Intervening Services, but systems may voluntarily participate in Disproportionality TTA and reserve 15% of IDEA funds to address overrepresentation difficulties that do not meet the threshold for Disproportionality determination. </w:t>
      </w:r>
      <w:r w:rsidRPr="00781112">
        <w:rPr>
          <w:rFonts w:cs="Arial"/>
          <w:color w:val="000000" w:themeColor="text1"/>
          <w:szCs w:val="16"/>
        </w:rPr>
        <w:br/>
      </w:r>
      <w:r w:rsidRPr="00781112">
        <w:rPr>
          <w:rFonts w:cs="Arial"/>
          <w:color w:val="000000" w:themeColor="text1"/>
          <w:szCs w:val="16"/>
        </w:rPr>
        <w:br/>
        <w:t>During FFY20, monthly Technical Assistance (TA) was provided to all LEAs through Monthly Special Education Directors Webinars which can be accessed at https://www.gadoe.org/Curriculum-Instruction-and-Assessment/Special-Education-Services/Pages/Directors%27-Webinars.aspx. The webinars provided timely information regarding topics such as Assistive Technology, English Learners and Students with Disabilities, IEP Development, and Extended School Year Services.</w:t>
      </w:r>
      <w:r w:rsidRPr="00781112">
        <w:rPr>
          <w:rFonts w:cs="Arial"/>
          <w:color w:val="000000" w:themeColor="text1"/>
          <w:szCs w:val="16"/>
        </w:rPr>
        <w:br/>
      </w:r>
      <w:r w:rsidRPr="00781112">
        <w:rPr>
          <w:rFonts w:cs="Arial"/>
          <w:color w:val="000000" w:themeColor="text1"/>
          <w:szCs w:val="16"/>
        </w:rPr>
        <w:br/>
        <w:t xml:space="preserve">Georgia also provided LEAs an IDEA Implementation Manual which is periodically updated at https://www.gadoe.org/Curriculum-Instruction-and-Assessment/Special-Education-Services/Pages/Implementation-Manual.asp. The manual serves as a practical guide for implementing the Individuals with Disabilities Education Improvement Act of 2004 (IDEA) and its regulations. The purpose of this manual is to provide practical ideas and best practice information on the implementation of the Georgia Special Education State Rules for administrators, principals, regular education teachers, special education teachers, related services providers, parents, and students with disabilities. When the manual was initiated, technical assistance was conducted in several sessions and was made available to all of Georgia’s LEA-level personnel. Georgia has also invested a great deal of effort and resources into a tiered system of supports which can be accessed at Georgia's Tiered System of Supports for Students https://www.gadoe.org/Curriculum-Instruction-and-Assessment/Special-Education-Services/Pages/TieredSystemofSupports.aspx  to provide support for all LEAs and students. </w:t>
      </w:r>
      <w:r w:rsidRPr="00781112">
        <w:rPr>
          <w:rFonts w:cs="Arial"/>
          <w:color w:val="000000" w:themeColor="text1"/>
          <w:szCs w:val="16"/>
        </w:rPr>
        <w:br/>
      </w:r>
      <w:r w:rsidRPr="00781112">
        <w:rPr>
          <w:rFonts w:cs="Arial"/>
          <w:color w:val="000000" w:themeColor="text1"/>
          <w:szCs w:val="16"/>
        </w:rPr>
        <w:br/>
        <w:t xml:space="preserve">The Collaborative Communities approach is another technical assistance model in which stakeholders are engaged in solving critical problems and supporting each other in their efforts. The Collaborative Communities are regularly scheduled (typically monthly) regional technical assistance meetings that all Georgia’s LEAs may attend. Participants share common roles, responsibilities, and/or desired outcomes. They deepen their knowledge and expertise by sharing information, materials, and resources. These groups utilize focused action and shared leadership to work together to accomplish common goals. </w:t>
      </w:r>
      <w:r w:rsidRPr="00781112">
        <w:rPr>
          <w:rFonts w:cs="Arial"/>
          <w:color w:val="000000" w:themeColor="text1"/>
          <w:szCs w:val="16"/>
        </w:rPr>
        <w:br/>
      </w:r>
      <w:r w:rsidRPr="00781112">
        <w:rPr>
          <w:rFonts w:cs="Arial"/>
          <w:color w:val="000000" w:themeColor="text1"/>
          <w:szCs w:val="16"/>
        </w:rPr>
        <w:br/>
        <w:t>Georgia has continued to strengthen its relationship with National Technical Assistance Centers including the IDEA Data Center (IDC), the Center for IDEA Early Childhood Data Systems (DaSy), National Center for Educational Outcome (NCEO), and the National Center for Systematic Improvement (NCSI). Tools and resources available from IDC are used to assist in data analysis. Georgia has also collaborated with the National Technical Assistance Center on Transition: the Collaborative (NTACT-C) to address the challenges of dropout prevention, improving graduation rates, and strengthening transition planning services.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Professional Development (PD) is a constantly improving process in Georgia. PD ranges from a basic level of providing general information to a more targeted and intensive level of learning, which is job-embedded and data-driven with a focus on student achievement and school improvement. Research suggests that to build capacity, a framework that includes understanding the stages of the change process must be used. The stages of change are Exploration, Installation, Initial Implementation, Full Implementation, and Sustainability and Innovation. These stages of change require that an LEA commits to a multi-year process of improvement. Georgia is committed to providing all LEAs with ongoing support for instruction, data, and learning resources.</w:t>
      </w:r>
      <w:r w:rsidRPr="00781112">
        <w:rPr>
          <w:rFonts w:cs="Arial"/>
          <w:color w:val="000000" w:themeColor="text1"/>
          <w:szCs w:val="16"/>
        </w:rPr>
        <w:br/>
      </w:r>
      <w:r w:rsidRPr="00781112">
        <w:rPr>
          <w:rFonts w:cs="Arial"/>
          <w:color w:val="000000" w:themeColor="text1"/>
          <w:szCs w:val="16"/>
        </w:rPr>
        <w:br/>
        <w:t>Georgia’s State Longitudinal Data System (SLDS) houses longitudinal information on student attendance, assessment information, and grades. SLDS also contains the Georgia Learns PD Hub, which has greatly enhanced virtual learning opportunities for LEA district and school-level personnel. There are multiple modules on the platform that provide information about effectively writing IEPs and using the GO-IEP program. There are also numerous instructional provision presentations available on the platform.</w:t>
      </w:r>
      <w:r w:rsidRPr="00781112">
        <w:rPr>
          <w:rFonts w:cs="Arial"/>
          <w:color w:val="000000" w:themeColor="text1"/>
          <w:szCs w:val="16"/>
        </w:rPr>
        <w:br/>
      </w:r>
      <w:r w:rsidRPr="00781112">
        <w:rPr>
          <w:rFonts w:cs="Arial"/>
          <w:color w:val="000000" w:themeColor="text1"/>
          <w:szCs w:val="16"/>
        </w:rPr>
        <w:br/>
        <w:t xml:space="preserve">The Division of Special Education Services and Supports (DSESS) collaborated with many partners at the national, regional, state, and local levels to provide timely and accurate information about available professional development in special education. These collaborations often include the National Technical Assistance Centers, the Regional Education Service Agencies (RESA), Georgia Learning Resource System (GLRS), Special Education Leadership Development Academy (SELDA), Collaboration for Effective Educator Development, Accountability, and Reform (CEEDAR), and local colleges and universities. The Division’s professional development incorporates many factors, including the model and delivery method (job-related or job-embedded) that will be followed and the type of training. In addition, professional development is generally self-directed, based on previous experience, relevant to the needs, and applicable to the specific situation. It is based on data that answers the question “who needs to know what” at the LEA, administrative, school, or specialist level. The various delivery models for professional development include webinars, training module series, videos, and face-to-face conferencing. Some examples of these can be found at: </w:t>
      </w:r>
      <w:r w:rsidRPr="00781112">
        <w:rPr>
          <w:rFonts w:cs="Arial"/>
          <w:color w:val="000000" w:themeColor="text1"/>
          <w:szCs w:val="16"/>
        </w:rPr>
        <w:br/>
      </w:r>
      <w:r w:rsidRPr="00781112">
        <w:rPr>
          <w:rFonts w:cs="Arial"/>
          <w:color w:val="000000" w:themeColor="text1"/>
          <w:szCs w:val="16"/>
        </w:rPr>
        <w:br/>
        <w:t xml:space="preserve">1) Georgiastandards.org Resources and Videos: https://www.georgiastandards.org/Resources/Pages/default.aspx  </w:t>
      </w:r>
      <w:r w:rsidRPr="00781112">
        <w:rPr>
          <w:rFonts w:cs="Arial"/>
          <w:color w:val="000000" w:themeColor="text1"/>
          <w:szCs w:val="16"/>
        </w:rPr>
        <w:br/>
        <w:t xml:space="preserve">2) State Personnel Development Grant (SPDG) Professional Development Videos: http://www.gadoe.org/Curriculum-Instruction-and-Assessment/Special-Education-Services/Pages/State-Personnel-Development-Grant.aspx  </w:t>
      </w:r>
      <w:r w:rsidRPr="00781112">
        <w:rPr>
          <w:rFonts w:cs="Arial"/>
          <w:color w:val="000000" w:themeColor="text1"/>
          <w:szCs w:val="16"/>
        </w:rPr>
        <w:br/>
        <w:t xml:space="preserve">3) GaDOE Special Education Professional Learning Resources: https://www.gadoe.org/Curriculum-Instruction-and-Assessment/Special-Education-Services/Pages/Professional-Learning-Resources-.aspx </w:t>
      </w:r>
      <w:r w:rsidRPr="00781112">
        <w:rPr>
          <w:rFonts w:cs="Arial"/>
          <w:color w:val="000000" w:themeColor="text1"/>
          <w:szCs w:val="16"/>
        </w:rPr>
        <w:br/>
        <w:t>• Specially Designed Instruction: https://www.gadoe.org/Curriculum-Instruction-and-Assessment/Special-Education-Services/Pages/Specially-Designed-Instruction-(SDI).aspx</w:t>
      </w:r>
      <w:r w:rsidRPr="00781112">
        <w:rPr>
          <w:rFonts w:cs="Arial"/>
          <w:color w:val="000000" w:themeColor="text1"/>
          <w:szCs w:val="16"/>
        </w:rPr>
        <w:br/>
        <w:t>• Georgia Teacher/Provider Retention Program: https://www.gadoe.org/Curriculum-Instruction-and-Assessment/Special-Education-Services/Pages/Ga-Teacher-Provider-Retention-Grant.aspx</w:t>
      </w:r>
      <w:r w:rsidRPr="00781112">
        <w:rPr>
          <w:rFonts w:cs="Arial"/>
          <w:color w:val="000000" w:themeColor="text1"/>
          <w:szCs w:val="16"/>
        </w:rPr>
        <w:br/>
        <w:t>•</w:t>
      </w:r>
      <w:r w:rsidRPr="00781112">
        <w:rPr>
          <w:rFonts w:cs="Arial"/>
          <w:color w:val="000000" w:themeColor="text1"/>
          <w:szCs w:val="16"/>
        </w:rPr>
        <w:tab/>
        <w:t xml:space="preserve">High-Leverage Practices: https://www.gadoe.org/Curriculum-Instruction-and-Assessment/Special-Education-Services/Pages/HighLeveragePracticesSpEd.aspx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lastRenderedPageBreak/>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 xml:space="preserve">SAP stakeholders were given the opportunity to provide feedback on the State's performance on the SPP/APR Indicators and the development of targets for the 2020-2025 package on May 6, 2021, September 2, 2021, October 29, 2021, December 3, 2021, and January 13, 2022. Beginning on May 6, 2021, the SAP was provided with a comprehensive overview presentation of the new SPP/APR 2020-2025 package and Indicators through a cohesive Indicators Cluster Group Framework developed by the Georgia Part B Data Managers. In the framework, SPP/APR Indicators were grouped together based upon similar objectives and intended outcomes for students. For example, Group A: High School and Life Outcomes Group included Indicators 1 (Graduation), 2 (Dropout), 13 (Secondary Transition), and 14 (Post School Outcomes). The presentation informed the SAP of the differences, if applicable, in measurement for Indicators in the new SPP/APR package. SAP viewed projected and historical data for the Indicators of the SPP/APR FFY 2020. If a new calculation and/or data group was used for an Indicator, such as Indicator 1 (Graduation), historical data was converted to allow for a comparable analysis of current and historical data. SAP was also provided with resources and links to access the information and the opportunity to ask questions. At the conclusion of the meeting, SAP members were provided with an opportunity to join a specific work group (shown below) for SPP/APR development. </w:t>
      </w:r>
      <w:r w:rsidRPr="00781112">
        <w:rPr>
          <w:rFonts w:cs="Arial"/>
          <w:color w:val="000000" w:themeColor="text1"/>
          <w:szCs w:val="16"/>
        </w:rPr>
        <w:br/>
        <w:t xml:space="preserve">The Indicators of the SPP/APR were divided into the following groups to enable focused work and greater opportunity for stakeholder feedback: </w:t>
      </w:r>
      <w:r w:rsidRPr="00781112">
        <w:rPr>
          <w:rFonts w:cs="Arial"/>
          <w:color w:val="000000" w:themeColor="text1"/>
          <w:szCs w:val="16"/>
        </w:rPr>
        <w:br/>
        <w:t>• Group A: High School and Life Outcomes (Indicators 1, 2, 13, 14 and 17)</w:t>
      </w:r>
      <w:r w:rsidRPr="00781112">
        <w:rPr>
          <w:rFonts w:cs="Arial"/>
          <w:color w:val="000000" w:themeColor="text1"/>
          <w:szCs w:val="16"/>
        </w:rPr>
        <w:br/>
        <w:t>• Group B: Disproportionality (Indicators 4, 9, and 10)</w:t>
      </w:r>
      <w:r w:rsidRPr="00781112">
        <w:rPr>
          <w:rFonts w:cs="Arial"/>
          <w:color w:val="000000" w:themeColor="text1"/>
          <w:szCs w:val="16"/>
        </w:rPr>
        <w:br/>
        <w:t>• Group C: Environments and Timelines (Indicators 5, 6, 11, and 12)</w:t>
      </w:r>
      <w:r w:rsidRPr="00781112">
        <w:rPr>
          <w:rFonts w:cs="Arial"/>
          <w:color w:val="000000" w:themeColor="text1"/>
          <w:szCs w:val="16"/>
        </w:rPr>
        <w:br/>
        <w:t xml:space="preserve">• Group D: Preschool, Parent Involvement, and Legal (Indicators 7, 8,15, and 16) </w:t>
      </w:r>
      <w:r w:rsidRPr="00781112">
        <w:rPr>
          <w:rFonts w:cs="Arial"/>
          <w:color w:val="000000" w:themeColor="text1"/>
          <w:szCs w:val="16"/>
        </w:rPr>
        <w:br/>
        <w:t xml:space="preserve">• Group E: Assessment (Indicator 3). </w:t>
      </w:r>
      <w:r w:rsidRPr="00781112">
        <w:rPr>
          <w:rFonts w:cs="Arial"/>
          <w:color w:val="000000" w:themeColor="text1"/>
          <w:szCs w:val="16"/>
        </w:rPr>
        <w:br/>
        <w:t>On September 2, 2021, all SAP members worked in one of the five groups based upon self-selection. There was parent representation in each group. The small group sessions were facilitated by DSESS staff using a standardized format. Each facilitator was provided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group provided specific documented feedback on possible targets and lingering questions based on an analysis of the data. Follow-up sessions were conducted October 29, 2021, December 3, 2021, and January 13, 2022.</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9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4, 2021 and ended November 1, 2021. Registration records for these opportunities indicated that 1,473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November 1, 2021 LEA SPP/APR stakeholder session, feedback from all meetings, email, and questions was formatted into an online survey titled SPP/APR State Performance Plan Feedback Survey 2020-2025 posted at https://www.gadoe.org/Curriculum-Instruction-and-Assessment/Special-Education-Services/Pages/State-Performance-Plan-(SPP),-Annual-Performance-Reports-(APR)-and-Annual-Determinations.aspx.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The SPP/APR Survey was publicly posted to allow for even broader participation. Following the collection of the survey, the results were used to set targets which were publicly posted for comment at the website above on December 7, 2021, except for Indicator 3. Indicator 3 assessment results and targets were made available following the January 13, 2022 SAP meeting. Assessment results were not broadly </w:t>
      </w:r>
      <w:r w:rsidRPr="00781112">
        <w:rPr>
          <w:rFonts w:cs="Arial"/>
          <w:color w:val="000000" w:themeColor="text1"/>
          <w:szCs w:val="16"/>
        </w:rPr>
        <w:lastRenderedPageBreak/>
        <w:t xml:space="preserve">available in Georgia until after December 15, 2021, and the January SAP meeting was the first opportunity to receive stakeholder feedback on the Indicator 3 (Assessment) baselines and targets.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338</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Beginning with the SAP meeting on May 6, 2021, Georgia shared a cohesive framework for SPP/APR indicators designed to foster greater involvement in stakeholder engagement, including parent engagement, in the areas of target setting, data analysis, improvement strategies, and evaluating progress. In the framework, the Indicators of the SPP/APR were divided into the following clusters to enable focused work and greater opportunity for stakeholder feedback: Group A: High School and Life Outcomes (Indicators 1, 2, 13, and 14), Group B: Disproportionality (Indicators 4, 9, and 10), Group C: Environments and Timelines (Indicators 5, 6, 11, and 12), Group D: Preschool, Parent Involvement, and Legal, and Group E: Assessment (Indicator 3). The SAP had 37 parent members and they were provided with an opportunity to participate in a work group session on September 2, 2021. On September 2, 2021, each SAP member, including parent members, participated in one of the cluster groups. The small group sessions were facilitated by DSESS staff using a standardized presentation format. Prior to facilitating the cluster group, each DSESS facilitator participated in a training session on August 5, 2021, and led a DSESS cluster group on August 11, 2021. All DSESS staff selected a cluster group for the August 11, 2021 session based upon job role and interest. The process and intent in the August 11, 2021 session was the same as that described below for the September 2, 2021 SAP meeting.</w:t>
      </w:r>
      <w:r w:rsidRPr="00781112">
        <w:rPr>
          <w:color w:val="000000" w:themeColor="text1"/>
          <w:szCs w:val="16"/>
        </w:rPr>
        <w:br/>
      </w:r>
      <w:r w:rsidRPr="00781112">
        <w:rPr>
          <w:color w:val="000000" w:themeColor="text1"/>
          <w:szCs w:val="16"/>
        </w:rPr>
        <w:br/>
        <w:t>For the September 2, 2021 meeting, each DSESS facilitator was provided with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SAP group provided specific documented feedback on possible targets and lingering questions based on an analysis of the data. The goals for September 2, 2021 cluster work group session were: 1) to review a process for SPP/APR development using cluster groups, 2) evaluate trend data for the specific cluster work group, 3) examine processes for setting targets (i.e., percentage increase per year, averaging, statistical methods, etc.), 4) examine stakeholder requirements (i.e., degree of parent involvement required, encouraging diverse and broad input), and 5) review the plan and mechanism for feedback collection and finalizing targets. For goal 1, facilitators shared a graphic with all SPP/APR Indicators grouped into one of the five clusters (i.e., Group A. High School and Life Outcomes - Indicators 1, 2, 13, and 14) to provide a cohesive framework to view the development of the SPP/APR for 2020-2025. The second goal was met by sharing the specific current and longitudinal data for a minimum of 3 years for each Indicator. Longitudinal data for Indicators with new calculations or groups was converted from prior representations using the application of the new calculation and/or groupings. For goal 3, participants were shown a variety of methods for calculating targets (i.e., start with the end goal) and provided with examples. The purpose was to increase knowledge and ownership of the process of target setting with stakeholders. The fourth goal was facilitated by providing specific descriptions of stakeholder feedback requirements from the SPP/APR 2020-2025 Measurement Table. Finally, for goal 5, participants reviewed Georgia’s methods and timeline for soliciting input on targets to a wide ranging and diverse group of participants including virtual presentations and feedback sessions, an online survey, and posting of proposed targets for public feedback. On October 29, 2021, December 3, 2021, and January 13, 2022. SAP members were provided with additional follow-up opportunities to provide specific feedback on data, targets, improvement strategies and progress. SAP members also had the opportunity to participate in the online SPP/APR State Performance Plan Feedback Survey 2020-2025 posted at https://www.gadoe.org/Curriculum-Instruction-and-Assessment/Special-Education-Services/Pages/State-Performance-Plan-(SPP),-Annual-Performance-Reports-(APR)-and-Annual-Determinations.aspx.</w:t>
      </w:r>
      <w:r w:rsidRPr="00781112">
        <w:rPr>
          <w:color w:val="000000" w:themeColor="text1"/>
          <w:szCs w:val="16"/>
        </w:rPr>
        <w:br/>
      </w:r>
      <w:r w:rsidRPr="00781112">
        <w:rPr>
          <w:color w:val="000000" w:themeColor="text1"/>
          <w:szCs w:val="16"/>
        </w:rPr>
        <w:br/>
        <w:t xml:space="preserve">Parents in the Georgia Parent Mentor Partnership (PMP) group were provided with the opportunity to participate in a feedback session using the Indicators Cluster Group Framework offered on multiple dates (August 30, 2021, October 26, 2021, and October 27, 2021). These sessions were conducted by the Part B Data Manager and had an emphasis on Indicators 1 and 2 as these Indicators were the most dramatically changed in the new SPP/APR package. Anne Ladd, Family Engagement Specialist for the Georgia Department of Education in DSESS, assisted in facilitating and advertising these sessions. The PMP is a Georgia initiative providing funding for LEAs to employ a parent mentor to support the parents of students with disabilities within the LEA. Parent mentors must have a child with a disability to be employed as mentors. Parent mentors also invited other parents, general and special education teachers, and general and special education leaders in their LEAs to participate in virtual feedback meetings on one of the dates provided. </w:t>
      </w:r>
      <w:r w:rsidRPr="00781112">
        <w:rPr>
          <w:color w:val="000000" w:themeColor="text1"/>
          <w:szCs w:val="16"/>
        </w:rPr>
        <w:br/>
      </w:r>
      <w:r w:rsidRPr="00781112">
        <w:rPr>
          <w:color w:val="000000" w:themeColor="text1"/>
          <w:szCs w:val="16"/>
        </w:rPr>
        <w:br/>
        <w:t xml:space="preserve">All of the sessions provided the opportunity for parents to ask questions, make comments about data, suggest possible targets, discuss instructional interventions, and evaluate the longitudinal progress of students. Parents, particularly SAP members, provided numerous suggestions regarding the targets which were all thoughtfully considered. Parent input was valued, and proposed targets were revised based upon the input. For example, when the data and proposed targets for Indicator 3 were provided to the SAP on January 13, 2022 in the morning, the targets were not deemed as appropriately ambitious. As a result, a second input session at the direction of Wina Low, Interim Georgia State Director of Special Education of Special Education, was conducted on January 13, 2022   in the afternoon, and target choices were revised as a result of the discussion.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There were 20 virtual meeting opportunities to provide feedback on the SPP/APR and initiatives associated with improving outcomes for students. In addition, SAP meetings provided information about specially designed instruction, Georgia’s dyslexia initiative, addressing disproportionality, and SSIP initiatives to combat dropping out of school. All presentations provided SAP members with resources for additional information on the implementation of these instructional initiatives as well as the progress of their implementation. Presentations to SAP also provided details of the monitoring of initiatives that were designed to improve student outcomes. All presentations regarding the SPP/APR clearly defined its Indicators, timeframe, and measurement to enhance stakeholder capacity to provide advisement. Parents also had the opportunity to participate in the online SPP/APR State Performance Plan Feedback Survey 2020-2025 publicly posted at https://www.gadoe.org/Curriculum-Instruction-and-Assessment/Special-Education-Services/Pages/State-Performance-Plan-(SPP),-Annual-Performance-Reports-(APR)-and-Annual-Determinations.aspx. A companion document, Target Setting for the SPP/APR, was also provided at the same url to enable informed survey participation. The document provided longitudinal data and information on each Results Indicator in the survey.</w:t>
      </w:r>
      <w:r w:rsidRPr="00781112">
        <w:rPr>
          <w:color w:val="000000" w:themeColor="text1"/>
          <w:szCs w:val="16"/>
        </w:rPr>
        <w:br/>
        <w:t xml:space="preserve">COVID concerns prohibited in person meetings for the development of the SPP/APR 2020-2025. Prior to COVID, SAP meetings were conducted in person. Stakeholder feedback opportunities were greatly expanded in 2020-2021 with the increased use of virtual meeting options.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lastRenderedPageBreak/>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SPP/APR information including proposed targets, SPP/APR Survey, and recorded presentations were publicly posted at https://www.gadoe.org/Curriculum-Instruction-and-Assessment/Special-Education-Services/Pages/State-Performance-Plan-(SPP),-Annual-Performance-Reports-(APR)-and-Annual-Determinations.aspx. Presentations on the website provided a description of the SPP/APR, Indicator data, APR progress, and initiatives used to improve outcomes. Each presentation had an online feedback survey addressing specific Indicators. The SPP/APR Survey for the FFY 2020-2025 SPP/APR was available in November 2021 for public participation. A companion document titled Target Setting for the SPP/APR was posted with the survey to enable a review of all longitudinal data to inform participation. The proposed targets were posted for public comments beginning December 7, 2021.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document, Target Setting for the SPP/APR, posted in November 2021 on the SPP/APR website (see https://www.gadoe.org/Curriculum-Instruction-and-Assessment/Special-Education-Services/Pages/State-Performance-Plan-(SPP),-Annual-Performance-Reports-(APR)-and-Annual-Determinations.aspx) contained data analysis for public review and enabled an evaluation of longitudinal information. Georgia updates information regarding the SPP/APR at this location. The SPP/APR State Performance Plan Feedback Survey was also available at this location for public input.</w:t>
      </w:r>
      <w:r w:rsidRPr="00781112">
        <w:rPr>
          <w:color w:val="000000" w:themeColor="text1"/>
          <w:szCs w:val="16"/>
        </w:rPr>
        <w:br/>
        <w:t xml:space="preserve">    </w:t>
      </w:r>
      <w:r w:rsidRPr="00781112">
        <w:rPr>
          <w:color w:val="000000" w:themeColor="text1"/>
          <w:szCs w:val="16"/>
        </w:rPr>
        <w:br/>
        <w:t>The results of target setting for the SPP/APR 2020-2025 were made available on December 7, 2021, for public comment, with the exception of Indicator 3 data added on January 18, 2022. The SAP website (see https://www.gadoe.org/Curriculum-Instruction-and-Assessment/Special-Education-Services/Pages/State-Advisory-Panel-%28SAP%29.aspx) provides meeting minutes and agendas for each month’s SAP meeting. The minutes outline the improvement strategies and instructional initiatives being implemented in Georgia for students with disabilities. The SPP/APR website will expand the public posting of presentations and documents that provide improvement strategies for students with disabilities.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GaDOE provides data regarding students with disabilities in our state. The Annual Performance Report is posted on the Special Education webpage at the following link: https://www.gadoe.org/Curriculum-Instruction-and-Assessment/Special-Education-Services/Pages/State-Performance-Plan-(SPP),-Annual-Performance-Reports-(APR)-and-Annual-Determinations.aspx. Georgia’s APR is available for the current and previous years. </w:t>
      </w:r>
      <w:r w:rsidRPr="00781112">
        <w:rPr>
          <w:rFonts w:cs="Arial"/>
          <w:color w:val="000000" w:themeColor="text1"/>
          <w:szCs w:val="16"/>
        </w:rPr>
        <w:br/>
        <w:t xml:space="preserve">LEA public Annual Performance Reports are available for public viewing using the following link: https://spedpublic.gadoe.org/Views/Shared/_Layout.html. The user must enter the zip code for the LEA or type the name of the LEA they are interested in viewing. </w:t>
      </w:r>
      <w:r w:rsidRPr="00781112">
        <w:rPr>
          <w:rFonts w:cs="Arial"/>
          <w:color w:val="000000" w:themeColor="text1"/>
          <w:szCs w:val="16"/>
        </w:rPr>
        <w:br/>
      </w:r>
      <w:r w:rsidRPr="00781112">
        <w:rPr>
          <w:rFonts w:cs="Arial"/>
          <w:color w:val="000000" w:themeColor="text1"/>
          <w:szCs w:val="16"/>
        </w:rPr>
        <w:br/>
        <w:t xml:space="preserve">In addition to the Annual Performance Reports, Georgia’s website contains links to SEA, LEA, and School Level Assessment data (suppressed at a cell size of 15). SEA Discipline, Exit, Federal Child Count, Environment, and Personnel data are also posted. The following is a link to these data: http://www.gadoe.org/Curriculum-Instruction-and-Assessment/Special-Education-Services/Pages/Federal-Data-Reports-Sp-Ed.aspx. </w:t>
      </w:r>
      <w:r w:rsidRPr="00781112">
        <w:rPr>
          <w:rFonts w:cs="Arial"/>
          <w:color w:val="000000" w:themeColor="text1"/>
          <w:szCs w:val="16"/>
        </w:rPr>
        <w:br/>
      </w:r>
      <w:r w:rsidRPr="00781112">
        <w:rPr>
          <w:rFonts w:cs="Arial"/>
          <w:color w:val="000000" w:themeColor="text1"/>
          <w:szCs w:val="16"/>
        </w:rPr>
        <w:br/>
        <w:t>Data for Indicators 1 and 2 are not publicly reported by LEAs as lagging data since Georgia has access to this information earlier than required for SPP/APR. For example, the FFY2019 data for Indicators 1 and 2 are reported on Georgia's Annual Performance Report for the 2019-2020 school year.</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091AA4B8" w:rsidR="005E59DB" w:rsidRPr="00781112" w:rsidRDefault="005E59DB" w:rsidP="00B65C2C">
      <w:pPr>
        <w:rPr>
          <w:b/>
          <w:color w:val="000000" w:themeColor="text1"/>
        </w:rPr>
      </w:pPr>
      <w:r w:rsidRPr="00781112">
        <w:rPr>
          <w:b/>
          <w:color w:val="000000" w:themeColor="text1"/>
        </w:rPr>
        <w:t>Historical Data</w:t>
      </w:r>
      <w:r w:rsidR="00A453FB">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73.46%</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54.00%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54.50%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57.60%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57.58%</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62.27%</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54.33%</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56.59%</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56.27%</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61.11%</w:t>
            </w:r>
          </w:p>
        </w:tc>
        <w:tc>
          <w:tcPr>
            <w:tcW w:w="834" w:type="pct"/>
            <w:tcBorders>
              <w:bottom w:val="single" w:sz="4" w:space="0" w:color="auto"/>
            </w:tcBorders>
            <w:shd w:val="clear" w:color="auto" w:fill="auto"/>
            <w:vAlign w:val="center"/>
          </w:tcPr>
          <w:p w14:paraId="3C2AFA14" w14:textId="44E3AB0C" w:rsidR="007F24E2" w:rsidRPr="00781112" w:rsidRDefault="002B7490" w:rsidP="00E0321D">
            <w:pPr>
              <w:jc w:val="center"/>
              <w:rPr>
                <w:rFonts w:cs="Arial"/>
                <w:color w:val="000000" w:themeColor="text1"/>
                <w:szCs w:val="16"/>
              </w:rPr>
            </w:pPr>
            <w:r w:rsidRPr="00781112">
              <w:rPr>
                <w:rFonts w:cs="Arial"/>
                <w:color w:val="000000" w:themeColor="text1"/>
                <w:szCs w:val="16"/>
              </w:rPr>
              <w:t>62.9%</w:t>
            </w:r>
            <w:r w:rsidR="00884284">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73.46%</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74.46%</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75.46%</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76.46%</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77.46%</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78.46%</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r>
      <w:r w:rsidRPr="00781112">
        <w:rPr>
          <w:rFonts w:cs="Arial"/>
          <w:color w:val="000000" w:themeColor="text1"/>
          <w:szCs w:val="16"/>
        </w:rPr>
        <w:lastRenderedPageBreak/>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 xml:space="preserve">SAP stakeholders were given the opportunity to provide feedback on the State's performance on the SPP/APR Indicators and the development of targets for the 2020-2025 package on May 6, 2021, September 2, 2021, October 29, 2021, December 3, 2021, and January 13, 2022. Beginning on May 6, 2021, the SAP was provided with a comprehensive overview presentation of the new SPP/APR 2020-2025 package and Indicators through a cohesive Indicators Cluster Group Framework developed by the Georgia Part B Data Managers. In the framework, SPP/APR Indicators were grouped together based upon similar objectives and intended outcomes for students. For example, Group A: High School and Life Outcomes Group included Indicators 1 (Graduation), 2 (Dropout), 13 (Secondary Transition), and 14 (Post School Outcomes). The presentation informed the SAP of the differences, if applicable, in measurement for Indicators in the new SPP/APR package. SAP viewed projected and historical data for the Indicators of the SPP/APR FFY 2020. If a new calculation and/or data group was used for an Indicator, such as Indicator 1 (Graduation), historical data was converted to allow for a comparable analysis of current and historical data. SAP was also provided with resources and links to access the information and the opportunity to ask questions. At the conclusion of the meeting, SAP members were provided with an opportunity to join a specific work group (shown below) for SPP/APR development. </w:t>
      </w:r>
      <w:r w:rsidRPr="00781112">
        <w:rPr>
          <w:rFonts w:cs="Arial"/>
          <w:color w:val="000000" w:themeColor="text1"/>
          <w:szCs w:val="16"/>
        </w:rPr>
        <w:br/>
        <w:t xml:space="preserve">The Indicators of the SPP/APR were divided into the following groups to enable focused work and greater opportunity for stakeholder feedback: </w:t>
      </w:r>
      <w:r w:rsidRPr="00781112">
        <w:rPr>
          <w:rFonts w:cs="Arial"/>
          <w:color w:val="000000" w:themeColor="text1"/>
          <w:szCs w:val="16"/>
        </w:rPr>
        <w:br/>
        <w:t>• Group A: High School and Life Outcomes (Indicators 1, 2, 13, 14 and 17)</w:t>
      </w:r>
      <w:r w:rsidRPr="00781112">
        <w:rPr>
          <w:rFonts w:cs="Arial"/>
          <w:color w:val="000000" w:themeColor="text1"/>
          <w:szCs w:val="16"/>
        </w:rPr>
        <w:br/>
        <w:t>• Group B: Disproportionality (Indicators 4, 9, and 10)</w:t>
      </w:r>
      <w:r w:rsidRPr="00781112">
        <w:rPr>
          <w:rFonts w:cs="Arial"/>
          <w:color w:val="000000" w:themeColor="text1"/>
          <w:szCs w:val="16"/>
        </w:rPr>
        <w:br/>
        <w:t>• Group C: Environments and Timelines (Indicators 5, 6, 11, and 12)</w:t>
      </w:r>
      <w:r w:rsidRPr="00781112">
        <w:rPr>
          <w:rFonts w:cs="Arial"/>
          <w:color w:val="000000" w:themeColor="text1"/>
          <w:szCs w:val="16"/>
        </w:rPr>
        <w:br/>
        <w:t xml:space="preserve">• Group D: Preschool, Parent Involvement, and Legal (Indicators 7, 8,15, and 16) </w:t>
      </w:r>
      <w:r w:rsidRPr="00781112">
        <w:rPr>
          <w:rFonts w:cs="Arial"/>
          <w:color w:val="000000" w:themeColor="text1"/>
          <w:szCs w:val="16"/>
        </w:rPr>
        <w:br/>
        <w:t xml:space="preserve">• Group E: Assessment (Indicator 3). </w:t>
      </w:r>
      <w:r w:rsidRPr="00781112">
        <w:rPr>
          <w:rFonts w:cs="Arial"/>
          <w:color w:val="000000" w:themeColor="text1"/>
          <w:szCs w:val="16"/>
        </w:rPr>
        <w:br/>
        <w:t>On September 2, 2021, all SAP members worked in one of the five groups based upon self-selection. There was parent representation in each group. The small group sessions were facilitated by DSESS staff using a standardized format. Each facilitator was provided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group provided specific documented feedback on possible targets and lingering questions based on an analysis of the data. Follow-up sessions were conducted October 29, 2021, December 3, 2021, and January 13, 2022.</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9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4, 2021 and ended November 1, 2021. Registration records for these opportunities indicated that 1,473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November 1, 2021 LEA SPP/APR stakeholder session, feedback from all meetings, email, and questions was formatted into an online survey titled SPP/APR State Performance Plan Feedback Survey 2020-2025 posted at https://www.gadoe.org/Curriculum-Instruction-and-Assessment/Special-Education-Services/Pages/State-Performance-Plan-(SPP),-Annual-Performance-Reports-(APR)-and-Annual-Determinations.aspx.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The SPP/APR Survey was publicly posted to allow for even broader participation. Following the collection of the survey, the results were used to set targets which were publicly posted for comment at the website above on December 7, 2021, except for Indicator 3. Indicator 3 assessment results and targets were made available following the January 13, 2022 SAP meeting. Assessment results were not broadly available in Georgia until after December 15, 2021, and the January SAP meeting was the first opportunity to receive stakeholder feedback on the Indicator 3 (Assessment) baselines and targets. </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11,171</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307</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2,600</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11,171</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14,078</w:t>
            </w:r>
          </w:p>
        </w:tc>
        <w:tc>
          <w:tcPr>
            <w:tcW w:w="541" w:type="pct"/>
            <w:shd w:val="clear" w:color="auto" w:fill="auto"/>
          </w:tcPr>
          <w:p w14:paraId="02406DF0" w14:textId="27E6DBDC" w:rsidR="0098478C" w:rsidRPr="00781112" w:rsidRDefault="00884284" w:rsidP="00A018D4">
            <w:pPr>
              <w:jc w:val="center"/>
              <w:rPr>
                <w:rFonts w:cs="Arial"/>
                <w:color w:val="000000" w:themeColor="text1"/>
                <w:szCs w:val="16"/>
              </w:rPr>
            </w:pPr>
            <w:r w:rsidRPr="00781112">
              <w:rPr>
                <w:rFonts w:cs="Arial"/>
                <w:color w:val="000000" w:themeColor="text1"/>
                <w:szCs w:val="16"/>
              </w:rPr>
              <w:t>62.9%</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73.46%</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79.35%</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Georgia Department of Education (GADOE) holds high expectations for all students and works to raise the graduation rate of students with Individual Education Programs (IEP) who receive regular education diplomas. The GaDOE supports improved instructional programs and access to the general curriculum for all students. Georgia defines a graduate as a student who exits high school with a Regular High School Diploma (not a Certificate of Attendance or Special Education Diploma). Graduates must have met course and assessment criteria. Georgia offers one diploma for all students. The link below provides information for the assessment and graduation requirements https://www.gadoe.org/External-Affairs-and-Policy/State-Board-of-Education/SBOE%20Rules/160-4-2-.48.pdf</w:t>
      </w:r>
      <w:r w:rsidRPr="00781112">
        <w:rPr>
          <w:rFonts w:cs="Arial"/>
          <w:color w:val="000000" w:themeColor="text1"/>
          <w:szCs w:val="16"/>
        </w:rPr>
        <w:br/>
      </w:r>
      <w:r w:rsidRPr="00781112">
        <w:rPr>
          <w:rFonts w:cs="Arial"/>
          <w:color w:val="000000" w:themeColor="text1"/>
          <w:szCs w:val="16"/>
        </w:rPr>
        <w:br/>
        <w:t>Georgia is reporting data from the 2019-2020 school year. This represents lagged data based on OSEP's requirement to report data as submitted in SY 2019-20 FS009 Students Exiting Special Education.</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Georgia's graduation rate for SY 2019-2020 was significantly inflated due to mitigation measures for COVID based state-wide school closures in Georgia. A governor's order closed all in-person instruction beginning March 16, 2020 and eventually extending through the remainder of the school year. In an effort to mitigate the impact of COVID, Georgia’s State Board of Education provided waivers on April 3, 2020 to mitigate the impact of COVID on graduation (see https://www.georgiainsights.com/uploads/1/2/2/2/122221993/sboe_waivers_for_leas_-_gadoe_guidance_-_rev_4-3-2020.pdf. ). Guidance provided with the waiver indicated that students were not to be penalized for events beyond their control and held back from progression to the next grade or graduation. The waivers included all state assessments and seat time requirements to earn credit. As a result of the circumstances, Georgia's graduation rate increased by almost 7% percentage points in SY 2019-2020 when compared to prior years calculated with the 618 Annual Event Graduation rate mandated beginning FFY20.  </w:t>
      </w:r>
      <w:r w:rsidRPr="00781112">
        <w:rPr>
          <w:rFonts w:cs="Arial"/>
          <w:color w:val="000000" w:themeColor="text1"/>
          <w:szCs w:val="16"/>
        </w:rPr>
        <w:br/>
      </w:r>
      <w:r w:rsidRPr="00781112">
        <w:rPr>
          <w:rFonts w:cs="Arial"/>
          <w:color w:val="000000" w:themeColor="text1"/>
          <w:szCs w:val="16"/>
        </w:rPr>
        <w:br/>
        <w:t>Based upon stakeholder feedback and an examination of longitudinal data, Georgia is requesting to set our baseline using data from the 2018-2019 school year calculated with the 618 Annual Event rate of 73.46%, rather than the 79.35% rate from FFY2020. The graduation data from 2018-2019 is much more representative of Georgia's regular diploma graduation trend data for students with disabilities (i.e., 2 to 3% percentage points increase per year).</w:t>
      </w:r>
      <w:r w:rsidRPr="00781112">
        <w:rPr>
          <w:rFonts w:cs="Arial"/>
          <w:color w:val="000000" w:themeColor="text1"/>
          <w:szCs w:val="16"/>
        </w:rPr>
        <w:br/>
      </w:r>
      <w:r w:rsidRPr="00781112">
        <w:rPr>
          <w:rFonts w:cs="Arial"/>
          <w:color w:val="000000" w:themeColor="text1"/>
          <w:szCs w:val="16"/>
        </w:rPr>
        <w:br/>
        <w:t xml:space="preserve">The graduation rates shown in the Historical Data Chart (2015-2019) were calculated for the SPP/APR using the Adjusted Cohort Graduation Rate calculation, which was previously an option. As a result, the rates shown are not comparable to the rate of 79.35% shown for FFY2020. The current rate is calculated using the required 618 data Annual Event calculation for exiters. The FFY2019 rate, converted and used for proposed baseline, is illustrative of the data that would be reflected in the chart if all rates were converted. The Adjusted Cohort Graduation Rate calculation and Annual Event Rate calculation have different measurement groups (i.e., 9th-12th grade v. 14-21 years of age) and criteria which eliminates comparability. </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section 618 exiting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618 data for this indicator and steps the State has taken to mitigate the impact of COVID-19 on data collection.</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18FDE1D9" w:rsidR="00907A35" w:rsidRPr="00781112" w:rsidRDefault="00907A35" w:rsidP="004369B2">
      <w:pPr>
        <w:rPr>
          <w:b/>
          <w:color w:val="000000" w:themeColor="text1"/>
        </w:rPr>
      </w:pPr>
      <w:r w:rsidRPr="00781112">
        <w:rPr>
          <w:b/>
          <w:color w:val="000000" w:themeColor="text1"/>
        </w:rPr>
        <w:t>Historical Data</w:t>
      </w:r>
      <w:r w:rsidR="00A453FB">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23.56%</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5.80%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5.70%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5.60%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5.50%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5.40%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5.60%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5.60%</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5.74%</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5.47%</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5.13%</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23.56%</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22.56%</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21.56%</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20.56%</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19.56%</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18.56%</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w:t>
      </w:r>
      <w:r w:rsidRPr="00781112">
        <w:rPr>
          <w:rFonts w:cs="Arial"/>
          <w:color w:val="000000" w:themeColor="text1"/>
          <w:szCs w:val="16"/>
        </w:rPr>
        <w:lastRenderedPageBreak/>
        <w:t>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 xml:space="preserve">SAP stakeholders were given the opportunity to provide feedback on the State's performance on the SPP/APR Indicators and the development of targets for the 2020-2025 package on May 6, 2021, September 2, 2021, October 29, 2021, December 3, 2021, and January 13, 2022. Beginning on May 6, 2021, the SAP was provided with a comprehensive overview presentation of the new SPP/APR 2020-2025 package and Indicators through a cohesive Indicators Cluster Group Framework developed by the Georgia Part B Data Managers. In the framework, SPP/APR Indicators were grouped together based upon similar objectives and intended outcomes for students. For example, Group A: High School and Life Outcomes Group included Indicators 1 (Graduation), 2 (Dropout), 13 (Secondary Transition), and 14 (Post School Outcomes). The presentation informed the SAP of the differences, if applicable, in measurement for Indicators in the new SPP/APR package. SAP viewed projected and historical data for the Indicators of the SPP/APR FFY 2020. If a new calculation and/or data group was used for an Indicator, such as Indicator 1 (Graduation), historical data was converted to allow for a comparable analysis of current and historical data. SAP was also provided with resources and links to access the information and the opportunity to ask questions. At the conclusion of the meeting, SAP members were provided with an opportunity to join a specific work group (shown below) for SPP/APR development. </w:t>
      </w:r>
      <w:r w:rsidRPr="00781112">
        <w:rPr>
          <w:rFonts w:cs="Arial"/>
          <w:color w:val="000000" w:themeColor="text1"/>
          <w:szCs w:val="16"/>
        </w:rPr>
        <w:br/>
        <w:t xml:space="preserve">The Indicators of the SPP/APR were divided into the following groups to enable focused work and greater opportunity for stakeholder feedback: </w:t>
      </w:r>
      <w:r w:rsidRPr="00781112">
        <w:rPr>
          <w:rFonts w:cs="Arial"/>
          <w:color w:val="000000" w:themeColor="text1"/>
          <w:szCs w:val="16"/>
        </w:rPr>
        <w:br/>
        <w:t>• Group A: High School and Life Outcomes (Indicators 1, 2, 13, 14 and 17)</w:t>
      </w:r>
      <w:r w:rsidRPr="00781112">
        <w:rPr>
          <w:rFonts w:cs="Arial"/>
          <w:color w:val="000000" w:themeColor="text1"/>
          <w:szCs w:val="16"/>
        </w:rPr>
        <w:br/>
        <w:t>• Group B: Disproportionality (Indicators 4, 9, and 10)</w:t>
      </w:r>
      <w:r w:rsidRPr="00781112">
        <w:rPr>
          <w:rFonts w:cs="Arial"/>
          <w:color w:val="000000" w:themeColor="text1"/>
          <w:szCs w:val="16"/>
        </w:rPr>
        <w:br/>
        <w:t>• Group C: Environments and Timelines (Indicators 5, 6, 11, and 12)</w:t>
      </w:r>
      <w:r w:rsidRPr="00781112">
        <w:rPr>
          <w:rFonts w:cs="Arial"/>
          <w:color w:val="000000" w:themeColor="text1"/>
          <w:szCs w:val="16"/>
        </w:rPr>
        <w:br/>
        <w:t xml:space="preserve">• Group D: Preschool, Parent Involvement, and Legal (Indicators 7, 8,15, and 16) </w:t>
      </w:r>
      <w:r w:rsidRPr="00781112">
        <w:rPr>
          <w:rFonts w:cs="Arial"/>
          <w:color w:val="000000" w:themeColor="text1"/>
          <w:szCs w:val="16"/>
        </w:rPr>
        <w:br/>
        <w:t xml:space="preserve">• Group E: Assessment (Indicator 3). </w:t>
      </w:r>
      <w:r w:rsidRPr="00781112">
        <w:rPr>
          <w:rFonts w:cs="Arial"/>
          <w:color w:val="000000" w:themeColor="text1"/>
          <w:szCs w:val="16"/>
        </w:rPr>
        <w:br/>
        <w:t>On September 2, 2021, all SAP members worked in one of the five groups based upon self-selection. There was parent representation in each group. The small group sessions were facilitated by DSESS staff using a standardized format. Each facilitator was provided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group provided specific documented feedback on possible targets and lingering questions based on an analysis of the data. Follow-up sessions were conducted October 29, 2021, December 3, 2021, and January 13, 2022.</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9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4, 2021 and ended November 1, 2021. Registration records for these opportunities indicated that 1,473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November 1, 2021 LEA SPP/APR stakeholder session, feedback from all meetings, email, and questions was formatted into an online survey titled SPP/APR State Performance Plan Feedback Survey 2020-2025 posted at https://www.gadoe.org/Curriculum-Instruction-and-Assessment/Special-Education-Services/Pages/State-Performance-Plan-(SPP),-Annual-Performance-Reports-(APR)-and-Annual-Determinations.aspx.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The SPP/APR Survey was publicly posted to allow for even broader participation. Following the collection of the survey, the results were used to set targets which were publicly posted for comment at the website above on December 7, 2021, except for Indicator 3. Indicator 3 assessment results and targets were made available following the January 13, 2022 SAP meeting. Assessment results were not broadly available in Georgia until after December 15, 2021, and the January SAP meeting was the first opportunity to receive stakeholder feedback on the Indicator 3 (Assessment) baselines and targets. </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11,171</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307</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2,600</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14,078</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5.13%</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23.56%</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18.47%</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A student is considered a dropout when the student withdraws from school with a withdrawal code corresponding to one of the following reasons: Marriage, Expelled, Financial Hardship/Job, Incarcerated/Under Jurisdiction of Juvenile or Criminal Justice Authority, Low Grades/School Failure, Military, Adult Education/Postsecondary, Pregnant/Parent, Removed for Lack of Attendance, Serious Illness/Accident, and Unknown.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Georgia's dropout rate for SY 2019-2020 was significantly lower due to mitigation measures for COVID based state-wide school closures in Georgia. A governor's order closed all in-person instruction beginning March 16, 2020 and eventually extending through the remainder of the school year. In an effort to mitigate the impact of COVID, Georgia’s State Board of Education waivers were issued on April 3, 2020 (see https://www.georgiainsights.com/uploads/1/2/2/2/122221993/sboe_waivers_for_leas_-_gadoe_guidance_-_rev_4-3-2020.pdf ). Guidance provided with the waiver indicated that students were not to be penalized for events beyond their control and held back from progression to the next grade or graduation. The waivers included all state assessments and seat time requirements to earn credit. While the waivers did not explicitly state information about dropouts, the waiver of seat time and assessments improved the probability of graduation and discouraged student’s from dropping out. As a result of the circumstances, Georgia's dropout rate decreased by over 5% percentage points in SY 2019-2020 when compared to prior years calculated with the 618 Exiters rate. Georgia began using the calculation rate for exiters based upon 618 data rather than the calculation previously used. The Exiters rate better aligns with the Annual Event graduation rate calculation used for Indicator 1 Graduation.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Based upon stakeholder feedback and an examination of longitudinal data, Georgia is requesting to set our baseline using data from the 2018-2019 school year recalculated with the 618 Data Exiters Dropout rate (Option 1) of 23.56%, rather than the 18.47% Exiters Dropout rate (Option 1) from 2019-2020 school year. The dropout data from 2018-2019 is much more representative of Georgia's typical dropout trend data for students with disabilities (i.e., 2 to 3% percentage points decrease per year).</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dropout rates shown in the Historical Data Chart with data from 2015-2019 were calculated using the Indicator 2, Option 2 dropout rate calculation (i.e., use same data source and measurement that the State used to report in its FFY 2010 SPP/APR that was submitted on February 1, 2012) which was a different calculation than Indicator 2, Option 1 (i.e., use same data as used for reporting to the Department under section 618 of the Individuals with Disabilities Education Act (IDEA), using the definitions in EDFacts file specification FS009 Exiters).  As a result, the rates shown are not comparable to the rate of 18.47% shown for FFY2020. The FFY2020 rate (school year 2019-2020) is calculated using the 618 data Exiters rate (Option 1). The 2018-2019 school year, FFY2019 rate, converted and used for proposed baseline, is illustrative of the data that would be reflected if all rates were converted. The dropout rate calculations for options 1 and 2 of this Indicator have different measurement groups and criteria which eliminates comparability. </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lastRenderedPageBreak/>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section 618 exiting data from FFY 2019,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77.84%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63.30%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62.74%</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77.70%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61.48%</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60.71%</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 xml:space="preserve">SAP stakeholders were given the opportunity to provide feedback on the State's performance on the SPP/APR Indicators and the development of targets for the 2020-2025 package on May 6, 2021, September 2, 2021, October 29, 2021, December 3, 2021, and January 13, 2022. Beginning on May 6, 2021, the SAP was provided with a comprehensive overview presentation of the new SPP/APR 2020-2025 package and Indicators through a cohesive Indicators Cluster Group Framework developed by the Georgia Part B Data Managers. In the framework, SPP/APR Indicators were grouped together based upon similar objectives and intended outcomes for students. For example, Group A: High School and Life Outcomes Group included Indicators 1 (Graduation), 2 (Dropout), 13 (Secondary Transition), and 14 (Post School Outcomes). The presentation informed the SAP of the differences, if applicable, in measurement for Indicators in the new SPP/APR package. SAP viewed projected and historical data for the Indicators of the SPP/APR FFY 2020. If a new calculation and/or data group was used for an Indicator, such as Indicator 1 (Graduation), historical data was converted to allow for a comparable analysis of current and historical data. SAP was also provided with resources and links to access the information and the opportunity to ask questions. At the conclusion of the meeting, SAP members were provided with an opportunity to join a specific work group (shown below) for SPP/APR development. </w:t>
      </w:r>
      <w:r w:rsidRPr="00781112">
        <w:rPr>
          <w:rFonts w:cs="Arial"/>
          <w:color w:val="000000" w:themeColor="text1"/>
          <w:szCs w:val="16"/>
        </w:rPr>
        <w:br/>
        <w:t xml:space="preserve">The Indicators of the SPP/APR were divided into the following groups to enable focused work and greater opportunity for stakeholder feedback: </w:t>
      </w:r>
      <w:r w:rsidRPr="00781112">
        <w:rPr>
          <w:rFonts w:cs="Arial"/>
          <w:color w:val="000000" w:themeColor="text1"/>
          <w:szCs w:val="16"/>
        </w:rPr>
        <w:br/>
        <w:t>• Group A: High School and Life Outcomes (Indicators 1, 2, 13, 14 and 17)</w:t>
      </w:r>
      <w:r w:rsidRPr="00781112">
        <w:rPr>
          <w:rFonts w:cs="Arial"/>
          <w:color w:val="000000" w:themeColor="text1"/>
          <w:szCs w:val="16"/>
        </w:rPr>
        <w:br/>
        <w:t>• Group B: Disproportionality (Indicators 4, 9, and 10)</w:t>
      </w:r>
      <w:r w:rsidRPr="00781112">
        <w:rPr>
          <w:rFonts w:cs="Arial"/>
          <w:color w:val="000000" w:themeColor="text1"/>
          <w:szCs w:val="16"/>
        </w:rPr>
        <w:br/>
        <w:t>• Group C: Environments and Timelines (Indicators 5, 6, 11, and 12)</w:t>
      </w:r>
      <w:r w:rsidRPr="00781112">
        <w:rPr>
          <w:rFonts w:cs="Arial"/>
          <w:color w:val="000000" w:themeColor="text1"/>
          <w:szCs w:val="16"/>
        </w:rPr>
        <w:br/>
        <w:t xml:space="preserve">• Group D: Preschool, Parent Involvement, and Legal (Indicators 7, 8,15, and 16) </w:t>
      </w:r>
      <w:r w:rsidRPr="00781112">
        <w:rPr>
          <w:rFonts w:cs="Arial"/>
          <w:color w:val="000000" w:themeColor="text1"/>
          <w:szCs w:val="16"/>
        </w:rPr>
        <w:br/>
        <w:t xml:space="preserve">• Group E: Assessment (Indicator 3). </w:t>
      </w:r>
      <w:r w:rsidRPr="00781112">
        <w:rPr>
          <w:rFonts w:cs="Arial"/>
          <w:color w:val="000000" w:themeColor="text1"/>
          <w:szCs w:val="16"/>
        </w:rPr>
        <w:br/>
        <w:t>On September 2, 2021, all SAP members worked in one of the five groups based upon self-selection. There was parent representation in each group. The small group sessions were facilitated by DSESS staff using a standardized format. Each facilitator was provided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group provided specific documented feedback on possible targets and lingering questions based on an analysis of the data. Follow-up sessions were conducted October 29, 2021, December 3, 2021, and January 13, 2022.</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9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4, 2021 and ended November 1, 2021. Registration records for these opportunities indicated that 1,473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November 1, 2021 LEA SPP/APR stakeholder session, feedback from all meetings, email, and questions was formatted into an online survey titled SPP/APR State Performance Plan Feedback Survey 2020-2025 posted at https://www.gadoe.org/Curriculum-Instruction-and-Assessment/Special-Education-Services/Pages/State-Performance-Plan-(SPP),-Annual-Performance-Reports-(APR)-and-Annual-Determinations.aspx.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The SPP/APR Survey was publicly posted to allow for even broader participation. Following the collection of the survey, the results were used to set targets which were publicly posted for comment at the website above on December 7, 2021, except for Indicator 3. Indicator 3 assessment results and targets were made available following the January 13, 2022 SAP meeting. Assessment results were not broadly </w:t>
      </w:r>
      <w:r w:rsidRPr="00781112">
        <w:rPr>
          <w:rFonts w:cs="Arial"/>
          <w:color w:val="000000" w:themeColor="text1"/>
          <w:szCs w:val="16"/>
        </w:rPr>
        <w:lastRenderedPageBreak/>
        <w:t xml:space="preserve">available in Georgia until after December 15, 2021, and the January SAP meeting was the first opportunity to receive stakeholder feedback on the Indicator 3 (Assessment) baselines and targets. </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18,656</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19,737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14,430</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2,804</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1,228</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911</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10,468</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9,849</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7,003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1,250</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1,416</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1,140</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18,546</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19,911</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18,993</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2,787</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1,245</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1,438</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10,387</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9,587</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8,962</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1,236</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1,410</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1,131</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14,522</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18,656</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77.84%</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12,493</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19,737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63.30%</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9,054</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14,430</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62.74%</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14,410</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18,546</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77.70%</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12,242</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19,911</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61.48%</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11,531</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18,993</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60.71%</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lastRenderedPageBreak/>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Data is available at https://www.gadoe.org/Curriculum-Instruction-and-Assessment/Special-Education-Services/Pages/Federal-Data-Reports-Sp-Ed.aspx</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Georgia received a waiver from the Office of Elementary and Secondary Education related to the Every Student Succeeds Act (ESSA) which waived accountability, school identification, and related reporting requirements (see https://www.gadoe.org/Curriculum-Instruction-and-Assessment/Accountability/Documents/ESSA/ga%20acct%20waiver%20response.pdf ). However, high stakes testing was not waived and resumed for all students, including students with disabilities, in the 2020-2021 school year. Students participating in virtual instruction were not required to report to a physical school facility for assessment participation if there were health concerns. As a result, the number of students participating in assessments was significantly lower than previous years for all students, including students with disabilities. Of all the Indicators in the SPP/APR, Assessment was by far the most adversely impacted by COVID. Georgia has historically had remarkable success in maintaining 95% participation in high stakes testing. The decreased participation rates for 2020-2021 were a direct result of COVID. The participation rates for this are not a valid reflection of the typical participation rates. </w:t>
      </w:r>
      <w:r w:rsidRPr="00781112">
        <w:rPr>
          <w:rFonts w:cs="Arial"/>
          <w:color w:val="000000" w:themeColor="text1"/>
          <w:szCs w:val="16"/>
        </w:rPr>
        <w:br/>
      </w:r>
      <w:r w:rsidRPr="00781112">
        <w:rPr>
          <w:rFonts w:cs="Arial"/>
          <w:color w:val="000000" w:themeColor="text1"/>
          <w:szCs w:val="16"/>
        </w:rPr>
        <w:br/>
        <w:t>Georgia’s baseline for this Indicator is being reset for FFY 2020 due to OSEP’s changes to the measurement for the Indicator (i.e., different grade groups than prior SPP/APR 4th, 8th, and high school v. 3rd – 8th, and high school). Georgia will use the data from FFY 2020 because it is reflective of the current level of participation with the impact of COVID. Georgia has elected to set a 95% target in alignment with high expectations for students with disabilities, to encourage participation, and to reflect pre-COVID rates.</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xml:space="preserve">The State has revised the baseline for this indicator, using data from FFY 2020, and OSEP accepts that revision.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12.77%</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9.17%</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5.50%</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18.93%</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7.91%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5.69%</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12.77%</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14.77%</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16.77%</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18.77%</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20.77%</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22.77%</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9.17%</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11.77%</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13.17%</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15.17%</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17.17%</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19.17%</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5.50%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7.50%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9.50%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11.50%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13.50%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15.50%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18.93%</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20.93%</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22.93%</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24.93%</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26.93%</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28.93%</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7.91%</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9.91%</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11.91%</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13.91%</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15.91%</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17.91%</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5.69%</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7.69%</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9.69%</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11.69%</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13.69%</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15.69%</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r>
      <w:r w:rsidRPr="00781112">
        <w:rPr>
          <w:rFonts w:cs="Arial"/>
          <w:color w:val="000000" w:themeColor="text1"/>
          <w:szCs w:val="16"/>
        </w:rPr>
        <w:lastRenderedPageBreak/>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 xml:space="preserve">SAP stakeholders were given the opportunity to provide feedback on the State's performance on the SPP/APR Indicators and the development of targets for the 2020-2025 package on May 6, 2021, September 2, 2021, October 29, 2021, December 3, 2021, and January 13, 2022. Beginning on May 6, 2021, the SAP was provided with a comprehensive overview presentation of the new SPP/APR 2020-2025 package and Indicators through a cohesive Indicators Cluster Group Framework developed by the Georgia Part B Data Managers. In the framework, SPP/APR Indicators were grouped together based upon similar objectives and intended outcomes for students. For example, Group A: High School and Life Outcomes Group included Indicators 1 (Graduation), 2 (Dropout), 13 (Secondary Transition), and 14 (Post School Outcomes). The presentation informed the SAP of the differences, if applicable, in measurement for Indicators in the new SPP/APR package. SAP viewed projected and historical data for the Indicators of the SPP/APR FFY 2020. If a new calculation and/or data group was used for an Indicator, such as Indicator 1 (Graduation), historical data was converted to allow for a comparable analysis of current and historical data. SAP was also provided with resources and links to access the information and the opportunity to ask questions. At the conclusion of the meeting, SAP members were provided with an opportunity to join a specific work group (shown below) for SPP/APR development. </w:t>
      </w:r>
      <w:r w:rsidRPr="00781112">
        <w:rPr>
          <w:rFonts w:cs="Arial"/>
          <w:color w:val="000000" w:themeColor="text1"/>
          <w:szCs w:val="16"/>
        </w:rPr>
        <w:br/>
        <w:t xml:space="preserve">The Indicators of the SPP/APR were divided into the following groups to enable focused work and greater opportunity for stakeholder feedback: </w:t>
      </w:r>
      <w:r w:rsidRPr="00781112">
        <w:rPr>
          <w:rFonts w:cs="Arial"/>
          <w:color w:val="000000" w:themeColor="text1"/>
          <w:szCs w:val="16"/>
        </w:rPr>
        <w:br/>
        <w:t>• Group A: High School and Life Outcomes (Indicators 1, 2, 13, 14 and 17)</w:t>
      </w:r>
      <w:r w:rsidRPr="00781112">
        <w:rPr>
          <w:rFonts w:cs="Arial"/>
          <w:color w:val="000000" w:themeColor="text1"/>
          <w:szCs w:val="16"/>
        </w:rPr>
        <w:br/>
        <w:t>• Group B: Disproportionality (Indicators 4, 9, and 10)</w:t>
      </w:r>
      <w:r w:rsidRPr="00781112">
        <w:rPr>
          <w:rFonts w:cs="Arial"/>
          <w:color w:val="000000" w:themeColor="text1"/>
          <w:szCs w:val="16"/>
        </w:rPr>
        <w:br/>
        <w:t>• Group C: Environments and Timelines (Indicators 5, 6, 11, and 12)</w:t>
      </w:r>
      <w:r w:rsidRPr="00781112">
        <w:rPr>
          <w:rFonts w:cs="Arial"/>
          <w:color w:val="000000" w:themeColor="text1"/>
          <w:szCs w:val="16"/>
        </w:rPr>
        <w:br/>
        <w:t xml:space="preserve">• Group D: Preschool, Parent Involvement, and Legal (Indicators 7, 8,15, and 16) </w:t>
      </w:r>
      <w:r w:rsidRPr="00781112">
        <w:rPr>
          <w:rFonts w:cs="Arial"/>
          <w:color w:val="000000" w:themeColor="text1"/>
          <w:szCs w:val="16"/>
        </w:rPr>
        <w:br/>
        <w:t xml:space="preserve">• Group E: Assessment (Indicator 3). </w:t>
      </w:r>
      <w:r w:rsidRPr="00781112">
        <w:rPr>
          <w:rFonts w:cs="Arial"/>
          <w:color w:val="000000" w:themeColor="text1"/>
          <w:szCs w:val="16"/>
        </w:rPr>
        <w:br/>
        <w:t>On September 2, 2021, all SAP members worked in one of the five groups based upon self-selection. There was parent representation in each group. The small group sessions were facilitated by DSESS staff using a standardized format. Each facilitator was provided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group provided specific documented feedback on possible targets and lingering questions based on an analysis of the data. Follow-up sessions were conducted October 29, 2021, December 3, 2021, and January 13, 2022.</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9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4, 2021 and ended November 1, 2021. Registration records for these opportunities indicated that 1,473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November 1, 2021 LEA SPP/APR stakeholder session, feedback from all meetings, email, and questions was formatted into an online survey titled SPP/APR State Performance Plan Feedback Survey 2020-2025 posted at https://www.gadoe.org/Curriculum-Instruction-and-Assessment/Special-Education-Services/Pages/State-Performance-Plan-(SPP),-Annual-Performance-Reports-(APR)-and-Annual-Determinations.aspx.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The SPP/APR Survey was publicly posted to allow for even broader participation. Following the collection of the survey, the results were used to set targets which were publicly posted for comment at the website above on December 7, 2021, except for Indicator 3. Indicator 3 assessment results and targets were made available following the January 13, 2022 SAP meeting. Assessment results were not broadly available in Georgia until after December 15, 2021, and the January SAP meeting was the first opportunity to receive stakeholder feedback on the Indicator 3 (Assessment) baselines and targets.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lastRenderedPageBreak/>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13,272</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11,077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7,914</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1,062</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373</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96</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633</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643</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339</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13,174</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10,832</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10,400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1,391</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332</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175</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1,103</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525</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417</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1,695</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13,272</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12.77%</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12.77%</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1,016</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11,077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9.17%</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9.17%</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435</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7,914</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5.50%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5.50%</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2,494</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13,174</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18.93%</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18.93%</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857</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10,832</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7.91%</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7.91%</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592</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10,400</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5.69%</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5.69%</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Data is available at https://www.gadoe.org/Curriculum-Instruction-and-Assessment/Special-Education-Services/Pages/Federal-Data-Reports-Sp-Ed.aspx</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Georgia received a waiver from the Office of Elementary and Secondary Education related to the Every Student Succeeds Act (ESSA) which waived accountability, school identification, and related reporting requirements (see https://www.gadoe.org/Curriculum-Instruction-and-Assessment/Accountability/Documents/ESSA/ga%20acct%20waiver%20response.pdf). However, high stakes testing was not waived and resumed for all students, including students with disabilities, in the 2020-2021 school year. Students participating in virtual instruction were not required to report to a physical school facility for assessment participation if there were health concerns. Of all the Indicators in the SPP/APR, Assessment was by far the most adversely impacted by COVID. Results were based upon a smaller participation group and future assessment results will have to be carefully evaluated to determine if new baselines are required. </w:t>
      </w:r>
      <w:r w:rsidRPr="00781112">
        <w:rPr>
          <w:rFonts w:cs="Arial"/>
          <w:color w:val="000000" w:themeColor="text1"/>
          <w:szCs w:val="16"/>
        </w:rPr>
        <w:br/>
        <w:t>Indicator 3B, proficiency rate for students assessed against grade level achievement standards, required a new baseline for FFY 2020 because of measurement group changes required by OSEP on Indicator 3. Specifically, the results of students with IEPs assessed against grade level achievement standards (Indicator 3B) were disaggregated from the results of students with IEPs being assessed against alternate standards (Indicator 3C). The grade levels also differ and now include 4th, 8th, and high school grade levels rather than 3rd through 8th and high school grade levels.</w:t>
      </w:r>
      <w:r w:rsidRPr="00781112">
        <w:rPr>
          <w:rFonts w:cs="Arial"/>
          <w:color w:val="000000" w:themeColor="text1"/>
          <w:szCs w:val="16"/>
        </w:rPr>
        <w:br/>
      </w:r>
      <w:r w:rsidRPr="00781112">
        <w:rPr>
          <w:rFonts w:cs="Arial"/>
          <w:color w:val="000000" w:themeColor="text1"/>
          <w:szCs w:val="16"/>
        </w:rPr>
        <w:br/>
        <w:t>While the COVID impact is undeniable, the instructional needs of students with disabilities are also apparent. As such, DSESS is aware that the keys to increasing the achievement of students with disabilities is increasing the efficacy of their teachers and instruction. Georgia is aggressively implementing instructional initiatives and enhancing existing initiatives supporting the teachers of students with disabilities. The Georgia DSESS is currently implementing explicit multi-sensory reading instruction training for the teachers of students with disabilities (see https://lor2.gadoe.org/gadoe/items/08cfba08-a563-4274-bd20-d89719d1a287/1/viewcontent/36c831db-9fc3-4b3b-acbc-95593925d6fa?_sl.t=true ). DSESS is also focusing upon the use of specially designed instruction (see https://www.gadoe.org/Curriculum-Instruction-and-Assessment/Special-Education-Services/Pages/Specially-Designed-Instruction-(SDI).aspx). The use of high leverage practices are also a key element to address the needs of the teachers of students with disabilities (see https://www.gadoe.org/Curriculum-Instruction-and-Assessment/Special-Education-Services/Pages/HighLeveragePracticesSpEd.aspx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66.00%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82.77%</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72.19%</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58.98%</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66.52%</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66.40%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66.00%</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66.00%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68.00%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68.00%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70.00%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70.00%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82.77%</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82.77%</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84.77%</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84.77%</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86.77%</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86.77%</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72.19%</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72.19%</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74.19%</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74.19%</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76.19%</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76.19%</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58.98%</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58.98%</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60.98%</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60.98%</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62.98%</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62.98%</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66.52%</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66.52%</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68.52%</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68.52%</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70.52%</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70.52%</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66.40%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66.40%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68.40%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68.40%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70.40%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70.40%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 xml:space="preserve">SAP stakeholders were given the opportunity to provide feedback on the State's performance on the SPP/APR Indicators and the development of targets for the 2020-2025 package on May 6, 2021, September 2, 2021, October 29, 2021, December 3, 2021, and January 13, 2022. Beginning on May 6, 2021, the SAP was provided with a comprehensive overview presentation of the new SPP/APR 2020-2025 package and Indicators through a cohesive Indicators Cluster Group Framework developed by the Georgia Part B Data Managers. In the framework, SPP/APR Indicators were grouped together based upon similar objectives and intended outcomes for students. For example, Group A: High School and Life Outcomes Group included Indicators 1 (Graduation), 2 (Dropout), 13 (Secondary Transition), and 14 (Post School Outcomes). The presentation informed the SAP of the differences, if applicable, in measurement for Indicators in the new SPP/APR package. SAP viewed projected and historical data for the Indicators of the SPP/APR FFY 2020. If a new calculation and/or data group was used for an Indicator, such as Indicator 1 (Graduation), historical data was converted to allow for a comparable analysis of current and historical data. SAP was also provided with resources and links to access the information and the opportunity to ask questions. At the conclusion of the meeting, SAP members were provided with an opportunity to join a specific work group (shown below) for SPP/APR development. </w:t>
      </w:r>
      <w:r w:rsidRPr="00781112">
        <w:rPr>
          <w:rFonts w:cs="Arial"/>
          <w:color w:val="000000" w:themeColor="text1"/>
          <w:szCs w:val="16"/>
        </w:rPr>
        <w:br/>
        <w:t xml:space="preserve">The Indicators of the SPP/APR were divided into the following groups to enable focused work and greater opportunity for stakeholder feedback: </w:t>
      </w:r>
      <w:r w:rsidRPr="00781112">
        <w:rPr>
          <w:rFonts w:cs="Arial"/>
          <w:color w:val="000000" w:themeColor="text1"/>
          <w:szCs w:val="16"/>
        </w:rPr>
        <w:br/>
        <w:t>• Group A: High School and Life Outcomes (Indicators 1, 2, 13, 14 and 17)</w:t>
      </w:r>
      <w:r w:rsidRPr="00781112">
        <w:rPr>
          <w:rFonts w:cs="Arial"/>
          <w:color w:val="000000" w:themeColor="text1"/>
          <w:szCs w:val="16"/>
        </w:rPr>
        <w:br/>
        <w:t>• Group B: Disproportionality (Indicators 4, 9, and 10)</w:t>
      </w:r>
      <w:r w:rsidRPr="00781112">
        <w:rPr>
          <w:rFonts w:cs="Arial"/>
          <w:color w:val="000000" w:themeColor="text1"/>
          <w:szCs w:val="16"/>
        </w:rPr>
        <w:br/>
        <w:t>• Group C: Environments and Timelines (Indicators 5, 6, 11, and 12)</w:t>
      </w:r>
      <w:r w:rsidRPr="00781112">
        <w:rPr>
          <w:rFonts w:cs="Arial"/>
          <w:color w:val="000000" w:themeColor="text1"/>
          <w:szCs w:val="16"/>
        </w:rPr>
        <w:br/>
        <w:t xml:space="preserve">• Group D: Preschool, Parent Involvement, and Legal (Indicators 7, 8,15, and 16) </w:t>
      </w:r>
      <w:r w:rsidRPr="00781112">
        <w:rPr>
          <w:rFonts w:cs="Arial"/>
          <w:color w:val="000000" w:themeColor="text1"/>
          <w:szCs w:val="16"/>
        </w:rPr>
        <w:br/>
        <w:t xml:space="preserve">• Group E: Assessment (Indicator 3). </w:t>
      </w:r>
      <w:r w:rsidRPr="00781112">
        <w:rPr>
          <w:rFonts w:cs="Arial"/>
          <w:color w:val="000000" w:themeColor="text1"/>
          <w:szCs w:val="16"/>
        </w:rPr>
        <w:br/>
        <w:t>On September 2, 2021, all SAP members worked in one of the five groups based upon self-selection. There was parent representation in each group. The small group sessions were facilitated by DSESS staff using a standardized format. Each facilitator was provided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group provided specific documented feedback on possible targets and lingering questions based on an analysis of the data. Follow-up sessions were conducted October 29, 2021, December 3, 2021, and January 13, 2022.</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9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4, 2021 and ended November 1, 2021. Registration records for these opportunities indicated that 1,473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November 1, 2021 LEA SPP/APR stakeholder session, feedback from all meetings, email, and questions was formatted into an online survey titled SPP/APR State Performance Plan Feedback Survey 2020-2025 posted at https://www.gadoe.org/Curriculum-Instruction-and-Assessment/Special-Education-Services/Pages/State-Performance-Plan-(SPP),-Annual-Performance-Reports-(APR)-and-Annual-Determinations.aspx.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The SPP/APR Survey was publicly posted to allow for even broader participation. Following the collection of the survey, the results were used to set targets which were publicly posted for comment at the website above on December 7, 2021, except for Indicator 3. Indicator 3 assessment results and targets were made available following the January 13, 2022 SAP meeting. Assessment results were not broadly </w:t>
      </w:r>
      <w:r w:rsidRPr="00781112">
        <w:rPr>
          <w:rFonts w:cs="Arial"/>
          <w:color w:val="000000" w:themeColor="text1"/>
          <w:szCs w:val="16"/>
        </w:rPr>
        <w:lastRenderedPageBreak/>
        <w:t xml:space="preserve">available in Georgia until after December 15, 2021, and the January SAP meeting was the first opportunity to receive stakeholder feedback on the Indicator 3 (Assessment) baselines and targets.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1,250</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1,416</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1,140</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825</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1,172</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823</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1,236</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1,410</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1,131</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729</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938</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751</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825</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1,250</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66.00%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66.00%</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1,172</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1,416</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82.77%</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82.77%</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823</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1,140</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72.19%</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72.19%</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lastRenderedPageBreak/>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729</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1,236</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58.98%</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58.98%</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938</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1,410</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66.52%</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66.52%</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751</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1,131</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66.40%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66.40%</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Data is available at https://www.gadoe.org/Curriculum-Instruction-and-Assessment/Special-Education-Services/Pages/Federal-Data-Reports-Sp-Ed.aspx</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Georgia received a waiver from the Office of Elementary and Secondary Education related to the Every Student Succeeds Act (ESSA) which waived accountability, school identification, and related reporting requirements (see https://www.gadoe.org/Curriculum-Instruction-and-Assessment/Accountability/Documents/ESSA/ga%20acct%20waiver%20response.pdf ). However, high stakes testing was not waived and resumed for all students, including students with disabilities, in the 2020-2021 school year. Results were based upon a smaller participation group and future assessment results will have to be carefully evaluated to determine if new baselines are required in the future. </w:t>
      </w:r>
      <w:r w:rsidRPr="00781112">
        <w:rPr>
          <w:rFonts w:cs="Arial"/>
          <w:color w:val="000000" w:themeColor="text1"/>
          <w:szCs w:val="16"/>
          <w:shd w:val="clear" w:color="auto" w:fill="FFFFFF"/>
        </w:rPr>
        <w:br/>
        <w:t>Indicator 3C, proficiency rate for students assessed against alternate achievement standards, required a new baseline for FFY 2020 because of measurement group changes required by OSEP on Indicator 3. Specifically, the results of students with IEPs assessed against alternate standards were disaggregated from the results of students with IEPs being assessed against grade level achievement standards (Indicator 3B). The grade levels assessed also differ and now include 4th, 8th, and high school rather than 3rd through 8th, and high school.</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While the COVID impact is undeniable, the instructional needs of students with disabilities are also apparent. As such, DSESS is aware that the keys to increasing the achievement of students with disabilities is increasing the efficacy of their teachers and instruction. Georgia is aggressively implementing instructional initiatives and enhancing existing initiatives supporting the teachers of students with disabilities. The Georgia DSESS is currently implementing explicit multi-sensory reading instruction training for the teachers of students with disabilities (see https://lor2.gadoe.org/gadoe/items/08cfba08-a563-4274-bd20-d89719d1a287/1/viewcontent/36c831db-9fc3-4b3b-acbc-95593925d6fa?_sl.t=true ). DSESS is also focusing upon the use of specially designed instruction (see https://www.gadoe.org/Curriculum-Instruction-and-Assessment/Special-Education-Services/Pages/Specially-Designed-Instruction-(SDI).aspx). The use of high leverage practices are also a key element to address the needs of the teachers of students with disabilities (see https://www.gadoe.org/Curriculum-Instruction-and-Assessment/Special-Education-Services/Pages/HighLeveragePracticesSpEd.aspx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23.89</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32.01</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24.16</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24.22</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24.01</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15.96</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23.89</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21.89</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19.89</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17.89</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15.89</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13.89</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32.01</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30.01</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28.01</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26.01</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24.01</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22.01</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24.16</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22.16</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20.16</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18.16</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16.16</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14.16</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24.22</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22.22</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20.22</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18.22</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16.22</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14.22</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24.01</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22.01</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20.01</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18.01</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16.01</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14.01</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15.96</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13.96</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11.96</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9.96</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7.96</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5.96</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w:t>
      </w:r>
      <w:r w:rsidRPr="00781112">
        <w:rPr>
          <w:rFonts w:cs="Arial"/>
          <w:color w:val="000000" w:themeColor="text1"/>
          <w:szCs w:val="16"/>
        </w:rPr>
        <w:lastRenderedPageBreak/>
        <w:t>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 xml:space="preserve">SAP stakeholders were given the opportunity to provide feedback on the State's performance on the SPP/APR Indicators and the development of targets for the 2020-2025 package on May 6, 2021, September 2, 2021, October 29, 2021, December 3, 2021, and January 13, 2022. Beginning on May 6, 2021, the SAP was provided with a comprehensive overview presentation of the new SPP/APR 2020-2025 package and Indicators through a cohesive Indicators Cluster Group Framework developed by the Georgia Part B Data Managers. In the framework, SPP/APR Indicators were grouped together based upon similar objectives and intended outcomes for students. For example, Group A: High School and Life Outcomes Group included Indicators 1 (Graduation), 2 (Dropout), 13 (Secondary Transition), and 14 (Post School Outcomes). The presentation informed the SAP of the differences, if applicable, in measurement for Indicators in the new SPP/APR package. SAP viewed projected and historical data for the Indicators of the SPP/APR FFY 2020. If a new calculation and/or data group was used for an Indicator, such as Indicator 1 (Graduation), historical data was converted to allow for a comparable analysis of current and historical data. SAP was also provided with resources and links to access the information and the opportunity to ask questions. At the conclusion of the meeting, SAP members were provided with an opportunity to join a specific work group (shown below) for SPP/APR development. </w:t>
      </w:r>
      <w:r w:rsidRPr="00781112">
        <w:rPr>
          <w:rFonts w:cs="Arial"/>
          <w:color w:val="000000" w:themeColor="text1"/>
          <w:szCs w:val="16"/>
        </w:rPr>
        <w:br/>
        <w:t xml:space="preserve">The Indicators of the SPP/APR were divided into the following groups to enable focused work and greater opportunity for stakeholder feedback: </w:t>
      </w:r>
      <w:r w:rsidRPr="00781112">
        <w:rPr>
          <w:rFonts w:cs="Arial"/>
          <w:color w:val="000000" w:themeColor="text1"/>
          <w:szCs w:val="16"/>
        </w:rPr>
        <w:br/>
        <w:t>• Group A: High School and Life Outcomes (Indicators 1, 2, 13, 14 and 17)</w:t>
      </w:r>
      <w:r w:rsidRPr="00781112">
        <w:rPr>
          <w:rFonts w:cs="Arial"/>
          <w:color w:val="000000" w:themeColor="text1"/>
          <w:szCs w:val="16"/>
        </w:rPr>
        <w:br/>
        <w:t>• Group B: Disproportionality (Indicators 4, 9, and 10)</w:t>
      </w:r>
      <w:r w:rsidRPr="00781112">
        <w:rPr>
          <w:rFonts w:cs="Arial"/>
          <w:color w:val="000000" w:themeColor="text1"/>
          <w:szCs w:val="16"/>
        </w:rPr>
        <w:br/>
        <w:t>• Group C: Environments and Timelines (Indicators 5, 6, 11, and 12)</w:t>
      </w:r>
      <w:r w:rsidRPr="00781112">
        <w:rPr>
          <w:rFonts w:cs="Arial"/>
          <w:color w:val="000000" w:themeColor="text1"/>
          <w:szCs w:val="16"/>
        </w:rPr>
        <w:br/>
        <w:t xml:space="preserve">• Group D: Preschool, Parent Involvement, and Legal (Indicators 7, 8,15, and 16) </w:t>
      </w:r>
      <w:r w:rsidRPr="00781112">
        <w:rPr>
          <w:rFonts w:cs="Arial"/>
          <w:color w:val="000000" w:themeColor="text1"/>
          <w:szCs w:val="16"/>
        </w:rPr>
        <w:br/>
        <w:t xml:space="preserve">• Group E: Assessment (Indicator 3). </w:t>
      </w:r>
      <w:r w:rsidRPr="00781112">
        <w:rPr>
          <w:rFonts w:cs="Arial"/>
          <w:color w:val="000000" w:themeColor="text1"/>
          <w:szCs w:val="16"/>
        </w:rPr>
        <w:br/>
        <w:t>On September 2, 2021, all SAP members worked in one of the five groups based upon self-selection. There was parent representation in each group. The small group sessions were facilitated by DSESS staff using a standardized format. Each facilitator was provided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group provided specific documented feedback on possible targets and lingering questions based on an analysis of the data. Follow-up sessions were conducted October 29, 2021, December 3, 2021, and January 13, 2022.</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9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4, 2021 and ended November 1, 2021. Registration records for these opportunities indicated that 1,473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November 1, 2021 LEA SPP/APR stakeholder session, feedback from all meetings, email, and questions was formatted into an online survey titled SPP/APR State Performance Plan Feedback Survey 2020-2025 posted at https://www.gadoe.org/Curriculum-Instruction-and-Assessment/Special-Education-Services/Pages/State-Performance-Plan-(SPP),-Annual-Performance-Reports-(APR)-and-Annual-Determinations.aspx.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The SPP/APR Survey was publicly posted to allow for even broader participation. Following the collection of the survey, the results were used to set targets which were publicly posted for comment at the website above on December 7, 2021, except for Indicator 3. Indicator 3 assessment results and targets were made available following the January 13, 2022 SAP meeting. Assessment results were not broadly available in Georgia until after December 15, 2021, and the January SAP meeting was the first opportunity to receive stakeholder feedback on the Indicator 3 (Assessment) baselines and targets.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lastRenderedPageBreak/>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96,745</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83,495</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65,130</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13,272</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11,077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7,914</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33,277</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32,771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18,384</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2,193</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1,614</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930</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1,062</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373</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96</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633</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643</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339</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96,047</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80,806</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74,649</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13,174</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10,832</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10,400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37,876</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24,463</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15,173</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3,565</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1,328</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993</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1,391</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332</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175</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1,103</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525</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417</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12.77%</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36.66%</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23.89</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23.89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9.17%</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41.18%</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32.01</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32.01</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5.50%</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29.65%</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24.16</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24.16</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lastRenderedPageBreak/>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18.93%</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43.15%</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24.22</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24.22</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7.91%</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31.92%</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24.01</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24.01</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5.69%</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21.66%</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15.96</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15.96</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Georgia received a waiver from the Office of Elementary and Secondary Education related to the Every Student Succeeds Act (ESSA) which waived accountability, school identification, and related reporting requirements (see https://www.gadoe.org/Curriculum-Instruction-and-Assessment/Accountability/Documents/ESSA/ga%20acct%20waiver%20response.pdf ). However, high stakes testing was not waived and resumed for all students, including students with disabilities, in the 2020-2021 school year. Of all the Indicators in the SPP/APR, Assessment was by far the most adversely impacted by COVID. Results were based upon a smaller participation group and future assessment results will have to be carefully evaluated to determine if new baselines are required. </w:t>
      </w:r>
      <w:r w:rsidRPr="00781112">
        <w:rPr>
          <w:rFonts w:cs="Arial"/>
          <w:color w:val="000000" w:themeColor="text1"/>
          <w:szCs w:val="16"/>
        </w:rPr>
        <w:br/>
      </w:r>
      <w:r w:rsidRPr="00781112">
        <w:rPr>
          <w:rFonts w:cs="Arial"/>
          <w:color w:val="000000" w:themeColor="text1"/>
          <w:szCs w:val="16"/>
        </w:rPr>
        <w:br/>
        <w:t>Indicator 3D, proficiency gap for students with IEPs assessed against grade level achievement standards and all students assessed on grade level achievement standards, required a new baseline for FFY 2020 because it is a new indicator component.</w:t>
      </w:r>
      <w:r w:rsidRPr="00781112">
        <w:rPr>
          <w:rFonts w:cs="Arial"/>
          <w:color w:val="000000" w:themeColor="text1"/>
          <w:szCs w:val="16"/>
        </w:rPr>
        <w:br/>
      </w:r>
      <w:r w:rsidRPr="00781112">
        <w:rPr>
          <w:rFonts w:cs="Arial"/>
          <w:color w:val="000000" w:themeColor="text1"/>
          <w:szCs w:val="16"/>
        </w:rPr>
        <w:br/>
        <w:t>While the COVID impact is undeniable, the instructional needs of students with disabilities are also apparent. As such, DSESS is aware that the keys to increasing the achievement of students with disabilities is increasing the efficacy of their teachers and instruction. Georgia is aggressively implementing instructional initiatives and enhancing existing initiatives supporting the teachers of students with disabilities. The Georgia DSESS is currently implementing explicit multi-sensory reading instruction training for the teachers of students with disabilities (see https://lor2.gadoe.org/gadoe/items/08cfba08-a563-4274-bd20-d89719d1a287/1/viewcontent/36c831db-9fc3-4b3b-acbc-95593925d6fa?_sl.t=true ). DSESS is also focusing upon the use of specially designed instruction (see https://www.gadoe.org/Curriculum-Instruction-and-Assessment/Special-Education-Services/Pages/Specially-Designed-Instruction-(SDI).aspx ). The use of high leverage practices is also a key element to address the needs of the teachers of students with disabilities (see https://www.gadoe.org/Curriculum-Instruction-and-Assessment/Special-Education-Services/Pages/HighLeveragePracticesSpEd.aspx ).</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18.52%</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18.52%</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17.50%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16.50%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15.50%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15.50%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18.52%</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18.52%</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11.76%</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35.71%</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35.71%</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30.21%</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27.21%</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24.21%</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21.21%</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18.21%</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 xml:space="preserve">SAP stakeholders were given the opportunity to provide feedback on the State's performance on the SPP/APR Indicators and the development of targets for the 2020-2025 package on May 6, 2021, September 2, 2021, October 29, 2021, December 3, 2021, and January 13, 2022. Beginning on May 6, 2021, the SAP was provided with a comprehensive overview presentation of the new SPP/APR 2020-2025 package and Indicators through a cohesive Indicators Cluster Group Framework developed by the Georgia Part B Data Managers. In the framework, SPP/APR Indicators were grouped together based upon similar objectives and intended outcomes for students. For example, Group A: High School and Life Outcomes Group included Indicators 1 (Graduation), 2 (Dropout), 13 (Secondary Transition), and 14 (Post School Outcomes). The presentation informed the SAP of the differences, if applicable, in measurement for Indicators in the new SPP/APR package. SAP viewed projected and historical data for the Indicators of the SPP/APR FFY 2020. If a new calculation and/or data group was used for an Indicator, such as Indicator 1 (Graduation), historical data was converted to allow for a comparable analysis of current and historical data. SAP was also provided with resources and links to access the information and the opportunity to ask questions. At the conclusion of the meeting, SAP members were provided with an opportunity to join a specific work group (shown below) for SPP/APR development. </w:t>
      </w:r>
      <w:r w:rsidRPr="00781112">
        <w:rPr>
          <w:rFonts w:cs="Arial"/>
          <w:color w:val="000000" w:themeColor="text1"/>
          <w:szCs w:val="16"/>
        </w:rPr>
        <w:br/>
        <w:t xml:space="preserve">The Indicators of the SPP/APR were divided into the following groups to enable focused work and greater opportunity for stakeholder feedback: </w:t>
      </w:r>
      <w:r w:rsidRPr="00781112">
        <w:rPr>
          <w:rFonts w:cs="Arial"/>
          <w:color w:val="000000" w:themeColor="text1"/>
          <w:szCs w:val="16"/>
        </w:rPr>
        <w:br/>
        <w:t>• Group A: High School and Life Outcomes (Indicators 1, 2, 13, 14 and 17)</w:t>
      </w:r>
      <w:r w:rsidRPr="00781112">
        <w:rPr>
          <w:rFonts w:cs="Arial"/>
          <w:color w:val="000000" w:themeColor="text1"/>
          <w:szCs w:val="16"/>
        </w:rPr>
        <w:br/>
        <w:t>• Group B: Disproportionality (Indicators 4, 9, and 10)</w:t>
      </w:r>
      <w:r w:rsidRPr="00781112">
        <w:rPr>
          <w:rFonts w:cs="Arial"/>
          <w:color w:val="000000" w:themeColor="text1"/>
          <w:szCs w:val="16"/>
        </w:rPr>
        <w:br/>
        <w:t>• Group C: Environments and Timelines (Indicators 5, 6, 11, and 12)</w:t>
      </w:r>
      <w:r w:rsidRPr="00781112">
        <w:rPr>
          <w:rFonts w:cs="Arial"/>
          <w:color w:val="000000" w:themeColor="text1"/>
          <w:szCs w:val="16"/>
        </w:rPr>
        <w:br/>
        <w:t xml:space="preserve">• Group D: Preschool, Parent Involvement, and Legal (Indicators 7, 8,15, and 16) </w:t>
      </w:r>
      <w:r w:rsidRPr="00781112">
        <w:rPr>
          <w:rFonts w:cs="Arial"/>
          <w:color w:val="000000" w:themeColor="text1"/>
          <w:szCs w:val="16"/>
        </w:rPr>
        <w:br/>
        <w:t xml:space="preserve">• Group E: Assessment (Indicator 3). </w:t>
      </w:r>
      <w:r w:rsidRPr="00781112">
        <w:rPr>
          <w:rFonts w:cs="Arial"/>
          <w:color w:val="000000" w:themeColor="text1"/>
          <w:szCs w:val="16"/>
        </w:rPr>
        <w:br/>
        <w:t>On September 2, 2021, all SAP members worked in one of the five groups based upon self-selection. There was parent representation in each group. The small group sessions were facilitated by DSESS staff using a standardized format. Each facilitator was provided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group provided specific documented feedback on possible targets and lingering questions based on an analysis of the data. Follow-up sessions were conducted October 29, 2021, December 3, 2021, and January 13, 2022.</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9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4, 2021 and ended November 1, 2021. Registration records for these opportunities indicated that 1,473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November 1, 2021 LEA SPP/APR stakeholder session, feedback from all meetings, email, and questions was formatted into an online survey titled SPP/APR State Performance Plan Feedback Survey 2020-2025 posted at https://www.gadoe.org/Curriculum-Instruction-and-Assessment/Special-Education-Services/Pages/State-Performance-Plan-(SPP),-Annual-Performance-Reports-(APR)-and-Annual-Determinations.aspx. The SPP/APR Survey gave participants the opportunity to select possible target increases or decreases for each Results Indicator. Survey participants </w:t>
      </w:r>
      <w:r w:rsidRPr="00781112">
        <w:rPr>
          <w:rFonts w:cs="Arial"/>
          <w:color w:val="000000" w:themeColor="text1"/>
          <w:szCs w:val="16"/>
        </w:rPr>
        <w:lastRenderedPageBreak/>
        <w:t xml:space="preserve">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The SPP/APR Survey was publicly posted to allow for even broader participation. Following the collection of the survey, the results were used to set targets which were publicly posted for comment at the website above on December 7, 2021, except for Indicator 3. Indicator 3 assessment results and targets were made available following the January 13, 2022 SAP meeting. Assessment results were not broadly available in Georgia until after December 15, 2021, and the January SAP meeting was the first opportunity to receive stakeholder feedback on the Indicator 3 (Assessment) baselines and targets.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209</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35.71%</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35.71%</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71.43%</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4A3E93D" w14:textId="31CBA8DB" w:rsidR="009E470F" w:rsidRPr="00781112" w:rsidRDefault="00A869E9" w:rsidP="004369B2">
      <w:pPr>
        <w:rPr>
          <w:b/>
          <w:color w:val="000000" w:themeColor="text1"/>
        </w:rPr>
      </w:pPr>
      <w:r w:rsidRPr="00781112">
        <w:rPr>
          <w:b/>
          <w:color w:val="000000" w:themeColor="text1"/>
        </w:rPr>
        <w:t>Provide reasons for slippage, if applicable</w:t>
      </w:r>
    </w:p>
    <w:p w14:paraId="1EF5B902" w14:textId="1E0AB2B6" w:rsidR="00A869E9" w:rsidRPr="00781112" w:rsidRDefault="002B7490" w:rsidP="000E33D0">
      <w:pPr>
        <w:rPr>
          <w:rFonts w:cs="Arial"/>
          <w:color w:val="000000" w:themeColor="text1"/>
          <w:szCs w:val="16"/>
        </w:rPr>
      </w:pPr>
      <w:r w:rsidRPr="00781112">
        <w:rPr>
          <w:rFonts w:cs="Arial"/>
          <w:color w:val="000000" w:themeColor="text1"/>
          <w:szCs w:val="16"/>
        </w:rPr>
        <w:t>Georgia’s data while reliable, valid, and complete for Indicator 4A was impacted by COVID in the 2019-2020 school year. The use of virtual instruction for approximately 3 months in the 2019-2020 school year was a factor in slippage for 4A. Virtual instruction led to an overall decrease in the number of students with OSS assignments &gt;10 days. OSS assignments &gt;10 days decreased by almost 25% from 1,142 in 2018-2019 to 868 in 2019-2020. As a result, the calculation of 4A was highly sensitive to OSS assignments. There were very few LEAs (7) that met the minimum n/cell size and (5) had significant discrepancy. All of these LEAs were larger LEAs with &gt; 1,000 students with disabilities. Unfortunately, 5 of the 7 LEAs met the risk ratio threshold of 2.0 for 2 consecutive years, which mathematically caused a dramatic increase in the percentage determined significantly discrepant leading to slippage. There is a lack of stability in the percentages for this Indicator ranging from 11.76% to 57.14% and most recently 71.43%.</w:t>
      </w:r>
      <w:r w:rsidRPr="00781112">
        <w:rPr>
          <w:rFonts w:cs="Arial"/>
          <w:color w:val="000000" w:themeColor="text1"/>
          <w:szCs w:val="16"/>
        </w:rPr>
        <w:br/>
      </w:r>
      <w:r w:rsidRPr="00781112">
        <w:rPr>
          <w:rFonts w:cs="Arial"/>
          <w:color w:val="000000" w:themeColor="text1"/>
          <w:szCs w:val="16"/>
        </w:rPr>
        <w:br/>
        <w:t>Subsequent analysis for the 5 LEAs with significant discrepancy, indicates that all 5 of the discrepant LEAs made progress in the 2020-2021 school year and none will be significantly discrepant in the next SPP/APR report.</w:t>
      </w:r>
    </w:p>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Georgia defines significant discrepancy as the percentage of LEAs that have a significant discrepancy in the rate of suspensions and expulsions of greater than 10 days in a school year for children with IEPs in comparison to the state rate of suspensions and expulsions of greater than 10 days in a school year for children with IEPs. The cell size is &gt;= 10 students with disabilities suspended Out of School (OSS) &gt;10 days in the LEA, and the n size is &gt;= 30 students with disabilities cumulatively enrolled in the LEA. The formula used is the Rate Ratio = (LEA SWD Rate for OSS &gt; 10 Days)/(State SWD Rate for OSS &gt; 10 Days). The LEA threshold score is a rate ratio of &gt;= 2.0 for 2 consecutive years. </w:t>
      </w:r>
      <w:r w:rsidRPr="00781112">
        <w:rPr>
          <w:rFonts w:cs="Arial"/>
          <w:color w:val="000000" w:themeColor="text1"/>
          <w:szCs w:val="16"/>
        </w:rPr>
        <w:br/>
      </w:r>
      <w:r w:rsidRPr="00781112">
        <w:rPr>
          <w:rFonts w:cs="Arial"/>
          <w:color w:val="000000" w:themeColor="text1"/>
          <w:szCs w:val="16"/>
        </w:rPr>
        <w:br/>
        <w:t xml:space="preserve">Methodology: The percentage of LEAs with a significant discrepancy was determined including only for LEAs that had &gt;= 10 students with disabilities suspended Out of School (OSS) &gt;10 days (cell size) and at least 30 children with disabilities cumulatively enrolled (n size). There were 7 LEAs that met both criteria. Of the 7 LEAs included for analysis, there were 5 that met the rate ratio of &gt;= 2.0 for two consecutive years. </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COVID did not impact the collection, reliability, validity, or completeness of Indicator 4A.</w:t>
      </w: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Georgia used a Comprehensive Compliance Review to review local policies, procedures, and practices to review the development and implementation of IEPs, the use of positive behavioral interventions and supports, and procedural safeguards . LEAs identified as having significant discrepancy participated in the Comprehensive Compliance Review process and submitted required documents and communicated with GaDOE through the secured Special Education Applications Dashboard located in the GaDOE portal. The review included topics such as the implementation of IEPs, the use of positive behavioral interventions and supports, and procedural safeguards. As an example, the State reviewed documentation to determine the following:</w:t>
      </w:r>
      <w:r w:rsidRPr="00781112">
        <w:rPr>
          <w:rFonts w:cs="Arial"/>
          <w:color w:val="000000" w:themeColor="text1"/>
          <w:szCs w:val="16"/>
        </w:rPr>
        <w:br/>
        <w:t>o if students removed greater than ten days were able to continue to receive services</w:t>
      </w:r>
      <w:r w:rsidRPr="00781112">
        <w:rPr>
          <w:rFonts w:cs="Arial"/>
          <w:color w:val="000000" w:themeColor="text1"/>
          <w:szCs w:val="16"/>
        </w:rPr>
        <w:br/>
        <w:t xml:space="preserve">o if the local school system conducted a manifestation determination meeting to determine if the behavior was the result of the disability; and </w:t>
      </w:r>
      <w:r w:rsidRPr="00781112">
        <w:rPr>
          <w:rFonts w:cs="Arial"/>
          <w:color w:val="000000" w:themeColor="text1"/>
          <w:szCs w:val="16"/>
        </w:rPr>
        <w:br/>
        <w:t>o if the student has benefited from a behavior intervention plan, which includes positive behavioral interventions and supports.</w:t>
      </w:r>
      <w:r w:rsidRPr="00781112">
        <w:rPr>
          <w:rFonts w:cs="Arial"/>
          <w:color w:val="000000" w:themeColor="text1"/>
          <w:szCs w:val="16"/>
        </w:rPr>
        <w:br/>
      </w:r>
      <w:r w:rsidRPr="00781112">
        <w:rPr>
          <w:rFonts w:cs="Arial"/>
          <w:color w:val="000000" w:themeColor="text1"/>
          <w:szCs w:val="16"/>
        </w:rPr>
        <w:br/>
        <w:t>As a first step of the review, LEAs identified as having significant discrepancy reviewed their policies, practices, and procedures through the use of a GaDOE developed electronic form titled LEA Self-Rating for Disproportionality Compliance Review – Discipline at https://www.gadoe.org/Curriculum-Instruction-and-Assessment/Special-Education-Services/Pages/Disproportionality.aspx. LEAs completed this document by convening a team of stakeholders to self-assess or rate their compliance to the legal requirements of discipline for students with disabilities. In the first part of of the Self-Rating, LEAs were provided with directions and the number of files (10) to be submitted for data review.</w:t>
      </w:r>
      <w:r w:rsidRPr="00781112">
        <w:rPr>
          <w:rFonts w:cs="Arial"/>
          <w:color w:val="000000" w:themeColor="text1"/>
          <w:szCs w:val="16"/>
        </w:rPr>
        <w:br/>
      </w:r>
      <w:r w:rsidRPr="00781112">
        <w:rPr>
          <w:rFonts w:cs="Arial"/>
          <w:color w:val="000000" w:themeColor="text1"/>
          <w:szCs w:val="16"/>
        </w:rPr>
        <w:br/>
        <w:t xml:space="preserve">In Section 2 of the Self-Rating LEAs evaluated legal adherence to discipline rules for students with disabilities by selecting Yes or No to items such as: a) “The LEA has written policies, procedures, and practices that are compliant with the Discipline Rule,” b) The LEA provides professional learning </w:t>
      </w:r>
      <w:r w:rsidRPr="00781112">
        <w:rPr>
          <w:rFonts w:cs="Arial"/>
          <w:color w:val="000000" w:themeColor="text1"/>
          <w:szCs w:val="16"/>
        </w:rPr>
        <w:lastRenderedPageBreak/>
        <w:t>activities to ensure that all teachers and administrators are fully informed about their responsibilities for implementing the Discipline Rule.” Rules referenced in the protocol were all hyperlinked to provide clarity to LEAs. LEAs had to provide evidence and/or documentation to support the rating endorsed on the Self-Rating. LEAs uploaded evidence documents such as policies, procedures, and practices for the discipline of students with disabilities and professional learning agendas, presentations, and sign-in sheets. Ratings and evidence also had to provide evidence of the implementation and monitoring of disciplinary components (i.e., evidence of who is responsible for monitoring school data and when and how often it is done, evidence that PL implementation is monitored).</w:t>
      </w:r>
      <w:r w:rsidRPr="00781112">
        <w:rPr>
          <w:rFonts w:cs="Arial"/>
          <w:color w:val="000000" w:themeColor="text1"/>
          <w:szCs w:val="16"/>
        </w:rPr>
        <w:br/>
        <w:t>In section 3 LEAs were provided a listing of all required student file elements for the review: 1. Discipline records 2. Discipline meeting minutes 3. Parental notification for change in placement 4. Current IEP, current Behavior Intervention Plan (BIP), if applicable 5. Evidence that Functional Behavioral Assessment and/or BIP were reviewed and/or updated 6. All Manifestation Determination Reviews with supporting evidence for team decision 7. Evidence parents were provided Procedural Safeguards 8. Evidence of services provided to the student during subsequent days of removal beyond 10 days, if applicable. In section 3 LEAs rated each file submitted using Yes, No, or N/A for items such as: a) The LEA submitted documentation that parents were notified of each Manifestation Determination Review/IEP team meeting, if applicable. Each MDR from the current school year, must be uploaded. b) The IEP team documented a written statement within the IEP that addresses the behavioral needs for a child whose behavior impedes the child’s learning or that of others.</w:t>
      </w:r>
      <w:r w:rsidRPr="00781112">
        <w:rPr>
          <w:rFonts w:cs="Arial"/>
          <w:color w:val="000000" w:themeColor="text1"/>
          <w:szCs w:val="16"/>
        </w:rPr>
        <w:br/>
        <w:t>In section 4 LEAs were required to answer 7 additional questions for the files selected:</w:t>
      </w:r>
      <w:r w:rsidRPr="00781112">
        <w:rPr>
          <w:rFonts w:cs="Arial"/>
          <w:color w:val="000000" w:themeColor="text1"/>
          <w:szCs w:val="16"/>
        </w:rPr>
        <w:br/>
        <w:t>1) Does the student’s IEP include behavior goals?</w:t>
      </w:r>
      <w:r w:rsidRPr="00781112">
        <w:rPr>
          <w:rFonts w:cs="Arial"/>
          <w:color w:val="000000" w:themeColor="text1"/>
          <w:szCs w:val="16"/>
        </w:rPr>
        <w:br/>
        <w:t>2) Does the student have a BIP including positive behavioral interventions and supports?</w:t>
      </w:r>
      <w:r w:rsidRPr="00781112">
        <w:rPr>
          <w:rFonts w:cs="Arial"/>
          <w:color w:val="000000" w:themeColor="text1"/>
          <w:szCs w:val="16"/>
        </w:rPr>
        <w:br/>
        <w:t>3) Did the IEP team review and revise the IEP to address student behavior and concerns surrounding ISS, OSS and/or behavior referrals?</w:t>
      </w:r>
      <w:r w:rsidRPr="00781112">
        <w:rPr>
          <w:rFonts w:cs="Arial"/>
          <w:color w:val="000000" w:themeColor="text1"/>
          <w:szCs w:val="16"/>
        </w:rPr>
        <w:br/>
        <w:t>4) How many OSS days were accumulated for the 2021-2022 school year?</w:t>
      </w:r>
      <w:r w:rsidRPr="00781112">
        <w:rPr>
          <w:rFonts w:cs="Arial"/>
          <w:color w:val="000000" w:themeColor="text1"/>
          <w:szCs w:val="16"/>
        </w:rPr>
        <w:br/>
        <w:t>5) How many days ISS were accumulated for the 2021-2022 school year?</w:t>
      </w:r>
      <w:r w:rsidRPr="00781112">
        <w:rPr>
          <w:rFonts w:cs="Arial"/>
          <w:color w:val="000000" w:themeColor="text1"/>
          <w:szCs w:val="16"/>
        </w:rPr>
        <w:br/>
        <w:t>6) Did the “removal” constitute a change of placement based upon the Discipline Rule?</w:t>
      </w:r>
      <w:r w:rsidRPr="00781112">
        <w:rPr>
          <w:rFonts w:cs="Arial"/>
          <w:color w:val="000000" w:themeColor="text1"/>
          <w:szCs w:val="16"/>
        </w:rPr>
        <w:br/>
        <w:t>7) In the occurrence of ISS, which of the following took place? The student: a) was afforded the opportunity to continue to appropriately participate in the general curriculum. b) continued to receive the services specified in his/her IEP. c) continued to participate with nondisabled children to the extent he/she would have in his/her current placement. d) None of the above</w:t>
      </w:r>
      <w:r w:rsidRPr="00781112">
        <w:rPr>
          <w:rFonts w:cs="Arial"/>
          <w:color w:val="000000" w:themeColor="text1"/>
          <w:szCs w:val="16"/>
        </w:rPr>
        <w:br/>
        <w:t xml:space="preserve"> The final section of the Self-Rating required LEAs to respond to a series of discussion questions such as: </w:t>
      </w:r>
      <w:r w:rsidRPr="00781112">
        <w:rPr>
          <w:rFonts w:cs="Arial"/>
          <w:color w:val="000000" w:themeColor="text1"/>
          <w:szCs w:val="16"/>
        </w:rPr>
        <w:br/>
        <w:t>1) Are there groups, settings, or schools disproportionately impacted by removals? What could be contributing to these gaps?</w:t>
      </w:r>
      <w:r w:rsidRPr="00781112">
        <w:rPr>
          <w:rFonts w:cs="Arial"/>
          <w:color w:val="000000" w:themeColor="text1"/>
          <w:szCs w:val="16"/>
        </w:rPr>
        <w:br/>
        <w:t>2) What interventions and supports appear to be most effective? What data was reviewed to support your findings?</w:t>
      </w:r>
      <w:r w:rsidRPr="00781112">
        <w:rPr>
          <w:rFonts w:cs="Arial"/>
          <w:color w:val="000000" w:themeColor="text1"/>
          <w:szCs w:val="16"/>
        </w:rPr>
        <w:br/>
        <w:t>Results Driven Accountability GaDOE staff reviewed all LEA submitted documentation using a standardized protocol. The GaDOE staff communicated with LEAs during the review process for clarification and to answer any unresolved questions from the documentation. Based upon the review, GaDOE determined if inappropriate policies, practices, or procedures contributed to the significant discrepancy resulting in noncompliance in the regulatory requirements. 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31047242" w:rsidR="000C7B90" w:rsidRPr="00781112" w:rsidRDefault="00F6415A" w:rsidP="004369B2">
      <w:pPr>
        <w:rPr>
          <w:color w:val="000000" w:themeColor="text1"/>
        </w:rPr>
      </w:pPr>
      <w:r w:rsidRPr="00781112">
        <w:rPr>
          <w:b/>
          <w:color w:val="000000" w:themeColor="text1"/>
        </w:rPr>
        <w:t>FFY 2019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 xml:space="preserve">The Results Driven Accountability Unit at GaDOE completed a review of all LEAs that met the discrepancy criteria. Five LEAs were determined to be significantly discrepant with policies, practices and procedures which contributed to the discrepancy and were not legally compliant. The LEAs received written notification of the noncompliance and were required to timely correct the noncompliance no later than one year from the date of notification. Each LEA with noncompliance was advised of the required procedure to correct both individual cases of noncompliance and full implementation of regulatory requirements. The procedure for individual cases of noncompliance and the implementation of regulatory requirements were interconnected and included: </w:t>
      </w:r>
      <w:r w:rsidRPr="00781112">
        <w:rPr>
          <w:rFonts w:cs="Arial"/>
          <w:color w:val="000000" w:themeColor="text1"/>
          <w:szCs w:val="16"/>
        </w:rPr>
        <w:br/>
        <w:t>1) GaDOE provided technical assistance webinars to LEAs on the correct implementation of IEPs, including BIPs.</w:t>
      </w:r>
      <w:r w:rsidRPr="00781112">
        <w:rPr>
          <w:rFonts w:cs="Arial"/>
          <w:color w:val="000000" w:themeColor="text1"/>
          <w:szCs w:val="16"/>
        </w:rPr>
        <w:br/>
        <w:t xml:space="preserve">2) LEAs and GaDOE jointly developed, and LEAs submitted a Corrective Action Plan (CAP) to GaDOE through the State secured data application (SE Applications) for addressing the cited noncompliance and for revising policies, procedures, and practices related to the development and implementation of IEPs and procedural safeguards to ensure compliance with IDEA as required by 34 CFR §300.170(b). </w:t>
      </w:r>
      <w:r w:rsidRPr="00781112">
        <w:rPr>
          <w:rFonts w:cs="Arial"/>
          <w:color w:val="000000" w:themeColor="text1"/>
          <w:szCs w:val="16"/>
        </w:rPr>
        <w:br/>
        <w:t>3) LEAs, with guidance from GaDOE, revised and submitted policies, practices and procedures which required revision based upon the GaDOE review and the Self-Rating.</w:t>
      </w:r>
      <w:r w:rsidRPr="00781112">
        <w:rPr>
          <w:rFonts w:cs="Arial"/>
          <w:color w:val="000000" w:themeColor="text1"/>
          <w:szCs w:val="16"/>
        </w:rPr>
        <w:br/>
        <w:t>4) LEAs submitted correction of each individual case of noncompliance through the State secured data application (SE Applications), unless the child was no longer within the jurisdiction of the LEAs, consistent with OSEP Memorandum 09-02 dated October 17, 2008.</w:t>
      </w:r>
      <w:r w:rsidRPr="00781112">
        <w:rPr>
          <w:rFonts w:cs="Arial"/>
          <w:color w:val="000000" w:themeColor="text1"/>
          <w:szCs w:val="16"/>
        </w:rPr>
        <w:br/>
        <w:t xml:space="preserve">5) GaDOE verified and approved that the noncompliant prong 1 data was addressed with evidence of correction of noncompliance. State staff reviewed and substantiated that the individual cases of noncompliance as well as policies, procedures, and practices (prong 1 data) came into compliance. </w:t>
      </w:r>
      <w:r w:rsidRPr="00781112">
        <w:rPr>
          <w:rFonts w:cs="Arial"/>
          <w:color w:val="000000" w:themeColor="text1"/>
          <w:szCs w:val="16"/>
        </w:rPr>
        <w:br/>
        <w:t xml:space="preserve">6) LEAs submitted (through SE Applications) a GaDOE selected sample of new student data to substantiate systemic correction and implementation of regulatory requirements. </w:t>
      </w:r>
      <w:r w:rsidRPr="00781112">
        <w:rPr>
          <w:rFonts w:cs="Arial"/>
          <w:color w:val="000000" w:themeColor="text1"/>
          <w:szCs w:val="16"/>
        </w:rPr>
        <w:br/>
        <w:t xml:space="preserve">7) GaDOE verified the correction of noncompliance and implementation of regulatory requirements through a standardized protocol which included a review of new student files, implementation of updated professional learning, and the implementation of updated supervision and monitoring plans. The Prong 2 review of compliant practices and procedures to support systemic correction demonstrated that the LEAs were implementing the specific regulatory requirements that were cited previously as noncompliant and achieved 100% compliance based on the State’s review of updated data within one year of the documented noncompliance. GaDOE verified and approved that the noncompliant prong 2 data was addressed with evidence of correction of noncompliance. State staff reviewed and substantiated that the LEA prong 2 data came into compliance. </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t xml:space="preserve">The Results Driven Accountability Unit at GaDOE completed a review of all LEAs that met the discrepancy criteria. Five LEAs were determined to be significantly discrepant with policies, practices and procedures which contributed to the discrepancy and were not legally compliant. The LEAs received written notification of the noncompliance and were required to timely correct the noncompliance no later than one year from the date of notification. Each LEA with noncompliance was advised of the required procedure to correct both individual cases of noncompliance and full implementation of regulatory requirements. The procedure for individual cases of noncompliance and the implementation of regulatory requirements were interconnected and included: </w:t>
      </w:r>
      <w:r w:rsidRPr="00781112">
        <w:rPr>
          <w:rFonts w:cs="Arial"/>
          <w:color w:val="000000" w:themeColor="text1"/>
          <w:szCs w:val="16"/>
        </w:rPr>
        <w:br/>
        <w:t>1) GaDOE provided technical assistance webinars to LEAs on the correct implementation of IEPs, including BIPs.</w:t>
      </w:r>
      <w:r w:rsidRPr="00781112">
        <w:rPr>
          <w:rFonts w:cs="Arial"/>
          <w:color w:val="000000" w:themeColor="text1"/>
          <w:szCs w:val="16"/>
        </w:rPr>
        <w:br/>
      </w:r>
      <w:r w:rsidRPr="00781112">
        <w:rPr>
          <w:rFonts w:cs="Arial"/>
          <w:color w:val="000000" w:themeColor="text1"/>
          <w:szCs w:val="16"/>
        </w:rPr>
        <w:lastRenderedPageBreak/>
        <w:t xml:space="preserve">2) LEAs and GaDOE jointly developed, and LEAs submitted a Corrective Action Plan (CAP) to GaDOE through the State secured data application (SE Applications) for addressing the cited noncompliance and for revising policies, procedures, and practices related to the development and implementation of IEPs and procedural safeguards to ensure compliance with IDEA as required by 34 CFR §300.170(b). </w:t>
      </w:r>
      <w:r w:rsidRPr="00781112">
        <w:rPr>
          <w:rFonts w:cs="Arial"/>
          <w:color w:val="000000" w:themeColor="text1"/>
          <w:szCs w:val="16"/>
        </w:rPr>
        <w:br/>
        <w:t>3) LEAs, with guidance from GaDOE, revised and submitted policies, practices and procedures which required revision based upon the GaDOE review and the Self-Rating.</w:t>
      </w:r>
      <w:r w:rsidRPr="00781112">
        <w:rPr>
          <w:rFonts w:cs="Arial"/>
          <w:color w:val="000000" w:themeColor="text1"/>
          <w:szCs w:val="16"/>
        </w:rPr>
        <w:br/>
        <w:t>4) LEAs submitted correction of each individual case of noncompliance through the State secured data application (SE Applications), unless the child was no longer within the jurisdiction of the LEAs, consistent with OSEP Memorandum 09-02 dated October 17, 2008.</w:t>
      </w:r>
      <w:r w:rsidRPr="00781112">
        <w:rPr>
          <w:rFonts w:cs="Arial"/>
          <w:color w:val="000000" w:themeColor="text1"/>
          <w:szCs w:val="16"/>
        </w:rPr>
        <w:br/>
        <w:t xml:space="preserve">5) GaDOE verified and approved that the noncompliant prong 1 data was addressed with evidence of correction of noncompliance. State staff reviewed and substantiated that the individual cases of noncompliance as well as policies, procedures, and practices (prong 1 data) came into compliance. </w:t>
      </w:r>
      <w:r w:rsidRPr="00781112">
        <w:rPr>
          <w:rFonts w:cs="Arial"/>
          <w:color w:val="000000" w:themeColor="text1"/>
          <w:szCs w:val="16"/>
        </w:rPr>
        <w:br/>
        <w:t xml:space="preserve">6) LEAs submitted (through SE Applications) a GaDOE selected sample of new student data to substantiate systemic correction and implementation of regulatory requirements. </w:t>
      </w:r>
      <w:r w:rsidRPr="00781112">
        <w:rPr>
          <w:rFonts w:cs="Arial"/>
          <w:color w:val="000000" w:themeColor="text1"/>
          <w:szCs w:val="16"/>
        </w:rPr>
        <w:br/>
        <w:t xml:space="preserve">7) GaDOE verified the correction of noncompliance and implementation of regulatory requirements through a standardized protocol which included a review of new student files, implementation of updated professional learning, and the implementation of updated supervision and monitoring plans. The Prong 2 review of compliant practices and procedures to support systemic correction demonstrated that the LEAs were implementing the specific regulatory requirements that were cited previously as noncompliant and achieved 100% compliance based on the State’s review of updated data within one year of the documented noncompliance. GaDOE verified and approved that the noncompliant prong 2 data was addressed with evidence of correction of noncompliance. State staff reviewed and substantiated that the LEA prong 2 data came into compliance. </w:t>
      </w:r>
    </w:p>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report, in the FFY 2020 SPP/APR, on the correction of noncompliance that the State identified in FFY 2019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1DD8AD86" w:rsidR="004E2151" w:rsidRPr="00781112" w:rsidRDefault="004E2151" w:rsidP="004369B2">
      <w:pPr>
        <w:rPr>
          <w:b/>
          <w:color w:val="000000" w:themeColor="text1"/>
        </w:rPr>
      </w:pPr>
      <w:r w:rsidRPr="00781112">
        <w:rPr>
          <w:b/>
          <w:color w:val="000000" w:themeColor="text1"/>
        </w:rPr>
        <w:t>Response to actions required in FFY 2019 SPP/APR</w:t>
      </w:r>
    </w:p>
    <w:p w14:paraId="0B0E4F8A" w14:textId="671C6BE6" w:rsidR="004E2151" w:rsidRPr="00781112" w:rsidRDefault="004E2151"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5.00%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5.00%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18.18%</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15.38%</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28.57%</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204</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28.57%</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Significant discrepancy by race/ethnicity is defined as the number of LEAs that have a significant discrepancy in the rate of suspensions and expulsions of greater than 10 days in a school year for children with IEPs by race/ethnicity in comparison to the state rate for all SWD with &gt; 10 days OSS. The LEA cell size is &gt;= 10 students with disabilities suspended Out of School (OSS) &gt;10 days in a specific racial/ethnic group in the LEA, and the LEA n size is &gt;= 30 students with disabilities in the same specific racial/ethnic group cumulatively enrolled in the LEA. The formula used is the for Rate Ratio (LEA SWD Rate for OSS by race/ethnicity &gt; 10 Days)/(State SWD Rate for OSS &gt; 10 Days). The LEA threshold score is a rate ratio of &gt;= 2.0 for 2 consecutive years. </w:t>
      </w:r>
      <w:r w:rsidRPr="00781112">
        <w:rPr>
          <w:rFonts w:cs="Arial"/>
          <w:color w:val="000000" w:themeColor="text1"/>
          <w:szCs w:val="16"/>
        </w:rPr>
        <w:br/>
      </w:r>
      <w:r w:rsidRPr="00781112">
        <w:rPr>
          <w:rFonts w:cs="Arial"/>
          <w:color w:val="000000" w:themeColor="text1"/>
          <w:szCs w:val="16"/>
        </w:rPr>
        <w:br/>
        <w:t>Methodology: The number of LEAs with a significant discrepancy by race/ethnicity was determined using only LEAs that had both one subgroup &gt;= 10 students with disabilities suspended Out of School (OSS) &gt;10 days in a specific racial/ethnic subgroup (cell size) and the 30 children with disabilities in the same ethnic or racial subgroup cumulatively enrolled in the LEA. There were 12 LEAs that met the criteria and comprised the number of LEAs that met the State’s minimum n/cell size. Of the 12 LEAs meeting the minimum cell and n size, 10 met the rate ratio of &gt;= 2.0 for two consecutive years and were classified as having a significant discrepancy by race or ethnicity.</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COVID did not impact the collection, reliability, validity, or completeness of Indicator 4B.</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Georgia used a Comprehensive Compliance Review to review local policies, procedures, and practices to review the development and implementation of IEPs, the use of positive behavioral interventions and supports, and procedural safeguards. LEAs identified as having significant discrepancy participated in the Comprehensive Compliance Review process and submitted required documents and communicated with GaDOE through the secured Special Education Applications Dashboard located in the GaDOE portal. The review included topics such as the implementation of IEPs, the use of positive behavioral interventions and supports, and procedural safeguards. As an example, the State reviewed documentation to determine the following:</w:t>
      </w:r>
      <w:r w:rsidRPr="00781112">
        <w:rPr>
          <w:rFonts w:cs="Arial"/>
          <w:color w:val="000000" w:themeColor="text1"/>
          <w:szCs w:val="16"/>
        </w:rPr>
        <w:br/>
        <w:t>o if students removed greater than ten days were able to continue to receive services</w:t>
      </w:r>
      <w:r w:rsidRPr="00781112">
        <w:rPr>
          <w:rFonts w:cs="Arial"/>
          <w:color w:val="000000" w:themeColor="text1"/>
          <w:szCs w:val="16"/>
        </w:rPr>
        <w:br/>
        <w:t xml:space="preserve">o if the local school system conducted a manifestation determination meeting to determine if the behavior was the result of the disability; and </w:t>
      </w:r>
      <w:r w:rsidRPr="00781112">
        <w:rPr>
          <w:rFonts w:cs="Arial"/>
          <w:color w:val="000000" w:themeColor="text1"/>
          <w:szCs w:val="16"/>
        </w:rPr>
        <w:br/>
      </w:r>
      <w:r w:rsidRPr="00781112">
        <w:rPr>
          <w:rFonts w:cs="Arial"/>
          <w:color w:val="000000" w:themeColor="text1"/>
          <w:szCs w:val="16"/>
        </w:rPr>
        <w:lastRenderedPageBreak/>
        <w:t>o if the student has benefited from a behavior intervention plan, which includes positive behavioral interventions and supports.</w:t>
      </w:r>
      <w:r w:rsidRPr="00781112">
        <w:rPr>
          <w:rFonts w:cs="Arial"/>
          <w:color w:val="000000" w:themeColor="text1"/>
          <w:szCs w:val="16"/>
        </w:rPr>
        <w:br/>
      </w:r>
      <w:r w:rsidRPr="00781112">
        <w:rPr>
          <w:rFonts w:cs="Arial"/>
          <w:color w:val="000000" w:themeColor="text1"/>
          <w:szCs w:val="16"/>
        </w:rPr>
        <w:br/>
        <w:t>As a first step of the review, LEAs identified as having significant discrepancy reviewed their policies, practices, and procedures through the use of a GaDOE developed electronic form titled LEA Self-Rating for Disproportionality Compliance Review – Discipline at https://www.gadoe.org/Curriculum-Instruction-and-Assessment/Special-Education-Services/Pages/Disproportionality.aspx. LEAs completed this document by convening a team of stakeholders to self-assess or rate their compliance to the legal requirements of discipline for students with disabilities. In the first part of of the Self-Rating, LEAs were provided with directions and the number of files (10) to be submitted for data review.</w:t>
      </w:r>
      <w:r w:rsidRPr="00781112">
        <w:rPr>
          <w:rFonts w:cs="Arial"/>
          <w:color w:val="000000" w:themeColor="text1"/>
          <w:szCs w:val="16"/>
        </w:rPr>
        <w:br/>
      </w:r>
      <w:r w:rsidRPr="00781112">
        <w:rPr>
          <w:rFonts w:cs="Arial"/>
          <w:color w:val="000000" w:themeColor="text1"/>
          <w:szCs w:val="16"/>
        </w:rPr>
        <w:br/>
        <w:t>In Section 2 of the Self-Rating LEAs evaluated legal adherence to discipline rules for students with disabilities by selecting Yes or No to items such as: a) “The LEA has written policies, procedures, and practices that are compliant with the Discipline Rule,” b) The LEA provides professional learning activities to ensure that all teachers and administrators are fully informed about their responsibilities for implementing the Discipline Rule.” Rules referenced in the protocol were all hyperlinked to provide clarity to LEAs. LEAs had to provide evidence and/or documentation to support the rating endorsed on the Self-Rating. LEAs uploaded evidence documents such as policies, procedures, for the discipline of students with disabilities and professional learning agendas, presentations, and sign-in sheets. Ratings and evidence also had to provide evidence of the implementation and monitoring of disciplinary components (i.e., evidence of who is responsible for monitoring school data and when and how often it is done, evidence that PL implementation is monitored).</w:t>
      </w:r>
      <w:r w:rsidRPr="00781112">
        <w:rPr>
          <w:rFonts w:cs="Arial"/>
          <w:color w:val="000000" w:themeColor="text1"/>
          <w:szCs w:val="16"/>
        </w:rPr>
        <w:br/>
        <w:t>In section 3 LEAs were provided a listing of all required student file elements for the review: 1. Discipline records 2. Discipline meeting minutes 3. Parental notification for change in placement 4. Current IEP, current Behavior Intervention Plan (BIP), if applicable 5. Evidence that Functional Behavioral Assessment and/or BIP were reviewed and/or updated 6. All Manifestation Determination Reviews with supporting evidence for team decision 7. Evidence parents were provided Procedural Safeguards 8. Evidence of services provided to the student during subsequent days of removal beyond 10 days, if applicable. In section 3 LEAs rated each file submitted using Yes, No, or N/A for items such as: a) The LEA submitted documentation that parents were notified of each Manifestation Determination Review/IEP team meeting, if applicable. Each MDR from the current school year, must be uploaded. b) The IEP team documented a written statement within the IEP that addresses the behavioral needs for a child whose behavior impedes the child’s learning or that of others.</w:t>
      </w:r>
      <w:r w:rsidRPr="00781112">
        <w:rPr>
          <w:rFonts w:cs="Arial"/>
          <w:color w:val="000000" w:themeColor="text1"/>
          <w:szCs w:val="16"/>
        </w:rPr>
        <w:br/>
        <w:t>In section 4 LEAs were required to answer 7 additional questions for the file selection:</w:t>
      </w:r>
      <w:r w:rsidRPr="00781112">
        <w:rPr>
          <w:rFonts w:cs="Arial"/>
          <w:color w:val="000000" w:themeColor="text1"/>
          <w:szCs w:val="16"/>
        </w:rPr>
        <w:br/>
        <w:t>1) Does the student’s IEP include behavior goals?</w:t>
      </w:r>
      <w:r w:rsidRPr="00781112">
        <w:rPr>
          <w:rFonts w:cs="Arial"/>
          <w:color w:val="000000" w:themeColor="text1"/>
          <w:szCs w:val="16"/>
        </w:rPr>
        <w:br/>
        <w:t>2) Does the student have a BIP including positive behavioral interventions and supports?</w:t>
      </w:r>
      <w:r w:rsidRPr="00781112">
        <w:rPr>
          <w:rFonts w:cs="Arial"/>
          <w:color w:val="000000" w:themeColor="text1"/>
          <w:szCs w:val="16"/>
        </w:rPr>
        <w:br/>
        <w:t>3) Did the IEP team review and revise the IEP to address student behavior and concerns surrounding ISS, OSS and/or behavior referrals?</w:t>
      </w:r>
      <w:r w:rsidRPr="00781112">
        <w:rPr>
          <w:rFonts w:cs="Arial"/>
          <w:color w:val="000000" w:themeColor="text1"/>
          <w:szCs w:val="16"/>
        </w:rPr>
        <w:br/>
        <w:t>4) How many OSS days were accumulated for the 2021-2022 school year?</w:t>
      </w:r>
      <w:r w:rsidRPr="00781112">
        <w:rPr>
          <w:rFonts w:cs="Arial"/>
          <w:color w:val="000000" w:themeColor="text1"/>
          <w:szCs w:val="16"/>
        </w:rPr>
        <w:br/>
        <w:t>5) How many days ISS were accumulated for the 2021-2022 school year?</w:t>
      </w:r>
      <w:r w:rsidRPr="00781112">
        <w:rPr>
          <w:rFonts w:cs="Arial"/>
          <w:color w:val="000000" w:themeColor="text1"/>
          <w:szCs w:val="16"/>
        </w:rPr>
        <w:br/>
        <w:t>6) Did the “removal” constitute a change of placement based upon the Discipline Rule?</w:t>
      </w:r>
      <w:r w:rsidRPr="00781112">
        <w:rPr>
          <w:rFonts w:cs="Arial"/>
          <w:color w:val="000000" w:themeColor="text1"/>
          <w:szCs w:val="16"/>
        </w:rPr>
        <w:br/>
        <w:t>7) In the occurrence of ISS, which of the following took place? The student: a) was afforded the opportunity to continue to appropriately participate in the general curriculum. b) continued to receive the services specified in his/her IEP. c) continued to participate with nondisabled children to the extent he/she would have in his/her current placement. d) None of the above</w:t>
      </w:r>
      <w:r w:rsidRPr="00781112">
        <w:rPr>
          <w:rFonts w:cs="Arial"/>
          <w:color w:val="000000" w:themeColor="text1"/>
          <w:szCs w:val="16"/>
        </w:rPr>
        <w:br/>
        <w:t xml:space="preserve">The concluding section of the Self-Rating required LEAs to respond to a series of discussion questions such as: </w:t>
      </w:r>
      <w:r w:rsidRPr="00781112">
        <w:rPr>
          <w:rFonts w:cs="Arial"/>
          <w:color w:val="000000" w:themeColor="text1"/>
          <w:szCs w:val="16"/>
        </w:rPr>
        <w:br/>
        <w:t>1) Are there groups, settings, or schools disproportionately impacted by removals? What could be contributing to these gaps?</w:t>
      </w:r>
      <w:r w:rsidRPr="00781112">
        <w:rPr>
          <w:rFonts w:cs="Arial"/>
          <w:color w:val="000000" w:themeColor="text1"/>
          <w:szCs w:val="16"/>
        </w:rPr>
        <w:br/>
        <w:t>2) What interventions and supports appear to be most effective? What data was reviewed to support your findings?</w:t>
      </w:r>
      <w:r w:rsidRPr="00781112">
        <w:rPr>
          <w:rFonts w:cs="Arial"/>
          <w:color w:val="000000" w:themeColor="text1"/>
          <w:szCs w:val="16"/>
        </w:rPr>
        <w:br/>
        <w:t>Results Driven Accountability GaDOE staff reviewed all LEA submitted documentation using a standardized protocol. The GaDOE staff communicated with LEAs during the review process for clarification and to answer any unresolved questions from the documentation. Based upon the review, GaDOE determined if inappropriate policies, practices, or procedures contributed to the significant discrepancy resulting in noncompliance in the regulatory requirements. The State DID NOT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29A50C20" w:rsidR="009A755E" w:rsidRPr="00781112" w:rsidRDefault="00F6415A" w:rsidP="004369B2">
      <w:pPr>
        <w:rPr>
          <w:color w:val="000000" w:themeColor="text1"/>
        </w:rPr>
      </w:pPr>
      <w:r w:rsidRPr="00781112">
        <w:rPr>
          <w:b/>
          <w:color w:val="000000" w:themeColor="text1"/>
        </w:rPr>
        <w:t>FFY 2019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 xml:space="preserve">The Results Driven Accountability Unit at GaDOE completed a review of all LEAs that met the discrepancy criteria. Four LEAs were determined to be significantly discrepant with policies, practices and procedures which contributed to the discrepancy and were not legally compliant. The LEAs received written notification of the noncompliance and were required to timely correct the noncompliance no later than one year from the date of notification. Each LEA with noncompliance was advised of the required procedure to correct both individual cases of noncompliance and full implementation of regulatory requirements. The procedure for individual cases of noncompliance and the implementation of regulatory requirements were interconnected and included: </w:t>
      </w:r>
      <w:r w:rsidRPr="00781112">
        <w:rPr>
          <w:rFonts w:cs="Arial"/>
          <w:color w:val="000000" w:themeColor="text1"/>
          <w:szCs w:val="16"/>
        </w:rPr>
        <w:br/>
        <w:t>1) GaDOE provided technical assistance webinars to LEAs on the correct implementation of IEPs, including BIPs.</w:t>
      </w:r>
      <w:r w:rsidRPr="00781112">
        <w:rPr>
          <w:rFonts w:cs="Arial"/>
          <w:color w:val="000000" w:themeColor="text1"/>
          <w:szCs w:val="16"/>
        </w:rPr>
        <w:br/>
        <w:t xml:space="preserve">2) LEAs and GaDOE jointly developed, and LEAs submitted a Corrective Action Plan (CAP) to GaDOE through the State secured data application (SE Applications) for addressing the cited noncompliance and for revising policies, procedures, and practices related to the development and implementation of IEPs and procedural safeguards to ensure compliance with IDEA as required by 34 CFR §300.170(b). </w:t>
      </w:r>
      <w:r w:rsidRPr="00781112">
        <w:rPr>
          <w:rFonts w:cs="Arial"/>
          <w:color w:val="000000" w:themeColor="text1"/>
          <w:szCs w:val="16"/>
        </w:rPr>
        <w:br/>
        <w:t>3) LEAs, with guidance from GaDOE, revised and submitted policies, practices and procedures which required revision based upon the GaDOE review and the Self-Rating.</w:t>
      </w:r>
      <w:r w:rsidRPr="00781112">
        <w:rPr>
          <w:rFonts w:cs="Arial"/>
          <w:color w:val="000000" w:themeColor="text1"/>
          <w:szCs w:val="16"/>
        </w:rPr>
        <w:br/>
        <w:t>4) LEAs submitted correction of each individual case of noncompliance through the State secured data application (SE Applications), unless the child was no longer within the jurisdiction of the LEAs, consistent with OSEP Memorandum 09-02 dated October 17, 2008.</w:t>
      </w:r>
      <w:r w:rsidRPr="00781112">
        <w:rPr>
          <w:rFonts w:cs="Arial"/>
          <w:color w:val="000000" w:themeColor="text1"/>
          <w:szCs w:val="16"/>
        </w:rPr>
        <w:br/>
        <w:t xml:space="preserve">5) GaDOE verified and approved that the noncompliant prong 1 data was addressed with evidence of correction of noncompliance. State staff reviewed and substantiated that the individual cases of noncompliance as well as policies, procedures, and practices (prong 1 data) came into compliance. </w:t>
      </w:r>
      <w:r w:rsidRPr="00781112">
        <w:rPr>
          <w:rFonts w:cs="Arial"/>
          <w:color w:val="000000" w:themeColor="text1"/>
          <w:szCs w:val="16"/>
        </w:rPr>
        <w:br/>
        <w:t xml:space="preserve">6) LEAs submitted (through SE Applications) a GaDOE selected sample of new student data to substantiate systemic correction and implementation of regulatory requirements. </w:t>
      </w:r>
      <w:r w:rsidRPr="00781112">
        <w:rPr>
          <w:rFonts w:cs="Arial"/>
          <w:color w:val="000000" w:themeColor="text1"/>
          <w:szCs w:val="16"/>
        </w:rPr>
        <w:br/>
        <w:t xml:space="preserve">7) GaDOE verified the correction of noncompliance and implementation of regulatory requirements through a standardized protocol which included a review of new student files, implementation of updated professional learning, and the implementation of updated supervision and monitoring plans. The Prong 2 review of compliant practices and procedures to support systemic correction demonstrated that the LEAs were implementing the specific regulatory requirements that were cited previously as noncompliant and achieved 100% compliance based on the State’s review of updated data within </w:t>
      </w:r>
      <w:r w:rsidRPr="00781112">
        <w:rPr>
          <w:rFonts w:cs="Arial"/>
          <w:color w:val="000000" w:themeColor="text1"/>
          <w:szCs w:val="16"/>
        </w:rPr>
        <w:lastRenderedPageBreak/>
        <w:t xml:space="preserve">one year of the documented noncompliance. GaDOE verified and approved that the noncompliant prong 2 data was addressed with evidence of correction of noncompliance. State staff reviewed and substantiated that the LEA prong 2 data came into compliance. </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t xml:space="preserve">The Results Driven Accountability Unit at GaDOE completed a review of all LEAs that met the discrepancy criteria. Four LEAs were determined to be significantly discrepant with policies, practices and procedures which contributed to the discrepancy and were not legally compliant. The LEAs received written notification of the noncompliance and were required to timely correct the noncompliance no later than one year from the date of notification. Each LEA with noncompliance was advised of the required procedure to correct both individual cases of noncompliance and full implementation of regulatory requirements. The procedure for individual cases of noncompliance and the implementation of regulatory requirements were interconnected and included: </w:t>
      </w:r>
      <w:r w:rsidRPr="00781112">
        <w:rPr>
          <w:rFonts w:cs="Arial"/>
          <w:color w:val="000000" w:themeColor="text1"/>
          <w:szCs w:val="16"/>
        </w:rPr>
        <w:br/>
        <w:t>1) GaDOE provided technical assistance webinars to LEAs on the correct implementation of IEPs, including BIPs.</w:t>
      </w:r>
      <w:r w:rsidRPr="00781112">
        <w:rPr>
          <w:rFonts w:cs="Arial"/>
          <w:color w:val="000000" w:themeColor="text1"/>
          <w:szCs w:val="16"/>
        </w:rPr>
        <w:br/>
        <w:t xml:space="preserve">2) LEAs and GaDOE jointly developed, and LEAs submitted a Corrective Action Plan (CAP) to GaDOE through the State secured data application (SE Applications) for addressing the cited noncompliance and for revising policies, procedures, and practices related to the development and implementation of IEPs and procedural safeguards to ensure compliance with IDEA as required by 34 CFR §300.170(b). </w:t>
      </w:r>
      <w:r w:rsidRPr="00781112">
        <w:rPr>
          <w:rFonts w:cs="Arial"/>
          <w:color w:val="000000" w:themeColor="text1"/>
          <w:szCs w:val="16"/>
        </w:rPr>
        <w:br/>
        <w:t>3) LEAs, with guidance from GaDOE, revised and submitted policies, practices and procedures which required revision based upon the GaDOE review and the Self-Rating.</w:t>
      </w:r>
      <w:r w:rsidRPr="00781112">
        <w:rPr>
          <w:rFonts w:cs="Arial"/>
          <w:color w:val="000000" w:themeColor="text1"/>
          <w:szCs w:val="16"/>
        </w:rPr>
        <w:br/>
        <w:t>4) LEAs submitted correction of each individual case of noncompliance through the State secured data application (SE Applications), unless the child was no longer within the jurisdiction of the LEAs, consistent with OSEP Memorandum 09-02 dated October 17, 2008.</w:t>
      </w:r>
      <w:r w:rsidRPr="00781112">
        <w:rPr>
          <w:rFonts w:cs="Arial"/>
          <w:color w:val="000000" w:themeColor="text1"/>
          <w:szCs w:val="16"/>
        </w:rPr>
        <w:br/>
        <w:t xml:space="preserve">5) GaDOE verified and approved that the noncompliant prong 1 data was addressed with evidence of correction of noncompliance. State staff reviewed and substantiated that the individual cases of noncompliance as well as policies, procedures, and practices (prong 1 data) came into compliance. </w:t>
      </w:r>
      <w:r w:rsidRPr="00781112">
        <w:rPr>
          <w:rFonts w:cs="Arial"/>
          <w:color w:val="000000" w:themeColor="text1"/>
          <w:szCs w:val="16"/>
        </w:rPr>
        <w:br/>
        <w:t xml:space="preserve">6) LEAs submitted (through SE Applications) a GaDOE selected sample of new student data to substantiate systemic correction and implementation of regulatory requirements. </w:t>
      </w:r>
      <w:r w:rsidRPr="00781112">
        <w:rPr>
          <w:rFonts w:cs="Arial"/>
          <w:color w:val="000000" w:themeColor="text1"/>
          <w:szCs w:val="16"/>
        </w:rPr>
        <w:br/>
        <w:t>7) GaDOE verified the correction of noncompliance and implementation of regulatory requirements through a standardized protocol which included a review of new student files, implementation of updated professional learning, and the implementation of updated supervision and monitoring plans. The Prong 2 review of compliant practices and procedures to support systemic correction demonstrated that the LEAs were implementing the specific regulatory requirements that were cited previously as noncompliant and achieved 100% compliance based on the State’s review of updated data within one year of the documented noncompliance. GaDOE verified and approved that the noncompliant prong 2 data was addressed with evidence of correction of noncompliance. State staff reviewed and substantiated that the LEA prong 2 data came into compliance.</w:t>
      </w:r>
    </w:p>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2019, the State must report on the status of correction of noncompliance identified in FFY 2019 for this indicator.  The State must demonstrate, in the FFY 2020 SPP/APR, that the districts identified with noncompliance in FFY 2019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39A1EFB" w14:textId="5155DA04" w:rsidR="004E2151" w:rsidRPr="00781112" w:rsidRDefault="004E2151" w:rsidP="004369B2">
      <w:pPr>
        <w:rPr>
          <w:b/>
          <w:color w:val="000000" w:themeColor="text1"/>
        </w:rPr>
      </w:pPr>
      <w:r w:rsidRPr="00781112">
        <w:rPr>
          <w:b/>
          <w:color w:val="000000" w:themeColor="text1"/>
        </w:rPr>
        <w:t>Response to actions required in FFY 2019 SPP/APR</w:t>
      </w:r>
    </w:p>
    <w:p w14:paraId="7AA3834F" w14:textId="729EC2A3" w:rsidR="004E2151" w:rsidRPr="00781112" w:rsidRDefault="004E2151" w:rsidP="004E2151">
      <w:pPr>
        <w:rPr>
          <w:rFonts w:cs="Arial"/>
          <w:color w:val="000000" w:themeColor="text1"/>
          <w:szCs w:val="16"/>
        </w:rPr>
      </w:pP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65.20%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65.30%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65.40%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BB7BC9">
            <w:pPr>
              <w:jc w:val="center"/>
              <w:rPr>
                <w:rFonts w:cs="Arial"/>
                <w:color w:val="000000" w:themeColor="text1"/>
                <w:szCs w:val="16"/>
              </w:rPr>
            </w:pP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62.73%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64.89%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64.46%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64.06%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63.04%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62.73%</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14.30%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14.20%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14.10%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BB7BC9">
            <w:pPr>
              <w:jc w:val="center"/>
              <w:rPr>
                <w:rFonts w:cs="Arial"/>
                <w:color w:val="000000" w:themeColor="text1"/>
                <w:szCs w:val="16"/>
              </w:rPr>
            </w:pP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16.58%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15.04%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15.11%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15.20%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16.26%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16.58%</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BB7BC9">
            <w:pPr>
              <w:jc w:val="center"/>
              <w:rPr>
                <w:rFonts w:cs="Arial"/>
                <w:color w:val="000000" w:themeColor="text1"/>
                <w:szCs w:val="16"/>
              </w:rPr>
            </w:pP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1.48%</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62.73%</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63.73%</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64.73%</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65.73%</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66.73%</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67.73%</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16.58%</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16.58%</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16.08%</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15.58%</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15.08%</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15.08%</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1.48%</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1.48%</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1.38%</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1.38%</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1.28%</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1.28%</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r>
      <w:r w:rsidRPr="00781112">
        <w:rPr>
          <w:rFonts w:cs="Arial"/>
          <w:color w:val="000000" w:themeColor="text1"/>
          <w:szCs w:val="16"/>
        </w:rPr>
        <w:lastRenderedPageBreak/>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 xml:space="preserve">SAP stakeholders were given the opportunity to provide feedback on the State's performance on the SPP/APR Indicators and the development of targets for the 2020-2025 package on May 6, 2021, September 2, 2021, October 29, 2021, December 3, 2021, and January 13, 2022. Beginning on May 6, 2021, the SAP was provided with a comprehensive overview presentation of the new SPP/APR 2020-2025 package and Indicators through a cohesive Indicators Cluster Group Framework developed by the Georgia Part B Data Managers. In the framework, SPP/APR Indicators were grouped together based upon similar objectives and intended outcomes for students. For example, Group A: High School and Life Outcomes Group included Indicators 1 (Graduation), 2 (Dropout), 13 (Secondary Transition), and 14 (Post School Outcomes). The presentation informed the SAP of the differences, if applicable, in measurement for Indicators in the new SPP/APR package. SAP viewed projected and historical data for the Indicators of the SPP/APR FFY 2020. If a new calculation and/or data group was used for an Indicator, such as Indicator 1 (Graduation), historical data was converted to allow for a comparable analysis of current and historical data. SAP was also provided with resources and links to access the information and the opportunity to ask questions. At the conclusion of the meeting, SAP members were provided with an opportunity to join a specific work group (shown below) for SPP/APR development. </w:t>
      </w:r>
      <w:r w:rsidRPr="00781112">
        <w:rPr>
          <w:rFonts w:cs="Arial"/>
          <w:color w:val="000000" w:themeColor="text1"/>
          <w:szCs w:val="16"/>
        </w:rPr>
        <w:br/>
        <w:t xml:space="preserve">The Indicators of the SPP/APR were divided into the following groups to enable focused work and greater opportunity for stakeholder feedback: </w:t>
      </w:r>
      <w:r w:rsidRPr="00781112">
        <w:rPr>
          <w:rFonts w:cs="Arial"/>
          <w:color w:val="000000" w:themeColor="text1"/>
          <w:szCs w:val="16"/>
        </w:rPr>
        <w:br/>
        <w:t>• Group A: High School and Life Outcomes (Indicators 1, 2, 13, 14 and 17)</w:t>
      </w:r>
      <w:r w:rsidRPr="00781112">
        <w:rPr>
          <w:rFonts w:cs="Arial"/>
          <w:color w:val="000000" w:themeColor="text1"/>
          <w:szCs w:val="16"/>
        </w:rPr>
        <w:br/>
        <w:t>• Group B: Disproportionality (Indicators 4, 9, and 10)</w:t>
      </w:r>
      <w:r w:rsidRPr="00781112">
        <w:rPr>
          <w:rFonts w:cs="Arial"/>
          <w:color w:val="000000" w:themeColor="text1"/>
          <w:szCs w:val="16"/>
        </w:rPr>
        <w:br/>
        <w:t>• Group C: Environments and Timelines (Indicators 5, 6, 11, and 12)</w:t>
      </w:r>
      <w:r w:rsidRPr="00781112">
        <w:rPr>
          <w:rFonts w:cs="Arial"/>
          <w:color w:val="000000" w:themeColor="text1"/>
          <w:szCs w:val="16"/>
        </w:rPr>
        <w:br/>
        <w:t xml:space="preserve">• Group D: Preschool, Parent Involvement, and Legal (Indicators 7, 8,15, and 16) </w:t>
      </w:r>
      <w:r w:rsidRPr="00781112">
        <w:rPr>
          <w:rFonts w:cs="Arial"/>
          <w:color w:val="000000" w:themeColor="text1"/>
          <w:szCs w:val="16"/>
        </w:rPr>
        <w:br/>
        <w:t xml:space="preserve">• Group E: Assessment (Indicator 3). </w:t>
      </w:r>
      <w:r w:rsidRPr="00781112">
        <w:rPr>
          <w:rFonts w:cs="Arial"/>
          <w:color w:val="000000" w:themeColor="text1"/>
          <w:szCs w:val="16"/>
        </w:rPr>
        <w:br/>
        <w:t>On September 2, 2021, all SAP members worked in one of the five groups based upon self-selection. There was parent representation in each group. The small group sessions were facilitated by DSESS staff using a standardized format. Each facilitator was provided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group provided specific documented feedback on possible targets and lingering questions based on an analysis of the data. Follow-up sessions were conducted October 29, 2021, December 3, 2021, and January 13, 2022.</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9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4, 2021 and ended November 1, 2021. Registration records for these opportunities indicated that 1,473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November 1, 2021 LEA SPP/APR stakeholder session, feedback from all meetings, email, and questions was formatted into an online survey titled SPP/APR State Performance Plan Feedback Survey 2020-2025 posted at https://www.gadoe.org/Curriculum-Instruction-and-Assessment/Special-Education-Services/Pages/State-Performance-Plan-(SPP),-Annual-Performance-Reports-(APR)-and-Annual-Determinations.aspx.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The SPP/APR Survey was publicly posted to allow for even broader participation. Following the collection of the survey, the results were used to set targets which were publicly posted for comment at the website above on December 7, 2021, except for Indicator 3. Indicator 3 assessment results and targets were made available following the January 13, 2022 SAP meeting. Assessment results were not broadly available in Georgia until after December 15, 2021, and the January SAP meeting was the first opportunity to receive stakeholder feedback on the Indicator 3 (Assessment) baselines and targets.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213,272</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133,094</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36,609</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2,325</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337</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397</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133,094</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213,272</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62.73%</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62.73%</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62.41%</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36,609</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213,272</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16.58%</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16.58%</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17.17%</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3,059</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213,272</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1.48%</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1.48%</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1.43%</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COVID did not impact the validity, reliability, or completeness of this indicator.</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46.20%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46.40%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46.60%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43.98%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42.95%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41.94%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41.76%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32.54%</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23.50%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22.50%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24.65%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25.82%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27.44%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29.26%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41.32%</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lastRenderedPageBreak/>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 xml:space="preserve">SAP stakeholders were given the opportunity to provide feedback on the State's performance on the SPP/APR Indicators and the development of targets for the 2020-2025 package on May 6, 2021, September 2, 2021, October 29, 2021, December 3, 2021, and January 13, 2022. Beginning on May 6, 2021, the SAP was provided with a comprehensive overview presentation of the new SPP/APR 2020-2025 package and Indicators through a cohesive Indicators Cluster Group Framework developed by the Georgia Part B Data Managers. In the framework, SPP/APR Indicators were grouped together based upon similar objectives and intended outcomes for students. For example, Group A: High School and Life Outcomes Group included Indicators 1 (Graduation), 2 (Dropout), 13 (Secondary Transition), and 14 (Post School Outcomes). The presentation informed the SAP of the differences, if applicable, in measurement for Indicators in the new SPP/APR package. SAP viewed projected and historical data for the Indicators of the SPP/APR FFY 2020. If a new calculation and/or data group was used for an Indicator, such as Indicator 1 (Graduation), historical data was converted to allow for a comparable analysis of current and historical data. SAP was also provided with resources and links to access the information and the opportunity to ask questions. At the conclusion of the meeting, SAP members were provided with an opportunity to join a specific work group (shown below) for SPP/APR development. </w:t>
      </w:r>
      <w:r w:rsidRPr="00781112">
        <w:rPr>
          <w:rFonts w:cs="Arial"/>
          <w:color w:val="000000" w:themeColor="text1"/>
          <w:szCs w:val="16"/>
        </w:rPr>
        <w:br/>
        <w:t xml:space="preserve">The Indicators of the SPP/APR were divided into the following groups to enable focused work and greater opportunity for stakeholder feedback: </w:t>
      </w:r>
      <w:r w:rsidRPr="00781112">
        <w:rPr>
          <w:rFonts w:cs="Arial"/>
          <w:color w:val="000000" w:themeColor="text1"/>
          <w:szCs w:val="16"/>
        </w:rPr>
        <w:br/>
        <w:t>• Group A: High School and Life Outcomes (Indicators 1, 2, 13, 14 and 17)</w:t>
      </w:r>
      <w:r w:rsidRPr="00781112">
        <w:rPr>
          <w:rFonts w:cs="Arial"/>
          <w:color w:val="000000" w:themeColor="text1"/>
          <w:szCs w:val="16"/>
        </w:rPr>
        <w:br/>
        <w:t>• Group B: Disproportionality (Indicators 4, 9, and 10)</w:t>
      </w:r>
      <w:r w:rsidRPr="00781112">
        <w:rPr>
          <w:rFonts w:cs="Arial"/>
          <w:color w:val="000000" w:themeColor="text1"/>
          <w:szCs w:val="16"/>
        </w:rPr>
        <w:br/>
        <w:t>• Group C: Environments and Timelines (Indicators 5, 6, 11, and 12)</w:t>
      </w:r>
      <w:r w:rsidRPr="00781112">
        <w:rPr>
          <w:rFonts w:cs="Arial"/>
          <w:color w:val="000000" w:themeColor="text1"/>
          <w:szCs w:val="16"/>
        </w:rPr>
        <w:br/>
        <w:t xml:space="preserve">• Group D: Preschool, Parent Involvement, and Legal (Indicators 7, 8,15, and 16) </w:t>
      </w:r>
      <w:r w:rsidRPr="00781112">
        <w:rPr>
          <w:rFonts w:cs="Arial"/>
          <w:color w:val="000000" w:themeColor="text1"/>
          <w:szCs w:val="16"/>
        </w:rPr>
        <w:br/>
        <w:t xml:space="preserve">• Group E: Assessment (Indicator 3). </w:t>
      </w:r>
      <w:r w:rsidRPr="00781112">
        <w:rPr>
          <w:rFonts w:cs="Arial"/>
          <w:color w:val="000000" w:themeColor="text1"/>
          <w:szCs w:val="16"/>
        </w:rPr>
        <w:br/>
        <w:t>On September 2, 2021, all SAP members worked in one of the five groups based upon self-selection. There was parent representation in each group. The small group sessions were facilitated by DSESS staff using a standardized format. Each facilitator was provided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group provided specific documented feedback on possible targets and lingering questions based on an analysis of the data. Follow-up sessions were conducted October 29, 2021, December 3, 2021, and January 13, 2022.</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9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4, 2021 and ended November 1, 2021. Registration records for these opportunities indicated that 1,473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November 1, 2021 LEA SPP/APR stakeholder session, feedback from all meetings, email, and questions was formatted into an online survey titled SPP/APR State Performance Plan Feedback Survey 2020-2025 posted at https://www.gadoe.org/Curriculum-Instruction-and-Assessment/Special-Education-Services/Pages/State-Performance-Plan-(SPP),-Annual-Performance-Reports-(APR)-and-Annual-Determinations.aspx.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The SPP/APR Survey was publicly posted to allow for even broader participation. Following the collection of the survey, the results were used to set targets which were publicly posted for comment at the website above on December 7, 2021, except for Indicator 3. Indicator 3 assessment results and targets were made available following the January 13, 2022 SAP meeting. Assessment results were not broadly available in Georgia until after December 15, 2021, and the January SAP meeting was the first opportunity to receive stakeholder feedback on the Indicator 3 (Assessment) baselines and targets.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lastRenderedPageBreak/>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32.54%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41.32%</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1.63%</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32.54%</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32.54%</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33.54%</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34.54%</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35.54%</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37.54%</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41.32%</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41.32%</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40.32%</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39.32%</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38.32%</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37.32%</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1.63%</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1.63%</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1.53%</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1.53%</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1.43%</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1.33%</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2,848</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5,426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1,074</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9,348</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537</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1,776</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432</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2,745</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1,389</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2,127</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383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3,899</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19</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35</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63</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79</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152</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2,745</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9,348</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32.54%</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32.54%</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29.36%</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3,934</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9,348</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41.32%</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41.32%</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42.08%</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lastRenderedPageBreak/>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152</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9,348</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1.63%</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1.63%</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There was an overall decrease of 1,923 children included in Indicator 6 from 11,271 in FFY 2019 to 9,348 in FFY 2020. The number of students in the Indicator 6 collection have significantly decreased with the removal of 5-year-old K students to Indicator 5. The decrease in Indicator 6 has disproportionately impacted 6A. Prior to the change, there were 7,792 children served in 6A in FFY 2018. After the change in FFY 2019, there were 3,668 students served in 6A compared to 2,745 in FFY 2020. Parents of young children were also hesitant to send very young children to school or have providers in the home setting due to COVID concerns which decreased enrollment. The availability of general education settings was also a factor. Georgia does not have universal preschool for 3 and 4-year-old children and many community options (i.e., daycare centers, community pre-k) were unavailable due to COVID. LEAs were challenged to find a regular early childhood program settings for young children, especially those who were 3-years old.</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COVID did not impact the collection, reliability, validity, or completeness of Indicator 6.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established a baseline for Indicator B6C, using data from FFY 2020, and OSEP accepts that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78.60%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78.60%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80.32%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78.46%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79.75%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80.53%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80.52%</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61.70%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61.80%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57.10%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65.58%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64.30%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62.01%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62.16%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54.86%</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81.30%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81.40%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63.90%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83.05%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82.49%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82.58%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83.38%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82.16%</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37.10%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37.20%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37.30%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45.00%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24.90%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48.53%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48.62%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47.44%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48.08%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44.34%</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77.70%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77.90%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71.20%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80.43%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78.55%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79.74%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80.56%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80.08%</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71.70%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71.90%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65.70%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74.85%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81.58%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71.04%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71.60%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65.01%</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81.00%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82.00%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83.00%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84.00%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85.00%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86.00%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63.00%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64.00%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65.00%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66.00%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67.00%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68.00%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83.00%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84.00%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86.00%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88.00%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46.00%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47.00%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48.00%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49.00%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50.00%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51.00%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81.00%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82.00%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83.00%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84.00%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86.00%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72.00%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72.00%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72.10%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72.20%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72.20%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72.30%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 xml:space="preserve">SAP stakeholders were given the opportunity to provide feedback on the State's performance on the SPP/APR Indicators and the development of targets for the 2020-2025 package on May 6, 2021, September 2, 2021, October 29, 2021, December 3, 2021, and January 13, 2022. Beginning on May 6, 2021, the SAP was provided with a comprehensive overview presentation of the new SPP/APR 2020-2025 package and Indicators through a cohesive Indicators Cluster Group Framework developed by the Georgia Part B Data Managers. In the framework, SPP/APR Indicators were grouped together based upon similar objectives and intended outcomes for students. For example, Group A: High School and Life Outcomes Group included Indicators 1 (Graduation), 2 (Dropout), 13 (Secondary Transition), and 14 (Post School Outcomes). The presentation informed the SAP of the differences, if applicable, in measurement for Indicators in the new SPP/APR package. SAP viewed projected and historical data for the Indicators of the SPP/APR FFY 2020. If a new calculation and/or data group was used for an Indicator, such as Indicator 1 (Graduation), historical data was converted to </w:t>
      </w:r>
      <w:r w:rsidRPr="00781112">
        <w:rPr>
          <w:rFonts w:cs="Arial"/>
          <w:color w:val="000000" w:themeColor="text1"/>
          <w:szCs w:val="16"/>
        </w:rPr>
        <w:lastRenderedPageBreak/>
        <w:t xml:space="preserve">allow for a comparable analysis of current and historical data. SAP was also provided with resources and links to access the information and the opportunity to ask questions. At the conclusion of the meeting, SAP members were provided with an opportunity to join a specific work group (shown below) for SPP/APR development. </w:t>
      </w:r>
      <w:r w:rsidRPr="00781112">
        <w:rPr>
          <w:rFonts w:cs="Arial"/>
          <w:color w:val="000000" w:themeColor="text1"/>
          <w:szCs w:val="16"/>
        </w:rPr>
        <w:br/>
        <w:t xml:space="preserve">The Indicators of the SPP/APR were divided into the following groups to enable focused work and greater opportunity for stakeholder feedback: </w:t>
      </w:r>
      <w:r w:rsidRPr="00781112">
        <w:rPr>
          <w:rFonts w:cs="Arial"/>
          <w:color w:val="000000" w:themeColor="text1"/>
          <w:szCs w:val="16"/>
        </w:rPr>
        <w:br/>
        <w:t>• Group A: High School and Life Outcomes (Indicators 1, 2, 13, 14 and 17)</w:t>
      </w:r>
      <w:r w:rsidRPr="00781112">
        <w:rPr>
          <w:rFonts w:cs="Arial"/>
          <w:color w:val="000000" w:themeColor="text1"/>
          <w:szCs w:val="16"/>
        </w:rPr>
        <w:br/>
        <w:t>• Group B: Disproportionality (Indicators 4, 9, and 10)</w:t>
      </w:r>
      <w:r w:rsidRPr="00781112">
        <w:rPr>
          <w:rFonts w:cs="Arial"/>
          <w:color w:val="000000" w:themeColor="text1"/>
          <w:szCs w:val="16"/>
        </w:rPr>
        <w:br/>
        <w:t>• Group C: Environments and Timelines (Indicators 5, 6, 11, and 12)</w:t>
      </w:r>
      <w:r w:rsidRPr="00781112">
        <w:rPr>
          <w:rFonts w:cs="Arial"/>
          <w:color w:val="000000" w:themeColor="text1"/>
          <w:szCs w:val="16"/>
        </w:rPr>
        <w:br/>
        <w:t xml:space="preserve">• Group D: Preschool, Parent Involvement, and Legal (Indicators 7, 8,15, and 16) </w:t>
      </w:r>
      <w:r w:rsidRPr="00781112">
        <w:rPr>
          <w:rFonts w:cs="Arial"/>
          <w:color w:val="000000" w:themeColor="text1"/>
          <w:szCs w:val="16"/>
        </w:rPr>
        <w:br/>
        <w:t xml:space="preserve">• Group E: Assessment (Indicator 3). </w:t>
      </w:r>
      <w:r w:rsidRPr="00781112">
        <w:rPr>
          <w:rFonts w:cs="Arial"/>
          <w:color w:val="000000" w:themeColor="text1"/>
          <w:szCs w:val="16"/>
        </w:rPr>
        <w:br/>
        <w:t>On September 2, 2021, all SAP members worked in one of the five groups based upon self-selection. There was parent representation in each group. The small group sessions were facilitated by DSESS staff using a standardized format. Each facilitator was provided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group provided specific documented feedback on possible targets and lingering questions based on an analysis of the data. Follow-up sessions were conducted October 29, 2021, December 3, 2021, and January 13, 2022.</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9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4, 2021 and ended November 1, 2021. Registration records for these opportunities indicated that 1,473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November 1, 2021 LEA SPP/APR stakeholder session, feedback from all meetings, email, and questions was formatted into an online survey titled SPP/APR State Performance Plan Feedback Survey 2020-2025 posted at https://www.gadoe.org/Curriculum-Instruction-and-Assessment/Special-Education-Services/Pages/State-Performance-Plan-(SPP),-Annual-Performance-Reports-(APR)-and-Annual-Determinations.aspx.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The SPP/APR Survey was publicly posted to allow for even broader participation. Following the collection of the survey, the results were used to set targets which were publicly posted for comment at the website above on December 7, 2021, except for Indicator 3. Indicator 3 assessment results and targets were made available following the January 13, 2022 SAP meeting. Assessment results were not broadly available in Georgia until after December 15, 2021, and the January SAP meeting was the first opportunity to receive stakeholder feedback on the Indicator 3 (Assessment) baselines and targets.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6,291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91</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1.45%</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572</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9.09%</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2,164</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34.40%</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1,715</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27.26%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1,749</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27.80%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3,879</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4,542</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80.52%</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81.00%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85.40%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lastRenderedPageBreak/>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3,464</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6,291</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54.86%</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63.00%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55.06%</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80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1.27%</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587</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9.33%</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2,609</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41.47%</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2,274</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36.15%</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741</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11.78%</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4,883</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5,550</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82.16%</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87.98%</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3,015</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6,291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44.34%</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47.93%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91</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1.45%</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454</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7.22%</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1,677</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26.66%</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1,810</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28.77%</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2,259</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35.91%</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r w:rsidRPr="00781112">
              <w:rPr>
                <w:rFonts w:cs="Arial"/>
                <w:color w:val="000000" w:themeColor="text1"/>
                <w:szCs w:val="16"/>
              </w:rPr>
              <w:lastRenderedPageBreak/>
              <w:t>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3,487</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4,032</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80.08%</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86.48%</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4,069</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6,291</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65.01%</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64.68%</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Data for Indicator 7 are collected at the student level by each LEA that provides special education services to young children. No statewide assessment exists for young children (ages 3 and 4). Therefore, LEAs collect this data using tools such as checklists, observation tools and standardized assessments. LEAs were asked to provide the names of the assessments utilized and reported the following: Formal: Developmental Profile 4 (DP-4), Test of Early Language Development-Fourth Edition (TELD-4), Clinical Assessment of Articulation and Phonology-Second Edition (CAAP-2), Developmental Assessment of Young Children-Second Edition (DAYC-2), Preschool Language Scale-Fifth Edition (PLS-5), Goldman-Fristoe Test of Articulation-Third Edition (GFTA-3), Fluharty-2, Battelle Developmental Inventory-Second Edition (BDI-2), Vineland Adaptive Behavior Scales II, PALS, Peabody Picture Vocabulary Test-Fifth Edition (PPVT-5), Disabilities of the Arm, Shoulder, and Hand (DASH), Brigance Early Childhood Screening, Hawaii Early Learning Profile (HELP), Expressive One-Word Picture Vocabulary Test -Fourth Edition (EOWPVT-4) and Receptive One-Word Picture Vocabulary Test – Fourth Edition (ROWPVT-4). Informal: Teacher Checklist, Speech-language Samples, Teacher Reports, Childhood History, Behavior Checklist, and Tier information.</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COVID did not impact the reliability, validity, or completeness of data for this indicator.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r>
      <w:r w:rsidRPr="00781112">
        <w:rPr>
          <w:rFonts w:cs="Arial"/>
          <w:color w:val="000000" w:themeColor="text1"/>
          <w:szCs w:val="16"/>
        </w:rPr>
        <w:lastRenderedPageBreak/>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 xml:space="preserve">SAP stakeholders were given the opportunity to provide feedback on the State's performance on the SPP/APR Indicators and the development of targets for the 2020-2025 package on May 6, 2021, September 2, 2021, October 29, 2021, December 3, 2021, and January 13, 2022. Beginning on May 6, 2021, the SAP was provided with a comprehensive overview presentation of the new SPP/APR 2020-2025 package and Indicators through a cohesive Indicators Cluster Group Framework developed by the Georgia Part B Data Managers. In the framework, SPP/APR Indicators were grouped together based upon similar objectives and intended outcomes for students. For example, Group A: High School and Life Outcomes Group included Indicators 1 (Graduation), 2 (Dropout), 13 (Secondary Transition), and 14 (Post School Outcomes). The presentation informed the SAP of the differences, if applicable, in measurement for Indicators in the new SPP/APR package. SAP viewed projected and historical data for the Indicators of the SPP/APR FFY 2020. If a new calculation and/or data group was used for an Indicator, such as Indicator 1 (Graduation), historical data was converted to allow for a comparable analysis of current and historical data. SAP was also provided with resources and links to access the information and the opportunity to ask questions. At the conclusion of the meeting, SAP members were provided with an opportunity to join a specific work group (shown below) for SPP/APR development. </w:t>
      </w:r>
      <w:r w:rsidRPr="00781112">
        <w:rPr>
          <w:rFonts w:cs="Arial"/>
          <w:color w:val="000000" w:themeColor="text1"/>
          <w:szCs w:val="16"/>
        </w:rPr>
        <w:br/>
        <w:t xml:space="preserve">The Indicators of the SPP/APR were divided into the following groups to enable focused work and greater opportunity for stakeholder feedback: </w:t>
      </w:r>
      <w:r w:rsidRPr="00781112">
        <w:rPr>
          <w:rFonts w:cs="Arial"/>
          <w:color w:val="000000" w:themeColor="text1"/>
          <w:szCs w:val="16"/>
        </w:rPr>
        <w:br/>
        <w:t>• Group A: High School and Life Outcomes (Indicators 1, 2, 13, 14 and 17)</w:t>
      </w:r>
      <w:r w:rsidRPr="00781112">
        <w:rPr>
          <w:rFonts w:cs="Arial"/>
          <w:color w:val="000000" w:themeColor="text1"/>
          <w:szCs w:val="16"/>
        </w:rPr>
        <w:br/>
        <w:t>• Group B: Disproportionality (Indicators 4, 9, and 10)</w:t>
      </w:r>
      <w:r w:rsidRPr="00781112">
        <w:rPr>
          <w:rFonts w:cs="Arial"/>
          <w:color w:val="000000" w:themeColor="text1"/>
          <w:szCs w:val="16"/>
        </w:rPr>
        <w:br/>
        <w:t>• Group C: Environments and Timelines (Indicators 5, 6, 11, and 12)</w:t>
      </w:r>
      <w:r w:rsidRPr="00781112">
        <w:rPr>
          <w:rFonts w:cs="Arial"/>
          <w:color w:val="000000" w:themeColor="text1"/>
          <w:szCs w:val="16"/>
        </w:rPr>
        <w:br/>
        <w:t xml:space="preserve">• Group D: Preschool, Parent Involvement, and Legal (Indicators 7, 8,15, and 16) </w:t>
      </w:r>
      <w:r w:rsidRPr="00781112">
        <w:rPr>
          <w:rFonts w:cs="Arial"/>
          <w:color w:val="000000" w:themeColor="text1"/>
          <w:szCs w:val="16"/>
        </w:rPr>
        <w:br/>
        <w:t xml:space="preserve">• Group E: Assessment (Indicator 3). </w:t>
      </w:r>
      <w:r w:rsidRPr="00781112">
        <w:rPr>
          <w:rFonts w:cs="Arial"/>
          <w:color w:val="000000" w:themeColor="text1"/>
          <w:szCs w:val="16"/>
        </w:rPr>
        <w:br/>
        <w:t>On September 2, 2021, all SAP members worked in one of the five groups based upon self-selection. There was parent representation in each group. The small group sessions were facilitated by DSESS staff using a standardized format. Each facilitator was provided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group provided specific documented feedback on possible targets and lingering questions based on an analysis of the data. Follow-up sessions were conducted October 29, 2021, December 3, 2021, and January 13, 2022.</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9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4, 2021 and ended November 1, 2021. Registration records for these opportunities indicated that 1,473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November 1, 2021 LEA SPP/APR stakeholder session, feedback from all meetings, email, and questions was formatted into an online survey titled SPP/APR State Performance Plan Feedback Survey 2020-2025 posted at https://www.gadoe.org/Curriculum-Instruction-and-Assessment/Special-Education-Services/Pages/State-Performance-Plan-(SPP),-Annual-Performance-Reports-(APR)-and-Annual-Determinations.aspx.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The SPP/APR Survey was publicly posted to allow for even broader participation. Following the collection of the survey, the results were used to set targets which were publicly posted for comment at the website above on December 7, 2021, except for Indicator 3. Indicator 3 assessment results and targets were made available following the January 13, 2022 SAP meeting. Assessment results were not broadly available in Georgia until after December 15, 2021, and the January SAP meeting was the first opportunity to receive stakeholder feedback on the Indicator 3 (Assessment) baselines and targets.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2019</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88.50%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834" w:type="pct"/>
            <w:shd w:val="clear" w:color="auto" w:fill="auto"/>
            <w:vAlign w:val="center"/>
          </w:tcPr>
          <w:p w14:paraId="1D66991F" w14:textId="5308C1A9" w:rsidR="00FB6462" w:rsidRPr="00781112" w:rsidRDefault="00FB6462" w:rsidP="00A018D4">
            <w:pPr>
              <w:jc w:val="center"/>
              <w:rPr>
                <w:rFonts w:cs="Arial"/>
                <w:color w:val="000000" w:themeColor="text1"/>
                <w:szCs w:val="16"/>
              </w:rPr>
            </w:pP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88.50%</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lastRenderedPageBreak/>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88.60%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88.60%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88.60%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89.60%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90.60%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91.60%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30,704</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34,037</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88.50%</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88.60%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90.21%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During the 2020-2021 school year, Georgia used an online survey to gather data to satisfy the Indicator 8 reporting requirements. All families of children with disabilities had the opportunity to participate in the survey, including parents of preschool students. Parents were all offered the same survey regardless of the grade level of the student allowing the analysis procedures to be valid and reliable. Paper copies were also available upon request. The survey was also available online in Spanish. The survey is available for participation online to all parents of children with disabilities age 3-21 in Georgia beginning in January each year and ending May 31st each year. The survey is publicized by each school system and the GaDOE so that all parents of children with disabilities including parents of children in preschool may respond to the survey. The data from the parents of preschool children is included with the data reported for all parent responses.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222,260</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15.31%</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15.31%</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The response rate in Georgia for FFY 2020 has increased by almost 5 percentage points over the FFY 2019 response rate. In FFY 2019 the response rate was 10.9% with 24,492 respondents out of 225,610 possible respondents (based on the October 1 Child Count). The State will continue to conduct webinars, provide training at the annual Data Conference and Georgia Council for Administrators of Special Education (GCASE), and provide information in weekly Email Blasts to special education directors and Georgia's Parent Mentor Partnership parent mentors regarding the survey and ideas for increasing participation. Data will also be shared with Parent to Parent, Georgia's OSEP funded parent organization. Training from the GaDOE will focus on the importance of high participation and use of the parent survey. Strategies will be shared to encourage high participation and participation representative of the student enrollment. Strategies include providing technology at IEP meetings, conferences, PTA meetings and student events at the school. School systems will be able, through the state's portal, to analyze real time survey response data by school to determine where to focus efforts for increased participation to ensure response data is more representative of the demographics of the population. School systems will be encouraged to share participation data with principals during the data collection process to solicit support, enlisting the assistance of Parent Mentors to publicize and encourage participation, and partnering successful school systems with neighboring school systems that struggle with low participation rates. Our State’s Parent training and Information Center (PTI), Parent to Parent of Georgia, publicizes the survey and assists parents with questions regarding their participation. Starting in the 2019-2020 school year, additional technical assistance for families was provided by the GaDOE Special Education Help Desk. A Spanish version of the survey was available in the online and paper format.</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Survey response rates have continued to increase since the survey was moved to an online format in 2016. There was an increase of 9,545 responses in this collection from the prior year. The change in format was designed to increase participation and decrease possible nonresponse bias. Nonresponse bias analysis examined response and nonresponse on the survey at the unit level (i.e., participation v. nonparticipation), not the item level.  The number of respondents in a specific ethnic/racial group (self-reported) in the survey were compared to the number of students reported in the ethnic/racial group in the Child Count for FY21 with relative percentages calculated. For example, there were 123 parent respondents who identified as American Indian and 440 students who were reported as American Indian on the Child Count resulting in a participation/response rate of 27.95% with nonparticipation/nonresponse rate at 72.05%. There was a 16.69% nonresponse difference between the highest participating group and lowest participating group. Survey response rates and inversely nonresponse rates were reported respectively as: White (20.08%, 79.92%), African American (12.03%, 87.79%), Hispanic (11.26%, 88.74%), Asian (16.40%, 83.60%), Native Hawaiian/Pacific Islander (19.67%, 80.33%), American Indian (27.95%, 72.05%), and More than One Race (16.08%, 83.02%). The nonresponse rate was indicative of some areas requiring targeted focus to encourage participation, but not a pervasive and pronounced nonresponse bias. The Hispanic group had the highest rate of nonresponse. The survey is available in Spanish and parent mentors at the LEA level are reaching out to individual parents to increase participation in this subgroup.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Georgia examined the representativeness of the parents responding to the Parent Survey based upon the percentages of students served by race/ethnicity. In examining variance, Georgia used a band of + or - 5% in parental response rate based upon racial/ethnic representation of students </w:t>
      </w:r>
      <w:r w:rsidRPr="000A2B9F">
        <w:rPr>
          <w:b w:val="0"/>
          <w:bCs/>
          <w:color w:val="000000" w:themeColor="text1"/>
        </w:rPr>
        <w:lastRenderedPageBreak/>
        <w:t>receiving special education services. For example, if 80% of the students with disabilities are in the White subgroup, a representative rate of response would be 75 to 85% of survey respondents.</w:t>
      </w:r>
      <w:r w:rsidRPr="000A2B9F">
        <w:rPr>
          <w:b w:val="0"/>
          <w:bCs/>
          <w:color w:val="000000" w:themeColor="text1"/>
        </w:rPr>
        <w:br/>
      </w:r>
      <w:r w:rsidRPr="000A2B9F">
        <w:rPr>
          <w:b w:val="0"/>
          <w:bCs/>
          <w:color w:val="000000" w:themeColor="text1"/>
        </w:rPr>
        <w:br/>
        <w:t xml:space="preserve">These data reveal that a higher percentage of the parents of White SWD responded to the survey (50.36%) compared to the percentage of White SWD enrolled (38.4%). A lower percentage of the parents of Black SWD responded to the survey (30.96%) as compared to Black SWD enrolled (39.3%). All other race/ethnicity survey participation and enrollments were within the + or - 5%. The response and enrollment rates were respectively reported as: Hispanic 11.66% and 15.8%, Asian 2.29% and 2.1%, Native Hawaiian/Pacific Islander 0.11% and 0.1%, American Indian 0.36% and 0.20%, and More than One Race 4.25% and 4.00%. </w:t>
      </w:r>
      <w:r w:rsidRPr="000A2B9F">
        <w:rPr>
          <w:b w:val="0"/>
          <w:bCs/>
          <w:color w:val="000000" w:themeColor="text1"/>
        </w:rPr>
        <w:br/>
      </w:r>
      <w:r w:rsidRPr="000A2B9F">
        <w:rPr>
          <w:b w:val="0"/>
          <w:bCs/>
          <w:color w:val="000000" w:themeColor="text1"/>
        </w:rPr>
        <w:br/>
        <w:t xml:space="preserve">Georgia also completed an analysis of respondents based upon the percentages of parent reported area of student disability and students served by disability area with a response rate band of + or -5%. Response rates were largely consistent between parent reported area of disability and the area of students served by disability in the FY2021 Child Count. The percentage of responses were slightly higher from parents of children with Autism (7.47% higher than demographic group); the percentage of responses were lower from parents of children with Other Health Impairment (5.87% less than the demographic group) and Specific Learning Disability (9.69% less than the demographic group); responses were commensurate for all other areas of disability (less than 2% difference). Two thousand two hundred and nineteen (6.52%) respondents did not designate the disability category of their child. The survey is anonymously completed by parents and the disability category may not be correctly designated or may reflect secondary or tertiary disabilities rather than the primary disability. In addition, as reflected by the increase in parents who did not identify a disability, parents may not always be aware of the specific disability designation.   </w:t>
      </w:r>
      <w:r w:rsidRPr="000A2B9F">
        <w:rPr>
          <w:b w:val="0"/>
          <w:bCs/>
          <w:color w:val="000000" w:themeColor="text1"/>
        </w:rPr>
        <w:br/>
      </w:r>
      <w:r w:rsidRPr="000A2B9F">
        <w:rPr>
          <w:b w:val="0"/>
          <w:bCs/>
          <w:color w:val="000000" w:themeColor="text1"/>
        </w:rPr>
        <w:br/>
        <w:t xml:space="preserve">Georgia’s percentage of parents reporting their schools facilitated parental involvement in FFY20 rose to 90.21% from 88.5% in the FFY19 collection. The number of valid responses increased from 24,492 in FFY2019 to 34,037 in FFY2020. The methodology used by Georgia for the measuring Indicator 8 is an online survey available to all parents of SWD in Georgia. </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The State will continue to conduct webinars, provide training at the annual Data Conference and Georgia Council for Administrators of Special Education (GCASE), and provide information in weekly Email Blasts to special education directors and Georgia's Parent Mentor Partnership parent mentors regarding the survey and ideas for increasing participation. Data will also be shared with Parent to Parent, Georgia's OSEP funded parent organization. Training from the GaDOE will focus on the importance of high participation and use of the parent survey. Strategies will be shared to encourage high participation and participation representative of the student enrollment. Strategies include providing technology at IEP meetings, conferences, PTA meetings and student events at the school. School systems will be able, through the state's portal, to analyze real time survey response data by school to determine where to focus efforts for increased participation to ensure response data is more representative of the demographics of the population. School systems will be encouraged to share participation data with principals during the data collection process to solicit support, enlisting the assistance of Parent Mentors to publicize and encourage participation, and partnering successful school systems with neighboring school systems that struggle with low participation rates. Our State’s Parent training and Information Center (PTI), Parent to Parent of Georgia, publicizes the survey and assists parents with questions regarding their participation. Starting in the 2019-2020 school year, additional technical assistance for families was provided by the GaDOE Special Education Help Desk. A Spanish version of the survey was available in the online and paper format.</w:t>
      </w:r>
      <w:r w:rsidRPr="000A2B9F">
        <w:rPr>
          <w:b w:val="0"/>
          <w:bCs/>
          <w:color w:val="000000" w:themeColor="text1"/>
        </w:rPr>
        <w:br/>
        <w:t>Georgia has intensified efforts to increase the representativeness of survey respondents. The Georgia Department of Education and LEAs publicize the availability of the survey to all families. LEA data have been shared with each Special Education Director. SEA staff and Parent Mentors have worked and will continue to work with Special Education Directors to provide strategies for increasing participation in the survey in FFY20 across all demographic groups. SEA staff will analyze the real time data of surveys completed in the current year and contact Special Education Directors to examine their data which is available in the Special Education Dashboard by school. The demographic data are not provided to Special Education Directors to avoid identifying the parents who respond. However, the directors may view the number of responses by school and are knowledgeable about the demographic makeup of each school. The SEA staff will encourage directors to reach out to system-level and school leaders to increase awareness and importance of the survey, publicize the survey at school events, and provide technology for survey completion at events and meetings.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In examining variance, Georgia used a band of + or - 5% in parental response rate discrepancy based upon racial/ethnic representation and disability area of students receiving special education services. For example, if 80% of the students with disabilities are in the White subgroup, a representative rate of parent response would be 75 to 85% of survey respondents.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COVID did not impact the validity, reliability, and completeness of Indicator 8 data.</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lastRenderedPageBreak/>
        <w:t>Response to actions required in FFY 2019 SPP/APR</w:t>
      </w:r>
    </w:p>
    <w:p w14:paraId="03E9CB46" w14:textId="594F3FDD" w:rsidR="007757B1" w:rsidRPr="00781112" w:rsidRDefault="007757B1" w:rsidP="007757B1">
      <w:pPr>
        <w:rPr>
          <w:rFonts w:cs="Arial"/>
          <w:color w:val="000000" w:themeColor="text1"/>
          <w:szCs w:val="16"/>
        </w:rPr>
      </w:pP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0.48%</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211</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 xml:space="preserve">The State defines disproportionate representation of racial/ethnic subgroups (i.e., Hispanic, American Indian, or Alaska Native, Asian, Black, Native Hawaiian or Other Pacific Islander, White, and Two or more races) in special education and related services by using the following criteria at the LEA level: (1) Risk Ratio or Alternate Risk Ratio &gt;= 3.0 for two consecutive years and (2) SWD Ethnic/Racial Subgroup &gt;=   10, n = 30 LEA enrollment in a Specific Ethnic/Racial Subgroup. </w:t>
      </w:r>
      <w:r w:rsidRPr="00781112">
        <w:rPr>
          <w:rFonts w:cs="Arial"/>
          <w:color w:val="000000" w:themeColor="text1"/>
          <w:szCs w:val="16"/>
        </w:rPr>
        <w:br/>
        <w:t>Georgia has a minimum cell size of &gt;=   10 and n-size of &gt;=  30. Only LEAs that meet both criteria are evaluated at the LEA level for disproportionality by the State and included in the Georgia number of LEAs that met the State’s minimum n and/or cell size.</w:t>
      </w:r>
      <w:r w:rsidRPr="00781112">
        <w:rPr>
          <w:rFonts w:cs="Arial"/>
          <w:color w:val="000000" w:themeColor="text1"/>
          <w:szCs w:val="16"/>
        </w:rPr>
        <w:br/>
        <w:t>The risk ratio is calculated using a compound equation and the minimum cell and n sizes above are required. The numerator of the equation requires: (A) If &gt;=10 children in the LEA in a specific racial/ethnic group, such as Hispanic, in the LEA are identified as SWD, and</w:t>
      </w:r>
      <w:r w:rsidRPr="00781112">
        <w:rPr>
          <w:rFonts w:cs="Arial"/>
          <w:color w:val="000000" w:themeColor="text1"/>
          <w:szCs w:val="16"/>
        </w:rPr>
        <w:br/>
        <w:t xml:space="preserve">(B) 30 students enrolled in the LEA are in the same racial/ethnic group as (A). If both conditions are satisfied, the group will be evaluated for risk. </w:t>
      </w:r>
      <w:r w:rsidRPr="00781112">
        <w:rPr>
          <w:rFonts w:cs="Arial"/>
          <w:color w:val="000000" w:themeColor="text1"/>
          <w:szCs w:val="16"/>
        </w:rPr>
        <w:br/>
        <w:t>The denominator of the equation will either be a comparison group at the LEA level or a state comparison group.</w:t>
      </w:r>
      <w:r w:rsidRPr="00781112">
        <w:rPr>
          <w:rFonts w:cs="Arial"/>
          <w:color w:val="000000" w:themeColor="text1"/>
          <w:szCs w:val="16"/>
        </w:rPr>
        <w:br/>
        <w:t xml:space="preserve">If the LEA has (C) &gt;=10 children in the LEA in all other racial/ethnic groups (not Hispanic) identified as students with disabilities, and </w:t>
      </w:r>
      <w:r w:rsidRPr="00781112">
        <w:rPr>
          <w:rFonts w:cs="Arial"/>
          <w:color w:val="000000" w:themeColor="text1"/>
          <w:szCs w:val="16"/>
        </w:rPr>
        <w:br/>
        <w:t>(D) 30 or more children enrolled in the LEA in all other racial ethnic groups (not Hispanic), the LEA comparison group will be used in the calculation of the Risk Ratio.</w:t>
      </w:r>
      <w:r w:rsidRPr="00781112">
        <w:rPr>
          <w:rFonts w:cs="Arial"/>
          <w:color w:val="000000" w:themeColor="text1"/>
          <w:szCs w:val="16"/>
        </w:rPr>
        <w:br/>
        <w:t xml:space="preserve">If the LEA does not meet the conditions of C and D then a state comparison group is used for the denominator with </w:t>
      </w:r>
      <w:r w:rsidRPr="00781112">
        <w:rPr>
          <w:rFonts w:cs="Arial"/>
          <w:color w:val="000000" w:themeColor="text1"/>
          <w:szCs w:val="16"/>
        </w:rPr>
        <w:br/>
        <w:t xml:space="preserve">(C) the number of all other racial/ethnic groups (not Hispanic) of students identified as students with disabilities in the state, and </w:t>
      </w:r>
      <w:r w:rsidRPr="00781112">
        <w:rPr>
          <w:rFonts w:cs="Arial"/>
          <w:color w:val="000000" w:themeColor="text1"/>
          <w:szCs w:val="16"/>
        </w:rPr>
        <w:br/>
        <w:t xml:space="preserve">(D) all other children in all other racial/ethnic groups (not Hispanic) in the state. The use of the state comparison group is termed the Alternate Risk Ratio. </w:t>
      </w:r>
      <w:r w:rsidRPr="00781112">
        <w:rPr>
          <w:rFonts w:cs="Arial"/>
          <w:color w:val="000000" w:themeColor="text1"/>
          <w:szCs w:val="16"/>
        </w:rPr>
        <w:br/>
      </w:r>
      <w:r w:rsidRPr="00781112">
        <w:rPr>
          <w:rFonts w:cs="Arial"/>
          <w:color w:val="000000" w:themeColor="text1"/>
          <w:szCs w:val="16"/>
        </w:rPr>
        <w:br/>
        <w:t xml:space="preserve">The calculation is A/B divided by C/D, with the specific LEA numbers for each component or state numbers for C/D if applicable for the Alternate Risk Ratio. LEAs with a Risk Ratio or Alternate Risk Ratio of &gt;=3.0 for 2 consecutive years are included in Georgia’s number of LEAs with disproportionate representation. </w:t>
      </w:r>
      <w:r w:rsidRPr="00781112">
        <w:rPr>
          <w:rFonts w:cs="Arial"/>
          <w:color w:val="000000" w:themeColor="text1"/>
          <w:szCs w:val="16"/>
        </w:rPr>
        <w:br/>
        <w:t>Methodology: Only LEAs with at least 10 students with disabilities identified as students with disabilities in the same ethnic/racial group and 30 students enrolled in the same racial/ethnic category with a risk ratio &gt;= 3.0 for 2 consecutive years are included in the number of LEAs with disproportionate representation for the State. For example, an LEA would be included if there were 15 students with disabilities in the Hispanic ethnicity subgroup, an enrollment of 500 children total in the Hispanic ethnicity subgroup, and a Risk Ratio of 4.5 for two consecutive years. There were no LEAs that had a risk ratio of &gt;=3.0.</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Since FFY2015, Georgia has not had any LEA with disproportionate representation of racial/ethnic subgroups receiving special education and related services. Therefore, Georgia has not needed to determine whether any LEA had disproportionate representation as a result of inappropriate identification since FFY2015. Georgia determines disproportionate representation by first examining the data. If an LEA had a Risk Ratio of &gt;= 3.0 for 2 consecutive years for identification as a student with disabilities receiving special education and related services in any racial/ethnic group, that LEA would be considered to have disproportionate representation. The State would utilize the established Comprehensive Compliance Review to examine local policies, procedures, and practices to ultimately determine if the disproportionate representation was the result of noncompliant practices. The Comprehensive Compliance Review addresses the following areas: pre-referral interventions, child find, evaluation, reevaluation, and eligibility determination processes. LEAs whose data demonstrate that they have disproportionate representation must review their policies, procedures, and practices. The State would then determine if inappropriate policies, procedures, and/or practices contributed to the disproportionate representation (noncompliance). If determined to have noncompliance, the LEA would be required to develop a Corrective Action Plan within 45 days of the determination and demonstrate timely correction of the noncompliance no later than one year from the notification.</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COVID did not impact the validity, reliability, or completeness of Indicator 9. Due to a change in the Measurement Table for FFY 2020-2025, all States are now required to provide racial/ethnic disproportionality data for all children aged 5 who are enrolled in kindergarten in addition to those aged 6 through 21 served under IDEA, aggregated across all disability categories. Georgia is requesting to reset the baseline at 0% using FFY 2020 data.</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1.46%</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11.27%</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8.29%</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2.90%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5.61%</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3.54%</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3</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205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3.54%</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1.46%</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Georgia defines disproportionate representation of racial and ethnic groups (i.e., Hispanic, American Indian or Alaska Native, Asian, Black, Native Hawaiian or Other Pacific Islander, White, and Two or more races) in the special education categories of Specific Learning Disability, Other Health Impaired, Speech Language Impaired, Intellectual Disability, Autism, and Emotional Behavioral Disorders by using the following criteria: (1) Risk Ratio or Alternate Risk Ratio &gt;= 3.0 for two consecutive years and (2) SWD Ethnic/Racial  Subgroup   in one of the specified categories of special education above &gt;= 10 (minimum cell size) and n &gt;= 30 LEA enrollment in the same Specific Ethnic/Racial Subgroup.</w:t>
      </w:r>
      <w:r w:rsidRPr="00781112">
        <w:rPr>
          <w:rFonts w:cs="Arial"/>
          <w:color w:val="000000" w:themeColor="text1"/>
          <w:szCs w:val="16"/>
        </w:rPr>
        <w:br/>
        <w:t>Only LEAs that meet the minimum cell and n sizes above are evaluated at the LEA level for disproportionality by the State for inclusion in the Georgia number of districts that met the State’s minimum n and/or cell size. There were 205 LEAs meeting the criteria.</w:t>
      </w:r>
      <w:r w:rsidRPr="00781112">
        <w:rPr>
          <w:rFonts w:cs="Arial"/>
          <w:color w:val="000000" w:themeColor="text1"/>
          <w:szCs w:val="16"/>
        </w:rPr>
        <w:br/>
        <w:t xml:space="preserve">The Risk Ratio is calculated using a compound equation and the minimum cell and n sizes above are required. The numerator of the equation requires: </w:t>
      </w:r>
      <w:r w:rsidRPr="00781112">
        <w:rPr>
          <w:rFonts w:cs="Arial"/>
          <w:color w:val="000000" w:themeColor="text1"/>
          <w:szCs w:val="16"/>
        </w:rPr>
        <w:br/>
        <w:t>(A) &gt;=10 children in the LEA in a specific racial/ethnic group (i.e., White) in one of the specified categories of special education (i.e., Other Health Impaired), and</w:t>
      </w:r>
      <w:r w:rsidRPr="00781112">
        <w:rPr>
          <w:rFonts w:cs="Arial"/>
          <w:color w:val="000000" w:themeColor="text1"/>
          <w:szCs w:val="16"/>
        </w:rPr>
        <w:br/>
        <w:t xml:space="preserve">(B) 30 or more students enrolled in the LEA are the same racial/ethnic group as (A). If both conditions are satisfied, the group will be evaluated for risk. </w:t>
      </w:r>
      <w:r w:rsidRPr="00781112">
        <w:rPr>
          <w:rFonts w:cs="Arial"/>
          <w:color w:val="000000" w:themeColor="text1"/>
          <w:szCs w:val="16"/>
        </w:rPr>
        <w:br/>
      </w:r>
      <w:r w:rsidRPr="00781112">
        <w:rPr>
          <w:rFonts w:cs="Arial"/>
          <w:color w:val="000000" w:themeColor="text1"/>
          <w:szCs w:val="16"/>
        </w:rPr>
        <w:br/>
        <w:t xml:space="preserve">The denominator of the equation will either be a comparison group at the LEA level or a State comparison group. </w:t>
      </w:r>
      <w:r w:rsidRPr="00781112">
        <w:rPr>
          <w:rFonts w:cs="Arial"/>
          <w:color w:val="000000" w:themeColor="text1"/>
          <w:szCs w:val="16"/>
        </w:rPr>
        <w:br/>
        <w:t>If the LEA has:</w:t>
      </w:r>
      <w:r w:rsidRPr="00781112">
        <w:rPr>
          <w:rFonts w:cs="Arial"/>
          <w:color w:val="000000" w:themeColor="text1"/>
          <w:szCs w:val="16"/>
        </w:rPr>
        <w:br/>
        <w:t xml:space="preserve">(C) &gt;=10 children in the LEA in all other racial/ethnic groups (not White) identified in the specified category of disability (Other Health Impaired), and </w:t>
      </w:r>
      <w:r w:rsidRPr="00781112">
        <w:rPr>
          <w:rFonts w:cs="Arial"/>
          <w:color w:val="000000" w:themeColor="text1"/>
          <w:szCs w:val="16"/>
        </w:rPr>
        <w:br/>
        <w:t>(D) 30 or more children enrolled in the LEA in all other racial ethnic groups (not White), the LEA comparison group will be used in the calculation of the Risk Ratio.</w:t>
      </w:r>
      <w:r w:rsidRPr="00781112">
        <w:rPr>
          <w:rFonts w:cs="Arial"/>
          <w:color w:val="000000" w:themeColor="text1"/>
          <w:szCs w:val="16"/>
        </w:rPr>
        <w:br/>
        <w:t>If the LEA does not meet the conditions of C and D then a state comparison group is used for the denominator with:</w:t>
      </w:r>
      <w:r w:rsidRPr="00781112">
        <w:rPr>
          <w:rFonts w:cs="Arial"/>
          <w:color w:val="000000" w:themeColor="text1"/>
          <w:szCs w:val="16"/>
        </w:rPr>
        <w:br/>
        <w:t xml:space="preserve">(C) the number of all other racial/ethnic groups (not White) of students identified in the specified category of special education (Other Health Impaired) in the State, and </w:t>
      </w:r>
      <w:r w:rsidRPr="00781112">
        <w:rPr>
          <w:rFonts w:cs="Arial"/>
          <w:color w:val="000000" w:themeColor="text1"/>
          <w:szCs w:val="16"/>
        </w:rPr>
        <w:br/>
        <w:t xml:space="preserve">(D) all other children in all other racial/ethnic groups (not White) enrolled in the State. The use of the State comparison group is termed the Alternate Risk Ratio. </w:t>
      </w:r>
      <w:r w:rsidRPr="00781112">
        <w:rPr>
          <w:rFonts w:cs="Arial"/>
          <w:color w:val="000000" w:themeColor="text1"/>
          <w:szCs w:val="16"/>
        </w:rPr>
        <w:br/>
      </w:r>
      <w:r w:rsidRPr="00781112">
        <w:rPr>
          <w:rFonts w:cs="Arial"/>
          <w:color w:val="000000" w:themeColor="text1"/>
          <w:szCs w:val="16"/>
        </w:rPr>
        <w:br/>
        <w:t>The calculation is A/B divided by C/D, with the specific LEA numbers for each component or state numbers for C/D if applicable for the Alternate Risk Ratio. LEAs with a Risk Ratio or Alternate Risk Ratio of &gt;=3.0 for 2 consecutive years are included in Georgia’s number of LEAs with disproportionate representation.</w:t>
      </w:r>
      <w:r w:rsidRPr="00781112">
        <w:rPr>
          <w:rFonts w:cs="Arial"/>
          <w:color w:val="000000" w:themeColor="text1"/>
          <w:szCs w:val="16"/>
        </w:rPr>
        <w:br/>
      </w:r>
      <w:r w:rsidRPr="00781112">
        <w:rPr>
          <w:rFonts w:cs="Arial"/>
          <w:color w:val="000000" w:themeColor="text1"/>
          <w:szCs w:val="16"/>
        </w:rPr>
        <w:br/>
        <w:t>Methodology: Only LEAs with at least 10 students with disabilities identified in the same ethnic/racial group in the specific category of special education and 30 students enrolled in a specific racial/ethnic category and at the LEA level with a risk ratio &gt;= 3.0 for 2 consecutive years are included in the number of LEAs with disproportionate representation of LEAs for the State that have disproportionate representation. For example, an LEA would be included if there were 15 students in the special education category of Other Health Impaired in the White racial subgroup, an enrollment of 500 children total in the White racial subgroup, and a Risk Ratio of 4.5 for two consecutive years. There were 37 LEAs that met the threshold level with a risk ratio of &gt;= 3.0 for 2 consecutive years.</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Georgia used a Comprehensive Compliance Review process to review local policies, procedures, and practices to determine if the disproportionate representation was the result of noncompliant policies, procedures, and practices. LEAs identified as having disproportionate representation participated in the Comprehensive Compliance Review process and submitted required documents and communicated with GaDOE through the secured Special Education Applications Dashboard located in the GaDOE portal. The Comprehensive Compliance Review addressed the following areas: child find, evaluation, reevaluations, and eligibility determination processes. </w:t>
      </w:r>
      <w:r w:rsidRPr="00781112">
        <w:rPr>
          <w:rFonts w:cs="Arial"/>
          <w:color w:val="000000" w:themeColor="text1"/>
          <w:szCs w:val="16"/>
        </w:rPr>
        <w:br/>
      </w:r>
      <w:r w:rsidRPr="00781112">
        <w:rPr>
          <w:rFonts w:cs="Arial"/>
          <w:color w:val="000000" w:themeColor="text1"/>
          <w:szCs w:val="16"/>
        </w:rPr>
        <w:br/>
        <w:t xml:space="preserve">As a first step, LEAs identified as having disproportionate representation in specific disability categories reviewed their policies, practices, and </w:t>
      </w:r>
      <w:r w:rsidRPr="00781112">
        <w:rPr>
          <w:rFonts w:cs="Arial"/>
          <w:color w:val="000000" w:themeColor="text1"/>
          <w:szCs w:val="16"/>
        </w:rPr>
        <w:lastRenderedPageBreak/>
        <w:t xml:space="preserve">procedures through the use of a GaDOE developed electronic form titled LEA Self-Rating for Disproportionality Compliance Review – Identification at https://www.gadoe.org/Curriculum-Instruction-and-Assessment/Special-Education-Services/Pages/Disproportionality.aspx. LEAs completed this document by convening a team of stakeholders to self-assess or rate their compliance of the appropriate identification of students with disabilities by selecting Yes or No to items such as: a) “The LEA has written policies, procedures, and practices that are in compliance with the Child Find Rule,” b) The LEA provides professional learning activities to ensure that all teachers and administrators are fully informed about their responsibilities for implementing the Eligibility Determination Rule.” Rules referenced in the protocol were all hyperlinked to provide clarity to LEAs. LEAs had to provide evidence and/or documentation to support the rating endorsed on the Self-Rating. LEAs uploaded evidence documents such as policies, procedures, for the implementation of Child Find and professional learning agendas, presentations, and sign-in sheets for evaluating and reevaluating students for special education. Ratings and evidence also had to provide evidence of the implementation and monitoring of all components.  </w:t>
      </w:r>
      <w:r w:rsidRPr="00781112">
        <w:rPr>
          <w:rFonts w:cs="Arial"/>
          <w:color w:val="000000" w:themeColor="text1"/>
          <w:szCs w:val="16"/>
        </w:rPr>
        <w:br/>
        <w:t>In the next part of the Self-Rating, LEAs completed a Student Referral Chart. The chart required the number of students referred in the prior school year, number of students found eligible, and the number of students found ineligible. Next, LEAs were required to upload a representative number of student files (based upon LEA size group) found eligible in the LEA for the specific area of disproportionate representation identified (i.e., Specific Learning Disability). The listing also had to include a specified number of students who were determined ineligible for special education. The minimum number of files reviewed was 10. For all files uploaded, the LEA provided the following information: student name, gender, grade level, school, race/ethnicity, name of interventions, duration of intervention, frequency of monitoring, reason for referral, found eligible y or n, and eligibility category.</w:t>
      </w:r>
      <w:r w:rsidRPr="00781112">
        <w:rPr>
          <w:rFonts w:cs="Arial"/>
          <w:color w:val="000000" w:themeColor="text1"/>
          <w:szCs w:val="16"/>
        </w:rPr>
        <w:br/>
        <w:t>The third part of the Self-Rating was an Individual Student Records Review which required the LEAs to answer Y, N, or N/A to items for each individual file submitted which included: a) Evaluations are provided in the child’s native language, b) The LEA considered exclusionary factors, lack of appropriate instruction in reading, or limited English proficiency [for eligibility determinations], c) The eligibility report documents the area(s) of disability and aligns with the state rules and regulations for the specific eligibility category.</w:t>
      </w:r>
      <w:r w:rsidRPr="00781112">
        <w:rPr>
          <w:rFonts w:cs="Arial"/>
          <w:color w:val="000000" w:themeColor="text1"/>
          <w:szCs w:val="16"/>
        </w:rPr>
        <w:br/>
        <w:t>The final portion of the Self-Rating was a Compliance Review Discussion Questions section for the team to complete. LEA responded to items such as: a) What is the composition of the LEA by race, gender? What is the composition of the LEA’s students with disabilities by race, gender?</w:t>
      </w:r>
      <w:r w:rsidRPr="00781112">
        <w:rPr>
          <w:rFonts w:cs="Arial"/>
          <w:color w:val="000000" w:themeColor="text1"/>
          <w:szCs w:val="16"/>
        </w:rPr>
        <w:br/>
        <w:t xml:space="preserve">b) Discuss the eligibility determination process that is being implemented in your LEA. How is your LEA implementing the process with fidelity and integrity for all eligibility categories and specifically in the area of disproportionality findings in your LEA. </w:t>
      </w:r>
      <w:r w:rsidRPr="00781112">
        <w:rPr>
          <w:rFonts w:cs="Arial"/>
          <w:color w:val="000000" w:themeColor="text1"/>
          <w:szCs w:val="16"/>
        </w:rPr>
        <w:br/>
      </w:r>
      <w:r w:rsidRPr="00781112">
        <w:rPr>
          <w:rFonts w:cs="Arial"/>
          <w:color w:val="000000" w:themeColor="text1"/>
          <w:szCs w:val="16"/>
        </w:rPr>
        <w:br/>
        <w:t>Results Driven Accountability GaDOE staff reviewed all LEA submitted documentation using a standardized protocol. The GaDOE staff communicated with LEAs during the review process for clarification and to answer any unresolved questions from the documentation. Based upon the review, GaDOE determined if inappropriate policies, practices, or procedures contributed to the disproportionate representation resulting in noncompliance. Using this Comprehensive Compliance Review process, 3 of the 37 LEAs were identified as having disproportionate representation that was the result of non-compliant policies, procedures, and practices.</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COVID did not impact the reliability, validity, or completeness of the Indicator 10 data. Due to a change in the Measurement Table for FFY 2020-2025, all States are now required to provide racial/ethnic disproportionality data for all children aged 5 who are enrolled in kindergarten in addition to those aged 6 through 21 served under IDEA, aggregated across all disability categories. Georgia is requesting to reset its Indicator 10 baseline using FFY 2020 data to 1.46%.</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7</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7</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0DC89" w14:textId="5079A77D" w:rsidR="009A755E" w:rsidRPr="00781112" w:rsidRDefault="00F6415A" w:rsidP="004369B2">
      <w:pPr>
        <w:rPr>
          <w:color w:val="000000" w:themeColor="text1"/>
        </w:rPr>
      </w:pPr>
      <w:r w:rsidRPr="00781112">
        <w:rPr>
          <w:b/>
          <w:color w:val="000000" w:themeColor="text1"/>
        </w:rPr>
        <w:t>FFY 2019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 xml:space="preserve">Seven LEAs were determined to be significantly disproportionate with policies, procedures, and practices which contributed to the disproportionate representation and were not legally compliant with 34 C.F.R. § 300.646 after a review conducted by the Results Driven Accountability Unit at GaDOE. The LEAs received written notification of the noncompliance and were required to timely correct the noncompliance no later than one year from the date of notification. Each LEA with noncompliance was advised of the required procedure to correct both individual cases of noncompliance and establish full implementation of regulatory requirements 34 C.F.R. § 300.646. The procedure for individual cases of noncompliance and the implementation of regulatory requirements were interconnected and included: </w:t>
      </w:r>
      <w:r w:rsidRPr="00781112">
        <w:rPr>
          <w:rFonts w:cs="Arial"/>
          <w:color w:val="000000" w:themeColor="text1"/>
          <w:szCs w:val="16"/>
        </w:rPr>
        <w:br/>
        <w:t>1) GaDOE provided technical assistance webinars to LEAs on the correct implementation of prereferral, evaluation, and eligibility determination processes for special education.</w:t>
      </w:r>
      <w:r w:rsidRPr="00781112">
        <w:rPr>
          <w:rFonts w:cs="Arial"/>
          <w:color w:val="000000" w:themeColor="text1"/>
          <w:szCs w:val="16"/>
        </w:rPr>
        <w:br/>
        <w:t>2) LEAs and GaDOE jointly developed, and LEAs submitted a Corrective Action Plan (CAP) to GaDOE through the State secured data application (SE Applications) for addressing the cited noncompliance and for revising policies, procedures, and practices related to the appropriate identification of students with disabilities. The CAP was due within 45 days of notification of noncompliance.</w:t>
      </w:r>
      <w:r w:rsidRPr="00781112">
        <w:rPr>
          <w:rFonts w:cs="Arial"/>
          <w:color w:val="000000" w:themeColor="text1"/>
          <w:szCs w:val="16"/>
        </w:rPr>
        <w:br/>
        <w:t>3) LEAs, with guidance from GaDOE, revised and submitted policies, practices and procedures which required revision based upon the GaDOE review which contained the Self-Report.  Policies, procedures, and practices were required to be in 100% compliance with 34 C.F.R. § 300.646.</w:t>
      </w:r>
      <w:r w:rsidRPr="00781112">
        <w:rPr>
          <w:rFonts w:cs="Arial"/>
          <w:color w:val="000000" w:themeColor="text1"/>
          <w:szCs w:val="16"/>
        </w:rPr>
        <w:br/>
        <w:t>4) LEAs submitted correction of each individual case of noncompliance through the State secured data application (SE Applications), unless the child was no longer within the jurisdiction of the LEAs, consistent with OSEP Memorandum 09-02 dated October 17, 2008.</w:t>
      </w:r>
      <w:r w:rsidRPr="00781112">
        <w:rPr>
          <w:rFonts w:cs="Arial"/>
          <w:color w:val="000000" w:themeColor="text1"/>
          <w:szCs w:val="16"/>
        </w:rPr>
        <w:br/>
        <w:t xml:space="preserve">5) GaDOE verified and approved that the noncompliant prong 1 data was addressed with evidence of correction of noncompliance. State staff reviewed and substantiated that the individual cases of noncompliance as well as policies, procedures, and practices (prong 1 data) came into compliance. </w:t>
      </w:r>
      <w:r w:rsidRPr="00781112">
        <w:rPr>
          <w:rFonts w:cs="Arial"/>
          <w:color w:val="000000" w:themeColor="text1"/>
          <w:szCs w:val="16"/>
        </w:rPr>
        <w:br/>
        <w:t xml:space="preserve">6) GaDOE verified the correction of noncompliance and implementation of regulatory requirements through a standardized protocol which included a review of new student eligibility reports (reports written following the initial collection of records in which noncompliance was determined). The reports were required to demonstrate evidence of 100% compliance. Additionally, the implementation of updated professional learning updated supervision and monitoring plans were required. The Prong 2 review conducted by GaDOE of compliant practices and procedures to support systemic correction demonstrated that the LEAs were implementing the specific regulatory requirements previously cited as noncompliant and achieved 100% compliance within one year of the documented noncompliance. GaDOE verified and approved that the noncompliant prong 2 data was addressed with evidence of correction of noncompliance. State staff reviewed and substantiated that the LEA prong 2 data came into compliance. </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t xml:space="preserve">Seven LEAs were determined to be significantly disproportionate with policies, procedures, and practices which contributed to the disproportionate representation and were not legally compliant with 34 C.F.R. § 300.646 after a review conducted by the Results Driven Accountability Unit at GaDOE. The LEAs received written notification of the noncompliance and were required to timely correct the noncompliance no later than one year from the date of notification. Each LEA with noncompliance was advised of the required procedure to correct both individual cases of noncompliance and establish full implementation of regulatory requirements 34 C.F.R. § 300.646. The procedure for individual cases of noncompliance and the implementation of regulatory requirements were interconnected and included: </w:t>
      </w:r>
      <w:r w:rsidRPr="00781112">
        <w:rPr>
          <w:rFonts w:cs="Arial"/>
          <w:color w:val="000000" w:themeColor="text1"/>
          <w:szCs w:val="16"/>
        </w:rPr>
        <w:br/>
      </w:r>
      <w:r w:rsidRPr="00781112">
        <w:rPr>
          <w:rFonts w:cs="Arial"/>
          <w:color w:val="000000" w:themeColor="text1"/>
          <w:szCs w:val="16"/>
        </w:rPr>
        <w:lastRenderedPageBreak/>
        <w:t>1) GaDOE provided technical assistance webinars to LEAs on the correct implementation of prereferral, evaluation, and eligibility determination processes for special education.</w:t>
      </w:r>
      <w:r w:rsidRPr="00781112">
        <w:rPr>
          <w:rFonts w:cs="Arial"/>
          <w:color w:val="000000" w:themeColor="text1"/>
          <w:szCs w:val="16"/>
        </w:rPr>
        <w:br/>
        <w:t>2) LEAs and GaDOE jointly developed, and LEAs submitted a Corrective Action Plan (CAP) to GaDOE through the State secured data application (SE Applications) for addressing the cited noncompliance and for revising policies, procedures, and practices related to the appropriate identification of students with disabilities. The CAP was due within 45 days of notification of noncompliance.</w:t>
      </w:r>
      <w:r w:rsidRPr="00781112">
        <w:rPr>
          <w:rFonts w:cs="Arial"/>
          <w:color w:val="000000" w:themeColor="text1"/>
          <w:szCs w:val="16"/>
        </w:rPr>
        <w:br/>
        <w:t>3) LEAs, with guidance from GaDOE, revised and submitted policies, practices and procedures which required revision based upon the GaDOE review which contained the Self-Report.  Policies, procedures, and practices were required to be in 100% compliance with 34 C.F.R. § 300.646.</w:t>
      </w:r>
      <w:r w:rsidRPr="00781112">
        <w:rPr>
          <w:rFonts w:cs="Arial"/>
          <w:color w:val="000000" w:themeColor="text1"/>
          <w:szCs w:val="16"/>
        </w:rPr>
        <w:br/>
        <w:t>4) LEAs submitted correction of each individual case of noncompliance through the State secured data application (SE Applications), unless the child was no longer within the jurisdiction of the LEAs, consistent with OSEP Memorandum 09-02 dated October 17, 2008.</w:t>
      </w:r>
      <w:r w:rsidRPr="00781112">
        <w:rPr>
          <w:rFonts w:cs="Arial"/>
          <w:color w:val="000000" w:themeColor="text1"/>
          <w:szCs w:val="16"/>
        </w:rPr>
        <w:br/>
        <w:t xml:space="preserve">5) GaDOE verified and approved that the noncompliant prong 1 data was addressed with evidence of correction of noncompliance. State staff reviewed and substantiated that the individual cases of noncompliance as well as policies, procedures, and practices (prong 1 data) came into compliance. </w:t>
      </w:r>
      <w:r w:rsidRPr="00781112">
        <w:rPr>
          <w:rFonts w:cs="Arial"/>
          <w:color w:val="000000" w:themeColor="text1"/>
          <w:szCs w:val="16"/>
        </w:rPr>
        <w:br/>
        <w:t xml:space="preserve">6) GaDOE verified the correction of noncompliance and implementation of regulatory requirements through a standardized protocol which included a review of new student eligibility reports (reports written following the initial collection of records in which noncompliance was determined).The reports were required to demonstrate evidence of 100% compliance. Additionally, the implementation of updated professional learning updated supervision and monitoring plans were required. The Prong 2 review conducted by GaDOE of compliant practices and procedures to support systemic correction demonstrated that the LEAs were implementing the specific regulatory requirements previously cited as noncompliant and achieved 100% compliance within one year of the documented noncompliance. GaDOE verified and approved that the noncompliant prong 2 data was addressed with evidence of correction of noncompliance. State staff reviewed and substantiated that the LEA prong 2 data came into compliance. </w:t>
      </w:r>
    </w:p>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(greater than 0% actual target data for this indicator), the State must report on the status of correction of noncompliance identified in FFY 2019 for this indicator. The State must demonstrate, in the FFY 2020 SPP/APR, that the seven districts identified in FFY 2019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C7C5568" w14:textId="77777777" w:rsidR="009F69E7" w:rsidRPr="00781112" w:rsidRDefault="009F69E7" w:rsidP="004E2151">
      <w:pPr>
        <w:rPr>
          <w:rFonts w:cs="Arial"/>
          <w:color w:val="000000" w:themeColor="text1"/>
          <w:szCs w:val="16"/>
        </w:rPr>
      </w:pPr>
    </w:p>
    <w:p w14:paraId="5DF0DC37" w14:textId="1B20ACA5" w:rsidR="004E2151" w:rsidRPr="00781112" w:rsidRDefault="004E2151" w:rsidP="004369B2">
      <w:pPr>
        <w:rPr>
          <w:b/>
          <w:color w:val="000000" w:themeColor="text1"/>
        </w:rPr>
      </w:pPr>
      <w:r w:rsidRPr="00781112">
        <w:rPr>
          <w:b/>
          <w:color w:val="000000" w:themeColor="text1"/>
        </w:rPr>
        <w:t>Response to actions required in FFY 2019 SPP/APR</w:t>
      </w:r>
    </w:p>
    <w:p w14:paraId="16241B8F"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3 districts identified in FFY 2020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85.50%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98.80%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98.56%</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97.91%</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98.54%</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98.80%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27,877</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27,364</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98.80%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98.16%</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513</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Georgia had 513 students whose evaluation was not completed within the required 60 days. </w:t>
      </w:r>
      <w:r w:rsidRPr="00781112">
        <w:rPr>
          <w:color w:val="000000" w:themeColor="text1"/>
        </w:rPr>
        <w:br/>
        <w:t xml:space="preserve">The following data describes the number of days and reasons late. </w:t>
      </w:r>
      <w:r w:rsidRPr="00781112">
        <w:rPr>
          <w:color w:val="000000" w:themeColor="text1"/>
        </w:rPr>
        <w:br/>
        <w:t xml:space="preserve">The number of students in each range of days beyond the 60-day timeline are: </w:t>
      </w:r>
      <w:r w:rsidRPr="00781112">
        <w:rPr>
          <w:color w:val="000000" w:themeColor="text1"/>
        </w:rPr>
        <w:br/>
        <w:t>Evaluation completed 1 -10 days after 60 days: 141</w:t>
      </w:r>
      <w:r w:rsidRPr="00781112">
        <w:rPr>
          <w:color w:val="000000" w:themeColor="text1"/>
        </w:rPr>
        <w:br/>
        <w:t>Evaluation completed 11-30 days after 60 days: 107</w:t>
      </w:r>
      <w:r w:rsidRPr="00781112">
        <w:rPr>
          <w:color w:val="000000" w:themeColor="text1"/>
        </w:rPr>
        <w:br/>
        <w:t>Evaluation completed 31-60 days after 60 days: 78</w:t>
      </w:r>
      <w:r w:rsidRPr="00781112">
        <w:rPr>
          <w:color w:val="000000" w:themeColor="text1"/>
        </w:rPr>
        <w:br/>
        <w:t>Evaluation completed &gt; 60 days after 60 days: 187</w:t>
      </w:r>
      <w:r w:rsidRPr="00781112">
        <w:rPr>
          <w:color w:val="000000" w:themeColor="text1"/>
        </w:rPr>
        <w:br/>
      </w:r>
      <w:r w:rsidRPr="00781112">
        <w:rPr>
          <w:color w:val="000000" w:themeColor="text1"/>
        </w:rPr>
        <w:br/>
        <w:t xml:space="preserve">The number of students for each reason for delay is shown below: </w:t>
      </w:r>
      <w:r w:rsidRPr="00781112">
        <w:rPr>
          <w:color w:val="000000" w:themeColor="text1"/>
        </w:rPr>
        <w:br/>
        <w:t>Student delay (excessive absences, withdrawal, re-enrollment): 30 (5.8%)</w:t>
      </w:r>
      <w:r w:rsidRPr="00781112">
        <w:rPr>
          <w:color w:val="000000" w:themeColor="text1"/>
        </w:rPr>
        <w:br/>
        <w:t>Parent delay (canceling meetings, not providing relevant information in a timely manner): 63 (12.3%)</w:t>
      </w:r>
      <w:r w:rsidRPr="00781112">
        <w:rPr>
          <w:color w:val="000000" w:themeColor="text1"/>
        </w:rPr>
        <w:br/>
        <w:t xml:space="preserve">Teacher/evaluator delay (teachers not following through, lack of psychologists, diagnosticians, or speech language </w:t>
      </w:r>
      <w:r w:rsidRPr="00781112">
        <w:rPr>
          <w:color w:val="000000" w:themeColor="text1"/>
        </w:rPr>
        <w:br/>
        <w:t>pathologists):  287 (55.95)</w:t>
      </w:r>
      <w:r w:rsidRPr="00781112">
        <w:rPr>
          <w:color w:val="000000" w:themeColor="text1"/>
        </w:rPr>
        <w:br/>
        <w:t>District errors (no tracking system in place, errors in tracking, errors in policy, and procedures): 22 (4.3%)</w:t>
      </w:r>
      <w:r w:rsidRPr="00781112">
        <w:rPr>
          <w:color w:val="000000" w:themeColor="text1"/>
        </w:rPr>
        <w:br/>
        <w:t>Other reasons such as school closure due to weather: 111 (21.6%)</w:t>
      </w:r>
      <w:r w:rsidRPr="00781112">
        <w:rPr>
          <w:color w:val="000000" w:themeColor="text1"/>
        </w:rPr>
        <w:br/>
        <w:t>Total Late: 513 (100%)</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LEAs maintained a log of initial referrals to special education and completion dates. A date based, auto-calculation spreadsheet was provided for LEAs that opted not to use the state provided IEP platform (see https://www.gadoe.org/Curriculum-Instruction-and-Assessment/Special-Education-Services/Documents/Data%20Conference/FY21%20Pres%20Rec%20Doc/Initial%20Timelines%20Tracking%20Log.xlsx). The spreadsheet tracked the number of parental consents for evaluation and the number of evaluations completed on time. If evaluations were completed late (based on 60-day timeline), the number of days late and the rea  sons and exceptions for lateness were also collected in the spreadsheet. For LEAs that opted to use the State-Provided IEP platform, this information was generated within IEP Platform. Special Education Directors submitted the data by September 30th for   the previous fiscal year. The data were submitted in the GaDOE portal Timelines Application used to track this indicator year-to-year. A follow-up submission was collected on November 30, 2021 for LEAs with evaluations that were not completed by September 30, 2021 for parental consents for evaluation received between July 1, 2020 and June 30, 2021.The GaDOE reviewed the Child Find data of each LEA to ensure timely initial evaluations. Georgia has a 60-day requirement from receipt of consent to the completion of the evaluation. This is a compliance indicator with a target of 100% completed on time. </w:t>
      </w:r>
      <w:r w:rsidRPr="00781112">
        <w:rPr>
          <w:rFonts w:cs="Arial"/>
          <w:color w:val="000000" w:themeColor="text1"/>
          <w:szCs w:val="16"/>
        </w:rPr>
        <w:br/>
      </w:r>
      <w:r w:rsidRPr="00781112">
        <w:rPr>
          <w:rFonts w:cs="Arial"/>
          <w:color w:val="000000" w:themeColor="text1"/>
          <w:szCs w:val="16"/>
        </w:rPr>
        <w:br/>
        <w:t xml:space="preserve">Based on 09-02 OSEP Memo, Georgia identified noncompliance for this area. Those LEAs not at 100% must participate in Prong 1 and Prong 2 activities. </w:t>
      </w:r>
      <w:r w:rsidRPr="00781112">
        <w:rPr>
          <w:rFonts w:cs="Arial"/>
          <w:color w:val="000000" w:themeColor="text1"/>
          <w:szCs w:val="16"/>
        </w:rPr>
        <w:br/>
        <w:t xml:space="preserve">Prong 1 required Special Education Directors to provide a brief narrative about the policies, practices, and procedures that were revised to support the correction of the non-compliance. This narrative was submitted in the Timelines application in the Dashboard. Also, Special Education Directors were required to submit the list of students’ names reported as late and the date that the evaluation was completed. This addressed the isolated findings of non-compliance. Prong 2 required Special Education Directors to submit current year timeline data to demonstrate systemic compliance. </w:t>
      </w:r>
      <w:r w:rsidRPr="00781112">
        <w:rPr>
          <w:rFonts w:cs="Arial"/>
          <w:color w:val="000000" w:themeColor="text1"/>
          <w:szCs w:val="16"/>
        </w:rPr>
        <w:br/>
      </w:r>
      <w:r w:rsidRPr="00781112">
        <w:rPr>
          <w:rFonts w:cs="Arial"/>
          <w:color w:val="000000" w:themeColor="text1"/>
          <w:szCs w:val="16"/>
        </w:rPr>
        <w:br/>
        <w:t>The GaDOE also conducts a Verification process for randomly selected LEAs each year. The verification process ensures timeline data submitted are accurate  . LEAs randomly selected are required to submit through the SE Applications Dashboard supporting documentation for the aggregate data that is provided to the State. LEAs are required to submit the following information for students evaluated for special education eligibility in the July 1, 2020 through June 30, 2021 data collection window: name, date of receipt of parental consent for evaluation, and completion of evaluation. After the submission, the State requires the LEA to submit documents (i.e., parental consents, evaluations) on students selected from the LEA provided list to substantiate the reported information.</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COVID did not impact the validity, reliability, or completeness of data for Indicator 11.</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328</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328</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lastRenderedPageBreak/>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For the LEAs identified   as having noncompliance, the State required them to submit a narrative about the policies, practices, and procedures that were revised to support the correction of the non-compliance. This narrative is submitted in the Timelines application in the Special Education Applications Dashboard. LEAs maintain a log of initial referrals to special education and completion dates. Prong 2 requires Special Education Directors to submit current year timeline data to demonstrate systemic compliance. Data regarding evaluations/eligibilities completed between Nov. 10, 2020 to January 22, 2021 were required to be submitted through the Dashboard Timeline Application. GaDOE staff reviewed the data submitted to determine whether the LEA has corrected policies, practices, and procedures to ensure timely evaluation. Based on the review of information uploaded in the Timeline application of the state Dashboard by LEAs with noncompliance, GaDOE verified that each LEA with noncompliance identified in FFY 2019 made necessary changes and that the LEAs are correctly implementing the specific regulatory requirements. Additionally, each LEA with noncompliance identified in FFY 2019 achieved 100% compliance based on a review of updated data subsequently collected through the Special Education Applications Dashboard.</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For FFY2019, LEAs not at 100% compliant had to complete Prong 1 activities. </w:t>
      </w:r>
      <w:r w:rsidRPr="00781112">
        <w:rPr>
          <w:rFonts w:cs="Arial"/>
          <w:color w:val="000000" w:themeColor="text1"/>
          <w:szCs w:val="16"/>
        </w:rPr>
        <w:br/>
        <w:t xml:space="preserve">Prong 1 required Special Education Directors to provide a brief narrative about the policies, practices, and procedures that were revised to support the correction of the non-compliance. This narrative was submitted in the Timelines application in the Special Education Applications Dashboard. </w:t>
      </w:r>
      <w:r w:rsidRPr="00781112">
        <w:rPr>
          <w:rFonts w:cs="Arial"/>
          <w:color w:val="000000" w:themeColor="text1"/>
          <w:szCs w:val="16"/>
        </w:rPr>
        <w:br/>
        <w:t xml:space="preserve">Along with the narrative, the Special Education Directors submitted the list of students’ names reported as late and the date that the evaluation/eligibility determination was completed. The deadline for this collection was November 12, 2020. This addressed the isolated findings of non-compliance. GaDOE reviewed the list of all student records with noncompliance, including student names, initial evaluation due dates, and dates the initial evaluation was completed through the Timeline application of the state Dashboard (provided by LEAs). The state verified that each student who exceeded the state timeline had an evaluation completed (although late) within one year of notification of noncompliance. </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85.50%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99.75%</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99.52%</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98.98%</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98.40%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98.40%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4,149</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531</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2,228</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1,296</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23</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2,228</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2,299</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98.40%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96.91%</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The overall number of children referred from Part C to Part B have increased due to targeted guidance provided by Georgia DSESS to LEAs. The guidance addressed the children to include as referred to Part B from Part C. In Georgia, the Department of Human Resources through the agency Babies Can’t Wait (BCW) administers Part C and makes referral to Part B. BCW refers children, with parent agreement, to Part B at the LEA level based upon the addresses of the children. All children referred from BCW to the LEA are to be included in the total group of students referred from Part C to Part B (line a). DSESS clarified that the total of children referred from Part C to Part B is not dependent upon the total number of parental consents for evaluation (for Part B eligibility) secured. An analysis of the slippage from FFY2019 to FFY 2020 indicated that there were 603 additional referrals from Part c to Part B (line a in the table above). The increase in the number of referrals captured yielded a decrease of 1.49% percentage points in the percent of children transitioned by the age of 3 from Part C to Part B. LEAs were faced many challenges in the completion of evaluations of young children and transition with large scale staffing shortages due to COVID (see https://www.times-georgian.com/teacher-pipeline-plan-gets-kemp-ok-in-year-of-classroom-covid-anxiety/article_ffeaa5de-5cf3-5181-bef5-d7d06ea29646.html).</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71</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In FFY2020, Georgia reported 71 students whose IEPs were not in place by the 3rd birthday. The following data describes the number of days late and the reasons late.</w:t>
      </w:r>
      <w:r w:rsidRPr="00781112">
        <w:rPr>
          <w:bCs/>
          <w:color w:val="000000" w:themeColor="text1"/>
        </w:rPr>
        <w:br/>
      </w:r>
      <w:r w:rsidRPr="00781112">
        <w:rPr>
          <w:bCs/>
          <w:color w:val="000000" w:themeColor="text1"/>
        </w:rPr>
        <w:br/>
        <w:t>The number of students in each range of days beyond the child's 3rd birthday:</w:t>
      </w:r>
      <w:r w:rsidRPr="00781112">
        <w:rPr>
          <w:bCs/>
          <w:color w:val="000000" w:themeColor="text1"/>
        </w:rPr>
        <w:br/>
        <w:t xml:space="preserve">1 - 10 days: 10 students </w:t>
      </w:r>
      <w:r w:rsidRPr="00781112">
        <w:rPr>
          <w:bCs/>
          <w:color w:val="000000" w:themeColor="text1"/>
        </w:rPr>
        <w:br/>
        <w:t>11 - 30 days:15 students</w:t>
      </w:r>
      <w:r w:rsidRPr="00781112">
        <w:rPr>
          <w:bCs/>
          <w:color w:val="000000" w:themeColor="text1"/>
        </w:rPr>
        <w:br/>
        <w:t>31 - 60 days: 15 students</w:t>
      </w:r>
      <w:r w:rsidRPr="00781112">
        <w:rPr>
          <w:bCs/>
          <w:color w:val="000000" w:themeColor="text1"/>
        </w:rPr>
        <w:br/>
        <w:t>&gt; 60 days: 31 students</w:t>
      </w:r>
      <w:r w:rsidRPr="00781112">
        <w:rPr>
          <w:bCs/>
          <w:color w:val="000000" w:themeColor="text1"/>
        </w:rPr>
        <w:br/>
      </w:r>
      <w:r w:rsidRPr="00781112">
        <w:rPr>
          <w:bCs/>
          <w:color w:val="000000" w:themeColor="text1"/>
        </w:rPr>
        <w:br/>
        <w:t>The number of students whose IEP was not in place by the child's 3rd birthday by reason:</w:t>
      </w:r>
      <w:r w:rsidRPr="00781112">
        <w:rPr>
          <w:bCs/>
          <w:color w:val="000000" w:themeColor="text1"/>
        </w:rPr>
        <w:br/>
        <w:t>Student delay: 1 student (1.4%)</w:t>
      </w:r>
      <w:r w:rsidRPr="00781112">
        <w:rPr>
          <w:bCs/>
          <w:color w:val="000000" w:themeColor="text1"/>
        </w:rPr>
        <w:br/>
        <w:t>Parent delay: 16 students (22.5%)</w:t>
      </w:r>
      <w:r w:rsidRPr="00781112">
        <w:rPr>
          <w:bCs/>
          <w:color w:val="000000" w:themeColor="text1"/>
        </w:rPr>
        <w:br/>
        <w:t>Teacher/evaluator delay: 19 students (26.8%)</w:t>
      </w:r>
      <w:r w:rsidRPr="00781112">
        <w:rPr>
          <w:bCs/>
          <w:color w:val="000000" w:themeColor="text1"/>
        </w:rPr>
        <w:br/>
        <w:t>System errors: 6 students (8.5%)</w:t>
      </w:r>
      <w:r w:rsidRPr="00781112">
        <w:rPr>
          <w:bCs/>
          <w:color w:val="000000" w:themeColor="text1"/>
        </w:rPr>
        <w:br/>
        <w:t>Other (school closure due to weather): 26 students (36.6%)</w:t>
      </w:r>
      <w:r w:rsidRPr="00781112">
        <w:rPr>
          <w:bCs/>
          <w:color w:val="000000" w:themeColor="text1"/>
        </w:rPr>
        <w:br/>
        <w:t>Student referred to LEA by BCW less than 90 days before 3rd birthday: 3 students (4.2%)</w:t>
      </w:r>
      <w:r w:rsidRPr="00781112">
        <w:rPr>
          <w:bCs/>
          <w:color w:val="000000" w:themeColor="text1"/>
        </w:rPr>
        <w:br/>
        <w:t>Total Late: 71 (100%)</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LEAs maintained a log of children transitioning from Part C to Part B and dates that an eligibility determination was made and IEP in place. A spreadsheet was provided for LEAs not participating in the state provided IEP platform (see https://www.gadoe.org/Curriculum-Instruction-and-Assessment/Special-Education-Services/Documents/Data%20Conference/FY22%20Pres%20Rec%20Doc/BCW%20Timelines%20Tracking%20Log.xlsx ) which tracked the number of referrals, the number of children who have an IEP developed and in place by the 3 birthday, if late, the number of days late and the reasons late. For LEAs participating in the state provided IEP platform, the data was generated within the platform. Special Education Directors submitted the data on September 30, 2021 (for the July 1, 2020 – June 30, 2021 window) with a follow-up for any outstanding transitions on November 30, 2021. The aggregated transition data were submitted in the GaDOE portal Timelines Application located within the secured Special Education Applications Portal used to track this indicator year-to-year.</w:t>
      </w:r>
      <w:r w:rsidRPr="00781112">
        <w:rPr>
          <w:rFonts w:cs="Arial"/>
          <w:color w:val="000000" w:themeColor="text1"/>
          <w:szCs w:val="16"/>
        </w:rPr>
        <w:br/>
      </w:r>
      <w:r w:rsidRPr="00781112">
        <w:rPr>
          <w:rFonts w:cs="Arial"/>
          <w:color w:val="000000" w:themeColor="text1"/>
          <w:szCs w:val="16"/>
        </w:rPr>
        <w:br/>
        <w:t xml:space="preserve">Special Education Directors were required to provide a brief narrative about the policies, practices, and procedures that were revised to support the correction of the non-compliance. This narrative was submitted in the Timelines application in the Special Education Applications Portal. Also, Special Education Directors were required to submit the list of students’ names reported as late and the date the evaluation/eligibility and IEP were completed, </w:t>
      </w:r>
      <w:r w:rsidRPr="00781112">
        <w:rPr>
          <w:rFonts w:cs="Arial"/>
          <w:color w:val="000000" w:themeColor="text1"/>
          <w:szCs w:val="16"/>
        </w:rPr>
        <w:lastRenderedPageBreak/>
        <w:t xml:space="preserve">and the student transitioned. This Prong 1 data was due January 31, 2022. GaDOE staff review the data to verify compliance. This addresses individual cases of non-compliance. </w:t>
      </w:r>
      <w:r w:rsidRPr="00781112">
        <w:rPr>
          <w:rFonts w:cs="Arial"/>
          <w:color w:val="000000" w:themeColor="text1"/>
          <w:szCs w:val="16"/>
        </w:rPr>
        <w:br/>
      </w:r>
      <w:r w:rsidRPr="00781112">
        <w:rPr>
          <w:rFonts w:cs="Arial"/>
          <w:color w:val="000000" w:themeColor="text1"/>
          <w:szCs w:val="16"/>
        </w:rPr>
        <w:br/>
        <w:t xml:space="preserve">Additionally, Prong 2 required Special Education Directors to submit current year Early Childhood Transition data to demonstrate systemic compliance. Data regarding evaluations/eligibilities and IEPs completed between July 1, 2021 through December 31, 2021 will be submitted through the Dashboard Timeline Application February 14, 2022 through March 14, 2022. GaDOE staff review the data submitted to determine whether the LEA had policies, practices, and procedures in place to ensure timely evaluation. </w:t>
      </w:r>
      <w:r w:rsidRPr="00781112">
        <w:rPr>
          <w:rFonts w:cs="Arial"/>
          <w:color w:val="000000" w:themeColor="text1"/>
          <w:szCs w:val="16"/>
        </w:rPr>
        <w:br/>
      </w:r>
      <w:r w:rsidRPr="00781112">
        <w:rPr>
          <w:rFonts w:cs="Arial"/>
          <w:color w:val="000000" w:themeColor="text1"/>
          <w:szCs w:val="16"/>
        </w:rPr>
        <w:br/>
        <w:t>The GaDOE also conducted a Verification process for randomly selected LEAs each year. If selected, Directors are to upload child-specific data for children transitioning from Part C to Part B reported with completed evaluation, eligibility, and IEP the previous year. For example, if an LEA reported 150 evaluations/eligibilities/IEPs for young children transitioning from Part C to Part B completed, the director uploads a spreadsheet with the names, consent date, completion dates, and accompanying demographic data showing evidence that those150 referrals were completed in a timely manner. GaDOE staff may then check these data against what the school system reported in the Student Record data collection.</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COVID impacted staffing availability which adversely impacted the timeliness of transitions of young children </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46</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46</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Georgia required that each LEA submit Early Childhood Transition timeline data by September 30, 2020. LEA reported data revealed some young children were referred to special education from Part C and found eligible but did not have an IEP in place by the 3rd birthday. These LEAs are considered noncompliant and must participate in Prong 2, as well as Prong 1 monitoring, to demonstrate that they understand and implement regulatory requirements.</w:t>
      </w:r>
      <w:r w:rsidRPr="00781112">
        <w:rPr>
          <w:rFonts w:cs="Arial"/>
          <w:color w:val="000000" w:themeColor="text1"/>
          <w:szCs w:val="16"/>
        </w:rPr>
        <w:br/>
        <w:t>Special Education Directors for the LEAs identified as having noncompliance were required to provide a brief narrative about the policies, practices, and procedures that were revised to support the correction of the non-compliance and implementation of regulatory requirements. This narrative is submitted in the Timelines application in the Dashboard. The LEAs must submit additional data to verify that systemic corrections and processes are in place. Prong 2 requires Special Education Directors to submit current year timeline data to demonstrate systemic compliance. Data regarding evaluations, eligibilities, and IEPs for children transitioning from Part C to Part B completed between July 1 and October 31 were required to be submitted through the Special Education Applications Dashboard Timeline Application in November. GA DOE staff reviewed the data submitted to determine whether the LEA has corrected policies, practices, and procedures to ensure timely evaluation. GaDOE verified that each LEA with noncompliance identified in FFY 2019 made any necessary changes and are now correctly implementing the specific regulatory requirements.</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Georgia required that each LEA submit Early Childhood Transition timeline data by September 30, 2020. LEA reported data revealed some young children were referred to special education from Part C and found eligible but did not have an IEP in place by the 3rd birthday. These LEAs are considered noncompliant and must participate in Prong 2, as well as Prong 1 monitoring, to demonstrate that they understand and implement regulatory requirements.</w:t>
      </w:r>
      <w:r w:rsidRPr="00781112">
        <w:rPr>
          <w:rFonts w:cs="Arial"/>
          <w:color w:val="000000" w:themeColor="text1"/>
          <w:szCs w:val="16"/>
        </w:rPr>
        <w:br/>
        <w:t>Special Education Directors for the LEAs identified as having noncompliance were required to provide a brief narrative about the policies, practices, and procedures that were revised to support the correction of the non-compliance and implementation of regulatory requirements. This narrative is submitted in the Timelines application in the Dashboard. The LEAs must submit additional data to verify that systemic corrections and processes are in place. Prong 2 requires Special Education Directors to submit current year timeline data to demonstrate systemic compliance. Data regarding evaluations, eligibilities, and IEPs for children transitioning from Part C to Part B completed between July 1 and October 31 were required to be submitted through the Special Education Applications Dashboard Timeline Application in November. GA DOE staff reviewed the data submitted to determine whether the LEA has corrected policies, practices, and procedures to ensure timely evaluation. GaDOE verified that each LEA with noncompliance identified in FFY 2019 made any necessary changes and are now correctly implementing the specific regulatory requirements.</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2017</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94.25%</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98.40%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99.09%</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94.25%</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91.36%</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91.10%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275</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300</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91.10%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91.67%</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For FFY 20 GADOE reviewed the transition plans of students aged 16 and over (grades 9-12) at the time of the review. The GaDOE DSESS reviewed 5 transition plans for 60 randomly selected LEAs for a total of 300 plans. LEAs were required to submit the transition plan and IEP meeting notices in the Secondary Transition Application of the Special Education Applications Dashboard by February 12, 2021. Prior to the submission of the plans, LEAs selected were provided with specific guidance about the nature and scope of the transition plan review (see Transition Planning https://www.gadoe.org/Curriculum-Instruction-and-Assessment/Special-Education-Services/Documents/Transition/2020-21/FY21%20Indicator%2013%20Updated%20Transition%20Presentation.pdf Writing Compliant Transition Plans (gadoe.org). LEAs were encouraged to complete a self-assessment of transition plans prior to submission using the Transition Documentation Checklist (see https://www.gadoe.org/Curriculum-Instruction-and-Assessment/Special-Education-Services/Documents/Transition/Transition%20Documentation%20Checklist%20%20July%202019.pdf ) and other resources available at https://www.gadoe.org/Curriculum-Instruction-and-Assessment/Special-Education-Services/Pages/Transition-Compliance.aspx. LEAs </w:t>
      </w:r>
      <w:r w:rsidRPr="00781112">
        <w:rPr>
          <w:rFonts w:cs="Arial"/>
          <w:color w:val="000000" w:themeColor="text1"/>
          <w:szCs w:val="16"/>
        </w:rPr>
        <w:br/>
      </w:r>
      <w:r w:rsidRPr="00781112">
        <w:rPr>
          <w:rFonts w:cs="Arial"/>
          <w:color w:val="000000" w:themeColor="text1"/>
          <w:szCs w:val="16"/>
        </w:rPr>
        <w:br/>
        <w:t xml:space="preserve">The transition plans were reviewed between February 15, 2021 and February 26, 2021 by GaDOE DSESS in the Results Driven Accountability Unit for compliance with the following transition plan indicators: postsecondary outcome goal for employment, postsecondary outcome goal for education/training, postsecondary outcome goal for independent living (if appropriate), annual transition goals that reflect steps to desired post-secondary outcome goals,   postsecondary goals based upon transition assessments, transition services and/or activities to facilitate movement to postsecondary outcomes, course of study to facilitate movement to post-school outcomes, student invited to the meeting, agency representative invited (if applicable) and parental consent received prior to inviting agency representative (if applicable). For transition plans to be determined 100% compliant, each indicator in the reviewed criteria had to be met. If there were questions about any transition indicator containing the necessary elements, a second reviewer at GaDOE validated or refuted the decision. All DSESS reviewers participated in a training session for reviewing transition components prior to evaluating any transition plans. The training provided clear descriptions and examples of acceptable plan components to ensure consistency of the evaluation of plans.   </w:t>
      </w:r>
      <w:r w:rsidRPr="00781112">
        <w:rPr>
          <w:rFonts w:cs="Arial"/>
          <w:color w:val="000000" w:themeColor="text1"/>
          <w:szCs w:val="16"/>
        </w:rPr>
        <w:br/>
      </w:r>
      <w:r w:rsidRPr="00781112">
        <w:rPr>
          <w:rFonts w:cs="Arial"/>
          <w:color w:val="000000" w:themeColor="text1"/>
          <w:szCs w:val="16"/>
        </w:rPr>
        <w:br/>
        <w:t xml:space="preserve">An LEA was determined compliant only if all transition plan indicators on all reviewed plans were compliant.  For LEAs that had transition plans found to be non-compliant, Prong 1 and Prong 2 activities were required.  LEAs were notified of their compliance status on February 26, 2021, and Prong 1 and Prong 2 data were subsequently submitted in the Special Education Applications Dashboard. Prong 1 (due March 31, 2021) required the correction of non-compliant transition plan(s) and review and revision, if necessary, of policies, practices, and procedures regarding transition planning. Prong 2 (due by April 30, 2021) required the submission of additional transition plans for review. LEAs with non-compliance were required to submit additional plans to address systemic compliance.  LEAs with continued non-compliance were required to continue to submit plans until the GaDOE determined that the transition plans had the required components for secondary transition.   LEAs were also provided with targeted TA on writing compliant Transition Plans. </w:t>
      </w:r>
      <w:r w:rsidRPr="00781112">
        <w:rPr>
          <w:rFonts w:cs="Arial"/>
          <w:color w:val="000000" w:themeColor="text1"/>
          <w:szCs w:val="16"/>
        </w:rPr>
        <w:br/>
      </w:r>
      <w:r w:rsidRPr="00781112">
        <w:rPr>
          <w:rFonts w:cs="Arial"/>
          <w:color w:val="000000" w:themeColor="text1"/>
          <w:szCs w:val="16"/>
        </w:rPr>
        <w:br/>
        <w:t>The GaDOE calculated the percentage of youth with IEPs aged 16 and above containing each of the required components for secondary transition by dividing the number of compliant plans submitted by the total number of plans in the original submission.   The GaDOE verified that each LEA with noncompliance identified in FFY 2020 was correctly implementing the specific regulatory requirements and achieving 100% compliance based on a review of updated data collected through the Special Education Applications Portal.</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 xml:space="preserve">GaDOE requires that IEPs include Transition Services beginning not later than the student’s entry into ninth grade or by age 16, whichever comes first, or younger if determined appropriate by the IEP Team. The students selected for state monitoring will be at least 16 years of age regardless of grade placement. </w:t>
      </w:r>
    </w:p>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COVID did not impact the reliability, validity, or completeness of Indicator 13. All school systems had multiple opportunities for professional learning regarding Transition Planning for students with disabilities. An online seminar series was developed for all school systems to promote compliance for Transition Planning. In addition, GaDOE developed a Professional Learning Guide to Writing IEPs Training Series which includes a module on writing compliant transition plans. The GaDOE also offered training at the annual Data Conference, the Georgia Council for Administrators of Special Education (GCASE) conference and the Special Education Leadership Development Academy (SELDA).  </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29</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29</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 For school systems that had transition plans found to be noncompliant, Prong 1 and Prong 2 activities were required. Prong 2 addressed the implementation of regulatory requirements. Prong 2 required the submission of additional transition plans for review. School systems with non-compliance were required to submit additional plans equal to the number they submitted initially, based on their size. School systems with continued non-compliance were required to continue to submit plans until the GaDOE determined that the transition plans had the required regulatory components for secondary transition. School systems had to demonstrate 100% compliance with the regulatory requirements. GaDOE verified that each LEA with noncompliance identified in FFY 2019 made any necessary changes and were now correctly implementing the specific regulatory requirements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Prong 1 required the correction of individual noncompliant transition plan(s) and review and revision, if necessary, of policies, practices, and procedures regarding transition planning. Each LEA with noncompliance identified in FFY2019 achieved 100% compliance based on a review of updated data (i.e., </w:t>
      </w:r>
      <w:r w:rsidRPr="00781112">
        <w:rPr>
          <w:rFonts w:cs="Arial"/>
          <w:color w:val="000000" w:themeColor="text1"/>
          <w:szCs w:val="16"/>
        </w:rPr>
        <w:lastRenderedPageBreak/>
        <w:t xml:space="preserve">a revised transition plan) subsequently collected through the State secured data system (Special Education Applications). The state verified that for each student determined to have noncompliant transition plan(s), a new transition plan was developed, reviewed, and determined to be compliant within one year of notification of noncompliance. Numerous technical assistance and professional development opportunities were provided to the noncompliant systems on revising individual noncompliant plans such as a Professional Learning Guide to Writing IEPs Training Series which includes a module on writing compliant transition plans. The GaDOE also offered training at the annual Data Conference, the Georgia Council for Administrators of Special Education (GCASE) conference and the Special Education Leadership Development Academy (SELDA). </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25.50%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26.25%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27.40%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27.40%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27.23%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25.80%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25.95%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24.44%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25.62%</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53.70%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53.70%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53.90%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51.46%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56.07%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58.75%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59.76%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58.40%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57.78%</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80.10%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80.10%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80.10%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77.08%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78.46%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82.88%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82.92%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84.77%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83.98%</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27.40%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27.40%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27.80%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27.80%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27.80%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27.90%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55.00%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56.00%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57.00%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58.00%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59.00%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60.00%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81.00%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82.00%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82.00%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83.00%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83.00%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84.00%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w:t>
      </w:r>
      <w:r w:rsidRPr="00781112">
        <w:rPr>
          <w:rFonts w:cs="Arial"/>
          <w:color w:val="000000" w:themeColor="text1"/>
          <w:szCs w:val="16"/>
        </w:rPr>
        <w:lastRenderedPageBreak/>
        <w:t>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 xml:space="preserve">SAP stakeholders were given the opportunity to provide feedback on the State's performance on the SPP/APR Indicators and the development of targets for the 2020-2025 package on May 6, 2021, September 2, 2021, October 29, 2021, December 3, 2021, and January 13, 2022. Beginning on May 6, 2021, the SAP was provided with a comprehensive overview presentation of the new SPP/APR 2020-2025 package and Indicators through a cohesive Indicators Cluster Group Framework developed by the Georgia Part B Data Managers. In the framework, SPP/APR Indicators were grouped together based upon similar objectives and intended outcomes for students. For example, Group A: High School and Life Outcomes Group included Indicators 1 (Graduation), 2 (Dropout), 13 (Secondary Transition), and 14 (Post School Outcomes). The presentation informed the SAP of the differences, if applicable, in measurement for Indicators in the new SPP/APR package. SAP viewed projected and historical data for the Indicators of the SPP/APR FFY 2020. If a new calculation and/or data group was used for an Indicator, such as Indicator 1 (Graduation), historical data was converted to allow for a comparable analysis of current and historical data. SAP was also provided with resources and links to access the information and the opportunity to ask questions. At the conclusion of the meeting, SAP members were provided with an opportunity to join a specific work group (shown below) for SPP/APR development. </w:t>
      </w:r>
      <w:r w:rsidRPr="00781112">
        <w:rPr>
          <w:rFonts w:cs="Arial"/>
          <w:color w:val="000000" w:themeColor="text1"/>
          <w:szCs w:val="16"/>
        </w:rPr>
        <w:br/>
        <w:t xml:space="preserve">The Indicators of the SPP/APR were divided into the following groups to enable focused work and greater opportunity for stakeholder feedback: </w:t>
      </w:r>
      <w:r w:rsidRPr="00781112">
        <w:rPr>
          <w:rFonts w:cs="Arial"/>
          <w:color w:val="000000" w:themeColor="text1"/>
          <w:szCs w:val="16"/>
        </w:rPr>
        <w:br/>
        <w:t>• Group A: High School and Life Outcomes (Indicators 1, 2, 13, 14 and 17)</w:t>
      </w:r>
      <w:r w:rsidRPr="00781112">
        <w:rPr>
          <w:rFonts w:cs="Arial"/>
          <w:color w:val="000000" w:themeColor="text1"/>
          <w:szCs w:val="16"/>
        </w:rPr>
        <w:br/>
        <w:t>• Group B: Disproportionality (Indicators 4, 9, and 10)</w:t>
      </w:r>
      <w:r w:rsidRPr="00781112">
        <w:rPr>
          <w:rFonts w:cs="Arial"/>
          <w:color w:val="000000" w:themeColor="text1"/>
          <w:szCs w:val="16"/>
        </w:rPr>
        <w:br/>
        <w:t>• Group C: Environments and Timelines (Indicators 5, 6, 11, and 12)</w:t>
      </w:r>
      <w:r w:rsidRPr="00781112">
        <w:rPr>
          <w:rFonts w:cs="Arial"/>
          <w:color w:val="000000" w:themeColor="text1"/>
          <w:szCs w:val="16"/>
        </w:rPr>
        <w:br/>
        <w:t xml:space="preserve">• Group D: Preschool, Parent Involvement, and Legal (Indicators 7, 8,15, and 16) </w:t>
      </w:r>
      <w:r w:rsidRPr="00781112">
        <w:rPr>
          <w:rFonts w:cs="Arial"/>
          <w:color w:val="000000" w:themeColor="text1"/>
          <w:szCs w:val="16"/>
        </w:rPr>
        <w:br/>
        <w:t xml:space="preserve">• Group E: Assessment (Indicator 3). </w:t>
      </w:r>
      <w:r w:rsidRPr="00781112">
        <w:rPr>
          <w:rFonts w:cs="Arial"/>
          <w:color w:val="000000" w:themeColor="text1"/>
          <w:szCs w:val="16"/>
        </w:rPr>
        <w:br/>
        <w:t>On September 2, 2021, all SAP members worked in one of the five groups based upon self-selection. There was parent representation in each group. The small group sessions were facilitated by DSESS staff using a standardized format. Each facilitator was provided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group provided specific documented feedback on possible targets and lingering questions based on an analysis of the data. Follow-up sessions were conducted October 29, 2021, December 3, 2021, and January 13, 2022.</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9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4, 2021 and ended November 1, 2021. Registration records for these opportunities indicated that 1,473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November 1, 2021 LEA SPP/APR stakeholder session, feedback from all meetings, email, and questions was formatted into an online survey titled SPP/APR State Performance Plan Feedback Survey 2020-2025 posted at https://www.gadoe.org/Curriculum-Instruction-and-Assessment/Special-Education-Services/Pages/State-Performance-Plan-(SPP),-Annual-Performance-Reports-(APR)-and-Annual-Determinations.aspx.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The SPP/APR Survey was publicly posted to allow for even broader participation. Following the collection of the survey, the results were used to set targets which were publicly posted for comment at the website above on December 7, 2021, except for Indicator 3. Indicator 3 assessment results and targets were made available following the January 13, 2022 SAP meeting. Assessment results were not broadly available in Georgia until after December 15, 2021, and the January SAP meeting was the first opportunity to receive stakeholder feedback on the Indicator 3 (Assessment) baselines and targets.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lastRenderedPageBreak/>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13,257</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10,986</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82.87%</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2,951</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3,678</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878</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1,747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2,951</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10,986</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25.62%</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27.40%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26.86%</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6,629</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10,986</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57.78%</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60.34%</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9,254</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10,986</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83.98%</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84.23%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81.82%</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82.87%</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effective strategies provided by GaDOE to LEAs include the following: </w:t>
      </w:r>
      <w:r w:rsidRPr="00B551F2">
        <w:br/>
        <w:t>1) encouraging LEAs to have IEP case managers and/or transition specialists of exiting students collect extensive contact information to use the next year to enable contact and a follow-up on student outcomes and progress</w:t>
      </w:r>
      <w:r w:rsidRPr="00B551F2">
        <w:br/>
        <w:t>2) encouraging LEAs to reach out to students using social media, such as Facebook</w:t>
      </w:r>
      <w:r w:rsidRPr="00B551F2">
        <w:br/>
        <w:t>3) posting the exiters from the prior school year in February of the current school year for each LEA in Special Education Applications to enable LEAs to start reaching out to students in a timely manner</w:t>
      </w:r>
      <w:r w:rsidRPr="00B551F2">
        <w:br/>
        <w:t xml:space="preserve">4) encouraging LEAs to review the listing of exiters by the student’s Georgia’s unique Testing Identifier (GTID) in the Georgia GUIDE system to be </w:t>
      </w:r>
      <w:r w:rsidRPr="00B551F2">
        <w:lastRenderedPageBreak/>
        <w:t>certain exiting students have not reenrolled in either their LEA or another LEA prior to census submission</w:t>
      </w:r>
      <w:r w:rsidRPr="00B551F2">
        <w:br/>
        <w:t xml:space="preserve">5) encouraging LEAs to use bilingual resources and interpreters to contact students who are English Learners   </w:t>
      </w:r>
      <w:r w:rsidRPr="00B551F2">
        <w:br/>
        <w:t>6) LEAs work with vocational rehabilitation counselors who assist in locating exiters</w:t>
      </w:r>
      <w:r w:rsidRPr="00B551F2">
        <w:br/>
      </w:r>
      <w:r w:rsidRPr="00B551F2">
        <w:br/>
        <w:t>GaDOE provides extensive support to LEAs directed at encouraging response rate increase through presentations (see example PowerPoint Presentation https://www.gadoe.org/Curriculum-Instruction-and-Assessment/Special-Education-Services/Documents/SELDA/2021-2022/July%2021/Applications_Dashboard_July_8_2021.pdf on (gadoe.org), email reminders via Email Blasts, and a guidance document (see Post-School Survey for 2019-2021 Exiters FY2021 Data Collection at https://www.gadoe.org/Curriculum-Instruction-and-Assessment/Special-Education-Services/Documents/Data%20Info/FY21/FY21%20Post-School%20Outcomes%20for%202019-2020%20Exiters.pdf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Georgia used a range of +5 or -5% to examine proportionate participation (response) and nonparticipation (nonresponse) in the survey for this reporting period based upon the racial/ethnic representation of the students who exited at the conclusion of the 2019-2020 school year. There were no participation rates that fell outside of this range in any racial/ethnic group for response. </w:t>
      </w:r>
      <w:r w:rsidRPr="00B551F2">
        <w:br/>
        <w:t>Response analysis and nonresponse bias analysis examined response and nonresponse on the survey at the unit level (i.e., participation v. nonparticipation), not the item level. For response rate, the percentage of total survey respondents in a specific ethnic/racial group in the survey was compared to the total percentage of students who exited at the conclusion of the prior school year in the same ethnic/racial group. For example, there were 4,752 African American of the 10,986 total respondents, which comprised 43.26% of total respondents. There were 5,734 African American total exiters of the total 13,257 exiters which comprised 43.25% of total exiters. The relative response rates and relative exiter rates were &gt;1% for all ethnic and racial groups. Specific response rates are provided for all racial and ethnic groups in the next section.</w:t>
      </w:r>
      <w:r w:rsidRPr="00B551F2">
        <w:br/>
        <w:t xml:space="preserve">Nonresponse analysis was conducted by calculating the percentage of total survey nonrespondents in a specific ethnic/racial group in the survey compared to the total percentage of students who exited at the conclusion of the prior school year in the same ethnic/racial group. There were 982 African American of the 2,271 total nonrespondents, which comprised 43.24% of total nonrespondents. There were 5,734 African American total exiters of the total 13,257 exiters which comprised 43.25% of total exiters. The relative response rates and relative exiter rates were &gt; 4% for all ethnic and racial groups. Specific nonresponse rates are provided for all racial and ethnic groups in the next section. The nonresponse rate was not indicative of a nonresponse bias. The Hispanic subgroup showed a 3.5% overrepresentation in nonrespondents. The DSESS at GaDOE is currently adding a Program Specialist to support the needs of English Learner families and students. One objective of this position is enhanced communication with students and their families when language is a barrier. Based upon the results of Indicators 8 and 14 nonresponse data (i.e., overrepresentation of the Hispanic ethnicity), enhancing communication will be a key strategy to increasing the feedback of parents and students.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Georgia used a range of +5 or -5% to examine proportionate participation and nonparticipation in the survey for this reporting period based upon the racial/ethnic representation of the students who exited at the conclusion of the 2019-2020 school year. There were no participation rates that fell outside of this range in any racial/ethnic group for response. </w:t>
      </w:r>
      <w:r w:rsidRPr="008D51F2">
        <w:br/>
        <w:t xml:space="preserve">Response rates are reported based upon a total of 10,986 respondents for the survey in FFY2020 based upon 13,257 total students who exited school the prior school year. Ethnic/racial groups are reported as follows: African-American 4,752 respondents (43.26%) and 5,734 exiters (43.25%), Hispanic 1,413 respondents (12.86%) and 1,785 exiters (13.46%), Hispanic 1,413 respondents (12.86%) and 1,785 exiters (13.46%), American Indian/Native American 19 respondents (0.17%) and 25 exiters (0.19%), More than One Race 356 respondents (3.24%) and 428 exiters (3.23%), Pacific Islander/Native Hawaiian 9 respondents (0.08%) and 12 exiters (0.09%), Asian 155 respondents (1.41%) and 185 exiters (1.40%), and White 4,282 respondents (38.98%) and 5,088 exiters (38.38%). </w:t>
      </w:r>
      <w:r w:rsidRPr="008D51F2">
        <w:br/>
        <w:t xml:space="preserve">Nonresponse rates are reported based upon a total of 2,271 nonrespondents for the survey in FFY2020 from the total of 13,257 total students who exited school the prior school year. Ethnic/racial groups are reported as follows: African-American 982 nonrespondents (43.24%) and 5,734 exiters (43.25%), Hispanic 372 nonrespondents (16.38%) and 1,785 exiters (13.46%), American Indian/Native American 6 nonrespondents (0.26%) and 25 exiters (0.19%), More than One Race 72 nonrespondents (3.17%) and 428 exiters (3.23%), Pacific Islander/Native Hawaiian 3 nonrespondents (0.13%) and 12 exiters (0.09%), Asian 30 nonrespondents (1.32%) and 185 exiters (1.40%), and White 806 nonrespondents (35.49%) and 5,088 exiters (38.38%).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Georgia used a range of +5 or -5% to examine proportionate participation (response) and nonparticipation (nonresponse) in the survey for this reporting period based upon the racial/ethnic representation of the students who exited at the conclusion of the 2019-2020 school year. There were no participation rates that fell outside of this range in any racial/ethic group for response.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COVID did not impact the validity, reliability, or completeness of Indicator 14.</w:t>
      </w:r>
    </w:p>
    <w:p w14:paraId="7B9DDAF2" w14:textId="6AA9F8CA" w:rsidR="000A2C83" w:rsidRPr="00781112" w:rsidRDefault="00172058" w:rsidP="00123D76">
      <w:pPr>
        <w:pStyle w:val="Heading2"/>
      </w:pPr>
      <w:r w:rsidRPr="00781112">
        <w:lastRenderedPageBreak/>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23</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lastRenderedPageBreak/>
        <w:br/>
        <w:t xml:space="preserve">SAP stakeholders were given the opportunity to provide feedback on the State's performance on the SPP/APR Indicators and the development of targets for the 2020-2025 package on May 6, 2021, September 2, 2021, October 29, 2021, December 3, 2021, and January 13, 2022. Beginning on May 6, 2021, the SAP was provided with a comprehensive overview presentation of the new SPP/APR 2020-2025 package and Indicators through a cohesive Indicators Cluster Group Framework developed by the Georgia Part B Data Managers. In the framework, SPP/APR Indicators were grouped together based upon similar objectives and intended outcomes for students. For example, Group A: High School and Life Outcomes Group included Indicators 1 (Graduation), 2 (Dropout), 13 (Secondary Transition), and 14 (Post School Outcomes). The presentation informed the SAP of the differences, if applicable, in measurement for Indicators in the new SPP/APR package. SAP viewed projected and historical data for the Indicators of the SPP/APR FFY 2020. If a new calculation and/or data group was used for an Indicator, such as Indicator 1 (Graduation), historical data was converted to allow for a comparable analysis of current and historical data. SAP was also provided with resources and links to access the information and the opportunity to ask questions. At the conclusion of the meeting, SAP members were provided with an opportunity to join a specific work group (shown below) for SPP/APR development. </w:t>
      </w:r>
      <w:r w:rsidRPr="00781112">
        <w:rPr>
          <w:rFonts w:cs="Arial"/>
          <w:color w:val="000000" w:themeColor="text1"/>
          <w:szCs w:val="16"/>
        </w:rPr>
        <w:br/>
        <w:t xml:space="preserve">The Indicators of the SPP/APR were divided into the following groups to enable focused work and greater opportunity for stakeholder feedback: </w:t>
      </w:r>
      <w:r w:rsidRPr="00781112">
        <w:rPr>
          <w:rFonts w:cs="Arial"/>
          <w:color w:val="000000" w:themeColor="text1"/>
          <w:szCs w:val="16"/>
        </w:rPr>
        <w:br/>
        <w:t>• Group A: High School and Life Outcomes (Indicators 1, 2, 13, 14 and 17)</w:t>
      </w:r>
      <w:r w:rsidRPr="00781112">
        <w:rPr>
          <w:rFonts w:cs="Arial"/>
          <w:color w:val="000000" w:themeColor="text1"/>
          <w:szCs w:val="16"/>
        </w:rPr>
        <w:br/>
        <w:t>• Group B: Disproportionality (Indicators 4, 9, and 10)</w:t>
      </w:r>
      <w:r w:rsidRPr="00781112">
        <w:rPr>
          <w:rFonts w:cs="Arial"/>
          <w:color w:val="000000" w:themeColor="text1"/>
          <w:szCs w:val="16"/>
        </w:rPr>
        <w:br/>
        <w:t>• Group C: Environments and Timelines (Indicators 5, 6, 11, and 12)</w:t>
      </w:r>
      <w:r w:rsidRPr="00781112">
        <w:rPr>
          <w:rFonts w:cs="Arial"/>
          <w:color w:val="000000" w:themeColor="text1"/>
          <w:szCs w:val="16"/>
        </w:rPr>
        <w:br/>
        <w:t xml:space="preserve">• Group D: Preschool, Parent Involvement, and Legal (Indicators 7, 8,15, and 16) </w:t>
      </w:r>
      <w:r w:rsidRPr="00781112">
        <w:rPr>
          <w:rFonts w:cs="Arial"/>
          <w:color w:val="000000" w:themeColor="text1"/>
          <w:szCs w:val="16"/>
        </w:rPr>
        <w:br/>
        <w:t xml:space="preserve">• Group E: Assessment (Indicator 3). </w:t>
      </w:r>
      <w:r w:rsidRPr="00781112">
        <w:rPr>
          <w:rFonts w:cs="Arial"/>
          <w:color w:val="000000" w:themeColor="text1"/>
          <w:szCs w:val="16"/>
        </w:rPr>
        <w:br/>
        <w:t>On September 2, 2021, all SAP members worked in one of the five groups based upon self-selection. There was parent representation in each group. The small group sessions were facilitated by DSESS staff using a standardized format. Each facilitator was provided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group provided specific documented feedback on possible targets and lingering questions based on an analysis of the data. Follow-up sessions were conducted October 29, 2021, December 3, 2021, and January 13, 2022.</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9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4, 2021 and ended November 1, 2021. Registration records for these opportunities indicated that 1,473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November 1, 2021 LEA SPP/APR stakeholder session, feedback from all meetings, email, and questions was formatted into an online survey titled SPP/APR State Performance Plan Feedback Survey 2020-2025 posted at https://www.gadoe.org/Curriculum-Instruction-and-Assessment/Special-Education-Services/Pages/State-Performance-Plan-(SPP),-Annual-Performance-Reports-(APR)-and-Annual-Determinations.aspx.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The SPP/APR Survey was publicly posted to allow for even broader participation. Following the collection of the survey, the results were used to set targets which were publicly posted for comment at the website above on December 7, 2021, except for Indicator 3. Indicator 3 assessment results and targets were made available following the January 13, 2022 SAP meeting. Assessment results were not broadly available in Georgia until after December 15, 2021, and the January SAP meeting was the first opportunity to receive stakeholder feedback on the Indicator 3 (Assessment) baselines and targets. </w:t>
      </w:r>
    </w:p>
    <w:p w14:paraId="43B1695A" w14:textId="2970A905" w:rsidR="000A2C83" w:rsidRPr="00781112" w:rsidRDefault="000A2C83" w:rsidP="000A2C83">
      <w:pPr>
        <w:rPr>
          <w:rFonts w:cs="Arial"/>
          <w:color w:val="000000" w:themeColor="text1"/>
          <w:szCs w:val="16"/>
        </w:rPr>
      </w:pP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2018</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60.98%</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62.80%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62.90%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63.10%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64.55%</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57.83%</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45.83%</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60.98%</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43.24%</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gridCol w:w="817"/>
        <w:gridCol w:w="806"/>
      </w:tblGrid>
      <w:tr w:rsidR="009B1384" w:rsidRPr="00781112" w14:paraId="644B64CC" w14:textId="054608F6" w:rsidTr="0075451F">
        <w:trPr>
          <w:trHeight w:val="365"/>
          <w:tblHeader/>
        </w:trPr>
        <w:tc>
          <w:tcPr>
            <w:tcW w:w="457" w:type="pct"/>
            <w:tcBorders>
              <w:bottom w:val="single" w:sz="4" w:space="0" w:color="auto"/>
            </w:tcBorders>
            <w:shd w:val="clear" w:color="auto" w:fill="auto"/>
          </w:tcPr>
          <w:p w14:paraId="7BA1EAE5" w14:textId="77777777" w:rsidR="009B1384" w:rsidRPr="00781112" w:rsidRDefault="009B1384" w:rsidP="009B1384">
            <w:pPr>
              <w:jc w:val="center"/>
              <w:rPr>
                <w:b/>
                <w:color w:val="000000" w:themeColor="text1"/>
              </w:rPr>
            </w:pPr>
            <w:r w:rsidRPr="00781112">
              <w:rPr>
                <w:b/>
                <w:color w:val="000000" w:themeColor="text1"/>
              </w:rPr>
              <w:t>FFY</w:t>
            </w:r>
          </w:p>
        </w:tc>
        <w:tc>
          <w:tcPr>
            <w:tcW w:w="379" w:type="pct"/>
            <w:shd w:val="clear" w:color="auto" w:fill="auto"/>
            <w:vAlign w:val="center"/>
          </w:tcPr>
          <w:p w14:paraId="23DAA64E" w14:textId="191590DB" w:rsidR="009B1384" w:rsidRPr="00781112" w:rsidRDefault="009B1384" w:rsidP="009B1384">
            <w:pPr>
              <w:jc w:val="center"/>
              <w:rPr>
                <w:b/>
                <w:color w:val="000000" w:themeColor="text1"/>
              </w:rPr>
            </w:pPr>
            <w:r w:rsidRPr="00781112">
              <w:rPr>
                <w:b/>
                <w:color w:val="000000" w:themeColor="text1"/>
              </w:rPr>
              <w:t>2020 (low)</w:t>
            </w:r>
          </w:p>
        </w:tc>
        <w:tc>
          <w:tcPr>
            <w:tcW w:w="379" w:type="pct"/>
            <w:shd w:val="clear" w:color="auto" w:fill="auto"/>
            <w:vAlign w:val="center"/>
          </w:tcPr>
          <w:p w14:paraId="0DBD43BD" w14:textId="6B62D568" w:rsidR="009B1384" w:rsidRPr="00781112" w:rsidRDefault="009B1384" w:rsidP="009B1384">
            <w:pPr>
              <w:jc w:val="center"/>
              <w:rPr>
                <w:b/>
                <w:color w:val="000000" w:themeColor="text1"/>
              </w:rPr>
            </w:pPr>
            <w:r w:rsidRPr="00781112">
              <w:rPr>
                <w:b/>
                <w:color w:val="000000" w:themeColor="text1"/>
              </w:rPr>
              <w:t>2020 (high)</w:t>
            </w:r>
          </w:p>
        </w:tc>
        <w:tc>
          <w:tcPr>
            <w:tcW w:w="379" w:type="pct"/>
            <w:vAlign w:val="center"/>
          </w:tcPr>
          <w:p w14:paraId="6AD281FB" w14:textId="59DA3DC8" w:rsidR="009B1384" w:rsidRPr="00781112" w:rsidRDefault="009B1384" w:rsidP="009B1384">
            <w:pPr>
              <w:jc w:val="center"/>
              <w:rPr>
                <w:b/>
                <w:color w:val="000000" w:themeColor="text1"/>
              </w:rPr>
            </w:pPr>
            <w:r w:rsidRPr="00781112">
              <w:rPr>
                <w:b/>
                <w:color w:val="000000" w:themeColor="text1"/>
              </w:rPr>
              <w:t>2021 (low)</w:t>
            </w:r>
          </w:p>
        </w:tc>
        <w:tc>
          <w:tcPr>
            <w:tcW w:w="379" w:type="pct"/>
            <w:vAlign w:val="center"/>
          </w:tcPr>
          <w:p w14:paraId="28D1785D" w14:textId="24810D2E" w:rsidR="009B1384" w:rsidRPr="00781112" w:rsidRDefault="009B1384" w:rsidP="009B1384">
            <w:pPr>
              <w:jc w:val="center"/>
              <w:rPr>
                <w:b/>
                <w:color w:val="000000" w:themeColor="text1"/>
              </w:rPr>
            </w:pPr>
            <w:r w:rsidRPr="00781112">
              <w:rPr>
                <w:b/>
                <w:color w:val="000000" w:themeColor="text1"/>
              </w:rPr>
              <w:t>2021 (high)</w:t>
            </w:r>
          </w:p>
        </w:tc>
        <w:tc>
          <w:tcPr>
            <w:tcW w:w="379" w:type="pct"/>
            <w:vAlign w:val="center"/>
          </w:tcPr>
          <w:p w14:paraId="07035D22" w14:textId="05E36A4B" w:rsidR="009B1384" w:rsidRPr="00781112" w:rsidRDefault="009B1384" w:rsidP="009B1384">
            <w:pPr>
              <w:jc w:val="center"/>
              <w:rPr>
                <w:b/>
                <w:color w:val="000000" w:themeColor="text1"/>
              </w:rPr>
            </w:pPr>
            <w:r w:rsidRPr="00781112">
              <w:rPr>
                <w:b/>
                <w:color w:val="000000" w:themeColor="text1"/>
              </w:rPr>
              <w:t>2022 (low)</w:t>
            </w:r>
          </w:p>
        </w:tc>
        <w:tc>
          <w:tcPr>
            <w:tcW w:w="379" w:type="pct"/>
            <w:vAlign w:val="center"/>
          </w:tcPr>
          <w:p w14:paraId="2718908F" w14:textId="007164CA" w:rsidR="009B1384" w:rsidRPr="00781112" w:rsidRDefault="009B1384" w:rsidP="009B1384">
            <w:pPr>
              <w:jc w:val="center"/>
              <w:rPr>
                <w:b/>
                <w:color w:val="000000" w:themeColor="text1"/>
              </w:rPr>
            </w:pPr>
            <w:r w:rsidRPr="00781112">
              <w:rPr>
                <w:b/>
                <w:color w:val="000000" w:themeColor="text1"/>
              </w:rPr>
              <w:t>2022 (high)</w:t>
            </w:r>
          </w:p>
        </w:tc>
        <w:tc>
          <w:tcPr>
            <w:tcW w:w="379" w:type="pct"/>
            <w:vAlign w:val="center"/>
          </w:tcPr>
          <w:p w14:paraId="746E820E" w14:textId="19344CF0" w:rsidR="009B1384" w:rsidRPr="00781112" w:rsidRDefault="009B1384" w:rsidP="009B1384">
            <w:pPr>
              <w:jc w:val="center"/>
              <w:rPr>
                <w:b/>
                <w:color w:val="000000" w:themeColor="text1"/>
              </w:rPr>
            </w:pPr>
            <w:r w:rsidRPr="00781112">
              <w:rPr>
                <w:b/>
                <w:color w:val="000000" w:themeColor="text1"/>
              </w:rPr>
              <w:t>2023 (low)</w:t>
            </w:r>
          </w:p>
        </w:tc>
        <w:tc>
          <w:tcPr>
            <w:tcW w:w="379" w:type="pct"/>
            <w:vAlign w:val="center"/>
          </w:tcPr>
          <w:p w14:paraId="4E80578F" w14:textId="06784578" w:rsidR="009B1384" w:rsidRPr="00781112" w:rsidRDefault="009B1384" w:rsidP="009B1384">
            <w:pPr>
              <w:jc w:val="center"/>
              <w:rPr>
                <w:b/>
                <w:color w:val="000000" w:themeColor="text1"/>
              </w:rPr>
            </w:pPr>
            <w:r w:rsidRPr="00781112">
              <w:rPr>
                <w:b/>
                <w:color w:val="000000" w:themeColor="text1"/>
              </w:rPr>
              <w:t>2023 (high)</w:t>
            </w:r>
          </w:p>
        </w:tc>
        <w:tc>
          <w:tcPr>
            <w:tcW w:w="379" w:type="pct"/>
            <w:vAlign w:val="center"/>
          </w:tcPr>
          <w:p w14:paraId="2CABE82F" w14:textId="4F0DC700" w:rsidR="009B1384" w:rsidRPr="00781112" w:rsidRDefault="009B1384" w:rsidP="009B1384">
            <w:pPr>
              <w:jc w:val="center"/>
              <w:rPr>
                <w:b/>
                <w:color w:val="000000" w:themeColor="text1"/>
              </w:rPr>
            </w:pPr>
            <w:r w:rsidRPr="00781112">
              <w:rPr>
                <w:b/>
                <w:color w:val="000000" w:themeColor="text1"/>
              </w:rPr>
              <w:t>2024 (low)</w:t>
            </w:r>
          </w:p>
        </w:tc>
        <w:tc>
          <w:tcPr>
            <w:tcW w:w="379" w:type="pct"/>
            <w:vAlign w:val="center"/>
          </w:tcPr>
          <w:p w14:paraId="59F727BE" w14:textId="5E98283F" w:rsidR="009B1384" w:rsidRPr="00781112" w:rsidRDefault="009B1384" w:rsidP="009B1384">
            <w:pPr>
              <w:jc w:val="center"/>
              <w:rPr>
                <w:b/>
                <w:color w:val="000000" w:themeColor="text1"/>
              </w:rPr>
            </w:pPr>
            <w:r w:rsidRPr="00781112">
              <w:rPr>
                <w:b/>
                <w:color w:val="000000" w:themeColor="text1"/>
              </w:rPr>
              <w:t>2024 (high)</w:t>
            </w:r>
          </w:p>
        </w:tc>
        <w:tc>
          <w:tcPr>
            <w:tcW w:w="379" w:type="pct"/>
            <w:vAlign w:val="center"/>
          </w:tcPr>
          <w:p w14:paraId="79BC879A" w14:textId="0E4CE7EF" w:rsidR="009B1384" w:rsidRPr="00781112" w:rsidRDefault="009B1384" w:rsidP="009B1384">
            <w:pPr>
              <w:jc w:val="center"/>
              <w:rPr>
                <w:b/>
                <w:color w:val="000000" w:themeColor="text1"/>
              </w:rPr>
            </w:pPr>
            <w:r w:rsidRPr="00781112">
              <w:rPr>
                <w:b/>
                <w:color w:val="000000" w:themeColor="text1"/>
              </w:rPr>
              <w:t>2025 (low)</w:t>
            </w:r>
          </w:p>
        </w:tc>
        <w:tc>
          <w:tcPr>
            <w:tcW w:w="379" w:type="pct"/>
            <w:vAlign w:val="center"/>
          </w:tcPr>
          <w:p w14:paraId="50AB0825" w14:textId="376A76A5" w:rsidR="009B1384" w:rsidRPr="00781112" w:rsidRDefault="009B1384" w:rsidP="009B1384">
            <w:pPr>
              <w:jc w:val="center"/>
              <w:rPr>
                <w:b/>
                <w:color w:val="000000" w:themeColor="text1"/>
              </w:rPr>
            </w:pPr>
            <w:r w:rsidRPr="00781112">
              <w:rPr>
                <w:b/>
                <w:color w:val="000000" w:themeColor="text1"/>
              </w:rPr>
              <w:t>2025 (high)</w:t>
            </w:r>
          </w:p>
        </w:tc>
      </w:tr>
      <w:tr w:rsidR="00643D78" w:rsidRPr="00781112" w14:paraId="6C97BE7D" w14:textId="4C644E2E" w:rsidTr="0075451F">
        <w:trPr>
          <w:trHeight w:val="372"/>
        </w:trPr>
        <w:tc>
          <w:tcPr>
            <w:tcW w:w="457" w:type="pct"/>
            <w:shd w:val="clear" w:color="auto" w:fill="auto"/>
          </w:tcPr>
          <w:p w14:paraId="3B66E2A4" w14:textId="3F1055B0" w:rsidR="00643D78" w:rsidRPr="00781112" w:rsidRDefault="00643D78" w:rsidP="00643D78">
            <w:pP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079136BB" w14:textId="5FB572C1" w:rsidR="00643D78" w:rsidRPr="00781112" w:rsidRDefault="00643D78" w:rsidP="00643D78">
            <w:pPr>
              <w:jc w:val="center"/>
              <w:rPr>
                <w:rFonts w:cs="Arial"/>
                <w:color w:val="000000" w:themeColor="text1"/>
                <w:szCs w:val="16"/>
              </w:rPr>
            </w:pPr>
            <w:r w:rsidRPr="00781112">
              <w:rPr>
                <w:rFonts w:cs="Arial"/>
                <w:color w:val="000000" w:themeColor="text1"/>
                <w:szCs w:val="16"/>
              </w:rPr>
              <w:t>50.00%</w:t>
            </w:r>
          </w:p>
        </w:tc>
        <w:tc>
          <w:tcPr>
            <w:tcW w:w="379" w:type="pct"/>
            <w:shd w:val="clear" w:color="auto" w:fill="auto"/>
            <w:vAlign w:val="center"/>
          </w:tcPr>
          <w:p w14:paraId="75118312" w14:textId="5B296FF3"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vAlign w:val="center"/>
          </w:tcPr>
          <w:p w14:paraId="3F181347" w14:textId="445996E0" w:rsidR="00643D78" w:rsidRPr="00781112" w:rsidRDefault="00643D78" w:rsidP="00643D78">
            <w:pPr>
              <w:jc w:val="center"/>
              <w:rPr>
                <w:rFonts w:cs="Arial"/>
                <w:color w:val="000000" w:themeColor="text1"/>
                <w:szCs w:val="16"/>
              </w:rPr>
            </w:pPr>
            <w:r w:rsidRPr="00781112">
              <w:rPr>
                <w:rFonts w:cs="Arial"/>
                <w:color w:val="000000" w:themeColor="text1"/>
                <w:szCs w:val="16"/>
              </w:rPr>
              <w:t>50.00%</w:t>
            </w:r>
          </w:p>
        </w:tc>
        <w:tc>
          <w:tcPr>
            <w:tcW w:w="379" w:type="pct"/>
          </w:tcPr>
          <w:p w14:paraId="19A85918" w14:textId="494A2267"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tcPr>
          <w:p w14:paraId="6A6EC070" w14:textId="2D306454" w:rsidR="00643D78" w:rsidRPr="00781112" w:rsidRDefault="00643D78" w:rsidP="00643D78">
            <w:pPr>
              <w:jc w:val="center"/>
              <w:rPr>
                <w:rFonts w:cs="Arial"/>
                <w:color w:val="000000" w:themeColor="text1"/>
                <w:szCs w:val="16"/>
              </w:rPr>
            </w:pPr>
            <w:r w:rsidRPr="00781112">
              <w:rPr>
                <w:rFonts w:cs="Arial"/>
                <w:color w:val="000000" w:themeColor="text1"/>
                <w:szCs w:val="16"/>
              </w:rPr>
              <w:t>50.00%</w:t>
            </w:r>
          </w:p>
        </w:tc>
        <w:tc>
          <w:tcPr>
            <w:tcW w:w="379" w:type="pct"/>
          </w:tcPr>
          <w:p w14:paraId="35D976E8" w14:textId="49E9BF03"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tcPr>
          <w:p w14:paraId="72B38389" w14:textId="24A25CD2" w:rsidR="00643D78" w:rsidRPr="00781112" w:rsidRDefault="00643D78" w:rsidP="00643D78">
            <w:pPr>
              <w:jc w:val="center"/>
              <w:rPr>
                <w:rFonts w:cs="Arial"/>
                <w:color w:val="000000" w:themeColor="text1"/>
                <w:szCs w:val="16"/>
              </w:rPr>
            </w:pPr>
            <w:r w:rsidRPr="00781112">
              <w:rPr>
                <w:rFonts w:cs="Arial"/>
                <w:color w:val="000000" w:themeColor="text1"/>
                <w:szCs w:val="16"/>
              </w:rPr>
              <w:t>50.00%</w:t>
            </w:r>
          </w:p>
        </w:tc>
        <w:tc>
          <w:tcPr>
            <w:tcW w:w="379" w:type="pct"/>
          </w:tcPr>
          <w:p w14:paraId="6BCA1621" w14:textId="2751B939"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tcPr>
          <w:p w14:paraId="42BFD777" w14:textId="5B810178" w:rsidR="00643D78" w:rsidRPr="00781112" w:rsidRDefault="00643D78" w:rsidP="00643D78">
            <w:pPr>
              <w:jc w:val="center"/>
              <w:rPr>
                <w:rFonts w:cs="Arial"/>
                <w:color w:val="000000" w:themeColor="text1"/>
                <w:szCs w:val="16"/>
              </w:rPr>
            </w:pPr>
            <w:r w:rsidRPr="00781112">
              <w:rPr>
                <w:rFonts w:cs="Arial"/>
                <w:color w:val="000000" w:themeColor="text1"/>
                <w:szCs w:val="16"/>
              </w:rPr>
              <w:t>50.00%</w:t>
            </w:r>
          </w:p>
        </w:tc>
        <w:tc>
          <w:tcPr>
            <w:tcW w:w="379" w:type="pct"/>
          </w:tcPr>
          <w:p w14:paraId="54B9C439" w14:textId="053B7F1A"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tcPr>
          <w:p w14:paraId="75A9B04C" w14:textId="06079264" w:rsidR="00643D78" w:rsidRPr="00781112" w:rsidRDefault="00643D78" w:rsidP="00643D78">
            <w:pPr>
              <w:jc w:val="center"/>
              <w:rPr>
                <w:rFonts w:cs="Arial"/>
                <w:color w:val="000000" w:themeColor="text1"/>
                <w:szCs w:val="16"/>
              </w:rPr>
            </w:pPr>
            <w:r w:rsidRPr="00781112">
              <w:rPr>
                <w:rFonts w:cs="Arial"/>
                <w:color w:val="000000" w:themeColor="text1"/>
                <w:szCs w:val="16"/>
              </w:rPr>
              <w:t>50.00%</w:t>
            </w:r>
          </w:p>
        </w:tc>
        <w:tc>
          <w:tcPr>
            <w:tcW w:w="379" w:type="pct"/>
          </w:tcPr>
          <w:p w14:paraId="09DD3B8A" w14:textId="5687AF2F"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r>
    </w:tbl>
    <w:p w14:paraId="35D1322B" w14:textId="77777777" w:rsidR="00CE0C68" w:rsidRPr="00781112" w:rsidRDefault="00CE0C68" w:rsidP="004369B2">
      <w:pPr>
        <w:rPr>
          <w:color w:val="000000" w:themeColor="text1"/>
        </w:rPr>
      </w:pPr>
    </w:p>
    <w:p w14:paraId="666D91C8" w14:textId="0E3E0D5E" w:rsidR="008E31C4" w:rsidRPr="00781112" w:rsidRDefault="00806C75">
      <w:pPr>
        <w:rPr>
          <w:b/>
          <w:color w:val="000000" w:themeColor="text1"/>
        </w:rPr>
      </w:pPr>
      <w:r w:rsidRPr="00781112">
        <w:rPr>
          <w:b/>
          <w:color w:val="000000" w:themeColor="text1"/>
        </w:rPr>
        <w:t>FFY 2020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781112" w14:paraId="7C632FC4" w14:textId="77777777" w:rsidTr="00877012">
        <w:trPr>
          <w:trHeight w:val="354"/>
          <w:tblHeader/>
        </w:trPr>
        <w:tc>
          <w:tcPr>
            <w:tcW w:w="641" w:type="pct"/>
            <w:shd w:val="clear" w:color="auto" w:fill="auto"/>
            <w:vAlign w:val="bottom"/>
          </w:tcPr>
          <w:p w14:paraId="147E9035"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7D938EE9" w:rsidR="0087456C" w:rsidRPr="00781112" w:rsidRDefault="00F6415A" w:rsidP="008E31C4">
            <w:pPr>
              <w:jc w:val="center"/>
              <w:rPr>
                <w:rFonts w:cs="Arial"/>
                <w:b/>
                <w:color w:val="000000" w:themeColor="text1"/>
                <w:szCs w:val="16"/>
              </w:rPr>
            </w:pPr>
            <w:r w:rsidRPr="00781112">
              <w:rPr>
                <w:rFonts w:cs="Arial"/>
                <w:b/>
                <w:color w:val="000000" w:themeColor="text1"/>
                <w:szCs w:val="16"/>
              </w:rPr>
              <w:t>FFY 2019 Data</w:t>
            </w:r>
          </w:p>
        </w:tc>
        <w:tc>
          <w:tcPr>
            <w:tcW w:w="746" w:type="pct"/>
            <w:shd w:val="clear" w:color="auto" w:fill="auto"/>
            <w:vAlign w:val="bottom"/>
          </w:tcPr>
          <w:p w14:paraId="01013E6D" w14:textId="20DE7097"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(low)</w:t>
            </w:r>
          </w:p>
        </w:tc>
        <w:tc>
          <w:tcPr>
            <w:tcW w:w="756" w:type="pct"/>
            <w:shd w:val="clear" w:color="auto" w:fill="auto"/>
            <w:vAlign w:val="bottom"/>
          </w:tcPr>
          <w:p w14:paraId="7967CE4B" w14:textId="109212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(high)</w:t>
            </w:r>
          </w:p>
        </w:tc>
        <w:tc>
          <w:tcPr>
            <w:tcW w:w="588" w:type="pct"/>
            <w:shd w:val="clear" w:color="auto" w:fill="auto"/>
            <w:vAlign w:val="bottom"/>
          </w:tcPr>
          <w:p w14:paraId="1E6219BF" w14:textId="4EE4E9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348269A9"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43.24%</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13.04%</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 xml:space="preserve">The number of resolutions sessions decreased from 37 in the prior year to 23 in the current reporting period. The 38% decrease in the total number of resolution sessions had an adverse impact on the total percentage of resolution sessions resolved through settlement agreements. The reduction in the overall number contributed to the volatility of the calculation. Resolution session outcomes are variable from year to year based upon the specific circumstances involved. </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Georgia is requesting that this Indicator now be addressed through a target range of 50-70% due to its variability. In addition, the target range will align it with Indicator 16 and present the information more cohesively across both Indicators. Navigation of services for students with disabilities during the COVID pandemic have yielded an increase in novel situations that have not been resolved with the same degree of success through resolution sessions. The novel situations and fluctuations in the number of Resolution Sessions have yielded highly unstable data. The representation of the target through a target range will allow for a more realistic evaluation of progress while acknowledging the high degree of variability in this Indicator.</w:t>
      </w:r>
      <w:r w:rsidRPr="00781112">
        <w:rPr>
          <w:rFonts w:cs="Arial"/>
          <w:color w:val="000000" w:themeColor="text1"/>
          <w:szCs w:val="16"/>
        </w:rPr>
        <w:br/>
      </w:r>
      <w:r w:rsidRPr="00781112">
        <w:rPr>
          <w:rFonts w:cs="Arial"/>
          <w:color w:val="000000" w:themeColor="text1"/>
          <w:szCs w:val="16"/>
        </w:rPr>
        <w:br/>
        <w:t xml:space="preserve">Georgia is requesting that the baseline for this Indicator be reset to the 2018 data level of 60.98% which would fall within the target range of 50% to 70% requested. The prior baseline reported in 2005 is 88.00%, which is 15 years old, and none of the targets reported for Georgia since 2006 are at or above this level. In 2007, the target was set at 60% and it has never exceeded 63.10%, which is 24.9% percentage points below the baseline. Georgia has shown an increase in litigation in the the last few years. In fact, GaDOE is currently hiring additional personnel in the Family Engagement and Dispute Resolution unit to provide more proactive support to LEAs. Georgia is also hiring an Ombudsman to provide additional support to the LEAs and families with neutrality. The Ombudsman will serve as a designated neutral party who advocates for a fair process and provides confidential, informal assistance and support to parents, guardians, advocates, educators, and students with disabilities.  </w:t>
      </w:r>
      <w:r w:rsidRPr="00781112">
        <w:rPr>
          <w:rFonts w:cs="Arial"/>
          <w:color w:val="000000" w:themeColor="text1"/>
          <w:szCs w:val="16"/>
        </w:rPr>
        <w:br/>
      </w:r>
      <w:r w:rsidRPr="00781112">
        <w:rPr>
          <w:rFonts w:cs="Arial"/>
          <w:color w:val="000000" w:themeColor="text1"/>
          <w:szCs w:val="16"/>
        </w:rPr>
        <w:br/>
        <w:t xml:space="preserve">Georgia recognizes the need to encourage LEAs and parents to work through the resolution process and endeavors to enhance communication through several avenues including IEP Team Meeting Facilitation (see https://www.gadoe.org/Curriculum-Instruction-and-Assessment/Special-Education-Services/Pages/IEP-Facilitation.aspx ). Located on the website are several resources such as a Parent Guide, IEP Facilitation Form, Facilitated IEP (FIEP) Promotional Flyer, and IEP Facilitation Policies Manual. There is also a helpful video to outline the process. Georgia also provides a Special Education Help Desk number (404) 656-3963 and email address SPEDHelpDesk@doe.k12.ga.us for parents with questions and concerns. Parent Engagement Specialists provide support at both contacts and support parents in working with LEAs to intervene in situations before they reach the level of needing a Resolution Session. </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2018, and OSEP accepts that revision.</w:t>
      </w:r>
      <w:r w:rsidRPr="00781112">
        <w:rPr>
          <w:rFonts w:cs="Arial"/>
          <w:color w:val="000000" w:themeColor="text1"/>
          <w:szCs w:val="16"/>
        </w:rPr>
        <w:br/>
      </w:r>
      <w:r w:rsidRPr="00781112">
        <w:rPr>
          <w:rFonts w:cs="Arial"/>
          <w:color w:val="000000" w:themeColor="text1"/>
          <w:szCs w:val="16"/>
        </w:rPr>
        <w:b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92</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7</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31</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r>
      <w:r w:rsidRPr="00781112">
        <w:rPr>
          <w:rFonts w:cs="Arial"/>
          <w:color w:val="000000" w:themeColor="text1"/>
          <w:szCs w:val="16"/>
        </w:rPr>
        <w:lastRenderedPageBreak/>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 xml:space="preserve">SAP stakeholders were given the opportunity to provide feedback on the State's performance on the SPP/APR Indicators and the development of targets for the 2020-2025 package on May 6, 2021, September 2, 2021, October 29, 2021, December 3, 2021, and January 13, 2022. Beginning on May 6, 2021, the SAP was provided with a comprehensive overview presentation of the new SPP/APR 2020-2025 package and Indicators through a cohesive Indicators Cluster Group Framework developed by the Georgia Part B Data Managers. In the framework, SPP/APR Indicators were grouped together based upon similar objectives and intended outcomes for students. For example, Group A: High School and Life Outcomes Group included Indicators 1 (Graduation), 2 (Dropout), 13 (Secondary Transition), and 14 (Post School Outcomes). The presentation informed the SAP of the differences, if applicable, in measurement for Indicators in the new SPP/APR package. SAP viewed projected and historical data for the Indicators of the SPP/APR FFY 2020. If a new calculation and/or data group was used for an Indicator, such as Indicator 1 (Graduation), historical data was converted to allow for a comparable analysis of current and historical data. SAP was also provided with resources and links to access the information and the opportunity to ask questions. At the conclusion of the meeting, SAP members were provided with an opportunity to join a specific work group (shown below) for SPP/APR development. </w:t>
      </w:r>
      <w:r w:rsidRPr="00781112">
        <w:rPr>
          <w:rFonts w:cs="Arial"/>
          <w:color w:val="000000" w:themeColor="text1"/>
          <w:szCs w:val="16"/>
        </w:rPr>
        <w:br/>
        <w:t xml:space="preserve">The Indicators of the SPP/APR were divided into the following groups to enable focused work and greater opportunity for stakeholder feedback: </w:t>
      </w:r>
      <w:r w:rsidRPr="00781112">
        <w:rPr>
          <w:rFonts w:cs="Arial"/>
          <w:color w:val="000000" w:themeColor="text1"/>
          <w:szCs w:val="16"/>
        </w:rPr>
        <w:br/>
        <w:t>• Group A: High School and Life Outcomes (Indicators 1, 2, 13, 14 and 17)</w:t>
      </w:r>
      <w:r w:rsidRPr="00781112">
        <w:rPr>
          <w:rFonts w:cs="Arial"/>
          <w:color w:val="000000" w:themeColor="text1"/>
          <w:szCs w:val="16"/>
        </w:rPr>
        <w:br/>
        <w:t>• Group B: Disproportionality (Indicators 4, 9, and 10)</w:t>
      </w:r>
      <w:r w:rsidRPr="00781112">
        <w:rPr>
          <w:rFonts w:cs="Arial"/>
          <w:color w:val="000000" w:themeColor="text1"/>
          <w:szCs w:val="16"/>
        </w:rPr>
        <w:br/>
        <w:t>• Group C: Environments and Timelines (Indicators 5, 6, 11, and 12)</w:t>
      </w:r>
      <w:r w:rsidRPr="00781112">
        <w:rPr>
          <w:rFonts w:cs="Arial"/>
          <w:color w:val="000000" w:themeColor="text1"/>
          <w:szCs w:val="16"/>
        </w:rPr>
        <w:br/>
        <w:t xml:space="preserve">• Group D: Preschool, Parent Involvement, and Legal (Indicators 7, 8,15, and 16) </w:t>
      </w:r>
      <w:r w:rsidRPr="00781112">
        <w:rPr>
          <w:rFonts w:cs="Arial"/>
          <w:color w:val="000000" w:themeColor="text1"/>
          <w:szCs w:val="16"/>
        </w:rPr>
        <w:br/>
        <w:t xml:space="preserve">• Group E: Assessment (Indicator 3). </w:t>
      </w:r>
      <w:r w:rsidRPr="00781112">
        <w:rPr>
          <w:rFonts w:cs="Arial"/>
          <w:color w:val="000000" w:themeColor="text1"/>
          <w:szCs w:val="16"/>
        </w:rPr>
        <w:br/>
        <w:t>On September 2, 2021, all SAP members worked in one of the five groups based upon self-selection. There was parent representation in each group. The small group sessions were facilitated by DSESS staff using a standardized format. Each facilitator was provided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group provided specific documented feedback on possible targets and lingering questions based on an analysis of the data. Follow-up sessions were conducted October 29, 2021, December 3, 2021, and January 13, 2022.</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9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4, 2021 and ended November 1, 2021. Registration records for these opportunities indicated that 1,473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November 1, 2021 LEA SPP/APR stakeholder session, feedback from all meetings, email, and questions was formatted into an online survey titled SPP/APR State Performance Plan Feedback Survey 2020-2025 posted at https://www.gadoe.org/Curriculum-Instruction-and-Assessment/Special-Education-Services/Pages/State-Performance-Plan-(SPP),-Annual-Performance-Reports-(APR)-and-Annual-Determinations.aspx.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The SPP/APR Survey was publicly posted to allow for even broader participation. Following the collection of the survey, the results were used to set targets which were publicly posted for comment at the website above on December 7, 2021, except for Indicator 3. Indicator 3 assessment results and targets were made available following the January 13, 2022 SAP meeting. Assessment results were not broadly available in Georgia until after December 15, 2021, and the January SAP meeting was the first opportunity to receive stakeholder feedback on the Indicator 3 (Assessment) baselines and targets.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62.90%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60.00%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50.00% - 70.00%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50.00% - 70.00%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50.00%-70.00%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48.53%</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54.44%</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63.11%</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61.54%</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65.88%</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r w:rsidRPr="00781112">
              <w:rPr>
                <w:rFonts w:cs="Arial"/>
                <w:color w:val="000000" w:themeColor="text1"/>
                <w:szCs w:val="16"/>
              </w:rPr>
              <w:t>50.00%</w:t>
            </w: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50.00%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50.00%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50.00%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50.00%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50.00%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lastRenderedPageBreak/>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31</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92</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65.88%</w:t>
            </w:r>
          </w:p>
        </w:tc>
        <w:tc>
          <w:tcPr>
            <w:tcW w:w="649"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0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41.30%</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The number of mediations held increased by 7 in FFY 2020, unfortunately the number of mediation agreements decreased by 18. The volatility of the data has led to the decrease in the percentage of successful mediations. Mediation outcomes are variable from year to year based upon the specific circumstances involved. Percentages for successful mediations have varied by up to 24.58 percentage points across the 2015 through 2020 reporting period.</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Navigation of services for students with disabilities during the COVID pandemic have yielded an increase in novel situations that have not been resolved with the same degree of success through mediations. Georgia recognizes the need to encourage LEAs and parents to work through the mediation process and endeavors to enhance communication through several avenues including IEP Team Meeting Facilitation (see https://www.gadoe.org/Curriculum-Instruction-and-Assessment/Special-Education-Services/Pages/IEP-Facilitation ). Located on the website are several resources such as a Parent Guide, IEP Facilitation Form, Facilitated IEP (FIEP) Promotional Flyer, and IEP Facilitation Policies Manual. There is also a helpful video to outline the process. Georgia also provides a Special Education Help Desk number (404) 656-3963 and email address SPEDHelpDesk@doe.k12.ga.us for parents with questions and concerns. Parent Engagement Specialists provide support at both contacts and support parents in working with LEAs to intervene in situations before they reach the level of needing a Mediation.</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 xml:space="preserve">The SiMR for FFY20 is to increase graduation rates for students with disabilities in 50 selected districts to 67% Annual Event Graduation Rate.  </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State uses the annual event graduation rate to measure its target. The subgroup for intensive support includes the 10 selected Targeted Support Improvement (TSI) Districts/Schools/SSIP Districts (APS, Bibb, Clarke, Clayton, DeKalb, Meriwether, Newton, Richmond, Seminole, Treutlen). This group was selected because of the collective support from School Improvement and Special Education.  These districts were identified as TSI due to low graduation rates for students with disabilities and/or closing the gap and content mastery. </w:t>
      </w:r>
      <w:r w:rsidRPr="00781112">
        <w:rPr>
          <w:color w:val="000000" w:themeColor="text1"/>
        </w:rPr>
        <w:br/>
        <w:t xml:space="preserve">The State SSIP provides universal support for all districts through its PL (Professional Learning) series, Leadership Launches, and monthly collaborative communities.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7" w:name="_Hlk88409365"/>
      <w:r w:rsidRPr="00730C62">
        <w:rPr>
          <w:b/>
          <w:bCs/>
          <w:szCs w:val="16"/>
        </w:rPr>
        <w:t>just</w:t>
      </w:r>
      <w:r w:rsidR="006457D1">
        <w:rPr>
          <w:b/>
          <w:bCs/>
          <w:szCs w:val="16"/>
        </w:rPr>
        <w:t>i</w:t>
      </w:r>
      <w:r w:rsidRPr="00730C62">
        <w:rPr>
          <w:b/>
          <w:bCs/>
          <w:szCs w:val="16"/>
        </w:rPr>
        <w:t>fication</w:t>
      </w:r>
      <w:bookmarkEnd w:id="87"/>
      <w:r w:rsidRPr="00730C62">
        <w:rPr>
          <w:b/>
          <w:bCs/>
          <w:szCs w:val="16"/>
        </w:rPr>
        <w:t xml:space="preserve"> for the changes.</w:t>
      </w:r>
    </w:p>
    <w:p w14:paraId="168D53FB" w14:textId="164A8367" w:rsidR="00CF0910" w:rsidRDefault="00CF0910" w:rsidP="00CF0910">
      <w:r w:rsidRPr="00781112">
        <w:t xml:space="preserve">The State Advisory Panel, Collaborative Community Stakeholders and other SSIP stakeholders voiced through surveys, virtual discussions and monthly SSIP meetings that more professional learning is needed to address instructional strategies, retention of special education teachers and supports to school based administrators.  On the SSIP District Annual Survey, stakeholders asked for more training for specially designed instruction, HLPs, support to new teachers and administrators. Because of this data the State is expanding the Coherent Strategy One: Professional Learning activities. </w:t>
      </w:r>
      <w:r w:rsidRPr="00781112">
        <w:br/>
        <w:t xml:space="preserve">The SSIP PL Series which was extremely popular this year will continue. A Special Education and School Based Administrator Academy (SESBAA) will began  in January 2022 with 142 school-based administrators with an executive coach to support the SSIP work in the schools, with the two-program specialist.This will provide focused professional learning and coaching to school based administrators expanding the SSIP work to the school level,rather than just the district level. .To address the request from stakeholders to provide more support in the area of specially designed instruction,  the State is contracting with Dr. Tessie Rose Baileyand Doug Fukes from America’s Institute of Research to provide ongoing training and coaching around Specially Designed Instruction (SDI). A SDI webpage was built and is updated frequently with asynchronous and synchronous modules, tools, and resources. A Multi-Sensory Reading Grant to train teachers in  multi sensory reading approaches such as Orton-Gillingham, Wilson Reading and to receive training in Dyslexia has been offered to build capacity for special education teachers in the area of literacy. The Teacher Provider Retention Project to provide professional development training to new special education teachers on HLPs in partnership with CEEDAR, Great Teacher Leaders and several higher ed institutions has also been implemented to support Coherent Strategies 1 Professional learning and address outcomes for mid-term goals around student achievement and graduation rates. Each of these additional professional learning projects are to support the short and mid-term goals related to student achievement and building capacity. </w:t>
      </w:r>
      <w:r w:rsidRPr="00781112">
        <w:br/>
        <w:t>The State has updated targets for short-term, mid-term and long-term goals due to challenges related to the pandemic. These additional professional learning events are supported by challenges remain as turnover of district and school leadership and teachers remains dramatically high. It is necessary to continue to train and retrain new district leaders and teachers. Stakeholder input, survey results and data trend analytics reviews indicated we are making slight progress with our current activities but must continue to build capacity and address challenges around retention. Stakeholder feedback continues to ask for specific digital tools and resources to guide the work of Student Success.  The SSIP collaborates with Georgia’s Teacher Provider Retention Program to help selected districts recruit and retain special education teachers. The program provides ongoing PL around HLPs (High Leverage Practices). The ten selected districts are making progress but face many challenges related to COVID and other challenges. The continued consistency of SSIP activities is key to building sustainability.</w:t>
      </w:r>
      <w:r w:rsidRPr="00781112">
        <w:br/>
        <w:t>The State SSIP team and School District Effectiveness provide ongoing collective support, yet the District Implementation Fidelity Rubrics are different. After completing a crosswalk of the two documents, gaining stakeholder feedback and discussion with the state implementation team, the State would like to change the District Implementation Fidelity Rubric to using the School District Effectiveness rubric which is aligned to Georgia’s Continuous Improvement System and Implementation Science indicators.</w:t>
      </w:r>
      <w:r w:rsidRPr="00781112">
        <w:br/>
        <w:t xml:space="preserve">The revised rubric will be implemented for FFY21. </w:t>
      </w:r>
      <w:r w:rsidRPr="00781112">
        <w:br/>
      </w:r>
      <w:r w:rsidRPr="00781112">
        <w:br/>
        <w:t>The State’s current theory of action is located at https://nam02.safelinks.protection.outlook.com/ap/p-59584e83/?url=https%3A%2F%2Fshealy.sharepoint.com%2F%3Ap%3A%2Fs%2FSSIPTeam%2FEZmoif6UHjtFsXOLufwI8EYB9gzEzseYWnwt0GhiryHAtg%3Fe%3DtC1c91&amp;data=04%7C01%7Cdkemp%40doe.k12.ga.us%7Cc6bd38ac9dba4e69881708d9e26e6a9d%7C1aa55c8303434ecbbd39bd7f43</w:t>
      </w:r>
      <w:r w:rsidRPr="00781112">
        <w:lastRenderedPageBreak/>
        <w:t>876bd7%7C0%7C0%7C637789786144944534%7CUnknown%7CTWFpbGZsb3d8eyJWIjoiMC4wLjAwMDAiLCJQIjoiV2luMzIiLCJBTiI6Ik1haWwiLCJXVCI6Mn0%3D%7C3000&amp;sdata=k2ffDU2P3eLEGeUCwu59H7HJsPDtgFIN6n0yJg02Ix4%3D&amp;reserved=0.</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2017</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63.20%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67.00%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67.00%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67.50%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68.00%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68.00%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68.50%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 xml:space="preserve">Students with IEPs (age 14-21) who exit high school with a regular diploma </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Students with IEPs (age 14-21)who exit high school by graduating with a regular diploma, dropping out, or receiving a certificate.</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4,119</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5,911</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73.37%</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67.00%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69.68%</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618 exiting data of the IDEA EDfacts file FS009 is used to calculate the annual event graduation rate. SY2020-21 assessment data groups EDfacts file specs FS175 and FS178 for ELA and Math. </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The data were collected from 618B SPP/APR data (FS009) and FS175 and FS178 for ELA and Math. It was analyzed during the current reporting period; the State used the Georgia Systems of Continuous Improvement framework to create a common problem-solving process that could be used across all districts and schools to identify improvement strategies and practices implemented to improve student outcomes. Georgia’s Systems of Continuous Improvement includes five steps: identify needs, select interventions, plan implementation, implement plan, examine progress. These strategies and practices identified through the problem-solving process were documented in the District Improvement Plans or District Plans of Support. Schools also used the framework to identify improvement strategies and practices that were included in School Improvement Plans. Implementation of the problem-solving process (initially the Student Success Process and now the Georgia Systems of Continuous Improvement) with fidelity at the district and school levels is critical to achieving the desired effects because the implementation of the process itself leads to the selection and implementation of specific evidence-based practices based on district/school needs and capacity to implement. Intensive professional learning and follow-up technical assistance was provided by the GaDOE to support districts and schools in utilizing this framework. The State provides as part of SSIP a School Completion Toolkit that guides districts through a deep analysis of data and provides evidence-based tools and resources to support data analysis and interventions. Other success measures are used to support the data such as the Georgia Milestones district and school level data, stakeholder engagement, district annual surveys, fidelity rubrics, LEA benchmarks, and coaching logs.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The State collects the following measures of success: District Team Implementation Fidelity Rubric with evidence, Evidence-based Practice Fidelity Rubric, Benchmark data on EBPs, District Annual Survey, State/Regional Technical Support Annual Survey, professional learning evaluation survey, District Plan of Support Short Term Action Plan progress data, state assessment data on academic proficiency, annual event graduation rates, district benchmark data and anecdotal data from continuous improvement team meetings.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 xml:space="preserve">Describe any data quality issues, unrelated to COVID-19, specific to the </w:t>
      </w:r>
      <w:proofErr w:type="spellStart"/>
      <w:r w:rsidRPr="00781112">
        <w:rPr>
          <w:rFonts w:cs="Arial"/>
          <w:b/>
          <w:bCs/>
        </w:rPr>
        <w:t>SiMR</w:t>
      </w:r>
      <w:proofErr w:type="spellEnd"/>
      <w:r w:rsidRPr="00781112">
        <w:rPr>
          <w:rFonts w:cs="Arial"/>
          <w:b/>
          <w:bCs/>
        </w:rPr>
        <w:t xml:space="preserve">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lastRenderedPageBreak/>
        <w:t>In prior reporting years, Georgia included students with disabilities who graduated with an alternate diploma in determining the annual event graduation rate, because of a waiver with ESSA. Based on a change in the waiver status and guidance from OSEP, the calculation was revised, and it no longer includes the alternate diploma as a general education diploma. This change will cause FFY20 to be baseline data. The State has provided technical assistance and communication to districts concerning the change.</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The data for this reporting period were impacted specifically by COVID-19, in data completeness and the ability to collect data for this indicator’s reporting, Covid-19 impacted data completeness for three of the key measures in the SSIP evaluation plan: Percentage of students with disabilities in districts selected to receive intensive supports scoring developing or above on the Georgia Milestones Assessment System, percentage of students with disabilities in target schools scoring developing or above on the Georgia Milestones Assessment System and percentage of selected districts decreasing the achievement gap between students with disabilities and the All-students group. The data source for each of the above measures was the Georgia Milestones Assessment System using data from EDFacts FS175 and FS178 spring 2021 administration. Georgia received a waiver from the Office of Elementary and Secondary Education related to the Every Student Succeeds Act (ESSA) which waived accountability, school identification, and related reporting requirements (see https://www.gadoe.org/Curriculum-Instruction-and-Assessment/Accountability/Documents/ESSA/ga%20acct%20waiver%20response.pdf). However, high stakes testing was not waived and resumed for all students, including students with disabilities, in the 2020-2021 school year. Students participating in virtual instruction were not required to report to a physical school facility for assessment participation if there were health concerns. As a result, the number of students participating in assessments was significantly lower than previous years for all students, including students with disabilities. The participation rates and results reported for student assessment are not viewed to be an accurate representation of the achievement of students with disabilities. Of all the Indicators in the SPP/APR, Assessment is by far the most adversely impacted by COVID-19. Georgia has historically had remarkable success in maintaining 95% participation in high stakes testing. The decreased participation rates for 2020-2021 are a direct result of COVID-19. The results of the assessment are also likely a significant underrepresentation of the capabilities of Georgia’s students with disabilities based upon the smaller group of students with disabilities assessed. Finally, Georgia’s results on the assessments are not dramatically different from those obtained for students without disabilities and reflect the overall impact of COVID. As Georgia has a large population with several densely populated urban areas, such an impact is not surprising. </w:t>
      </w:r>
      <w:r w:rsidRPr="00781112">
        <w:rPr>
          <w:color w:val="000000" w:themeColor="text1"/>
        </w:rPr>
        <w:br/>
      </w:r>
      <w:r w:rsidRPr="00781112">
        <w:rPr>
          <w:color w:val="000000" w:themeColor="text1"/>
        </w:rPr>
        <w:br/>
        <w:t xml:space="preserve">The State did work with districts to provide benchmark data on all EBPs that were implemented for the SSIP.  Data for all other key measures and the State’s SiMR were available and are reported in this APR (ANNUAL PERFORMANCE REPORT). The State did not identify any concerns regarding data validity and reliability for the current reporting period. To mitigate the impact of COVID-19 on data collection, the State SSIP Program Manager, SSIP Program Specialist and the collaborating partners of the Division for School and District Effectiveness worked with the 10 selected intensive SSIP/Targeted Support Improvement (TSI) districts to collect and analyze all available data related to the FFY20 SSIP activities and outcomes. The districts were selected based upon TSI status for not meeting the ESSA graduation and content mastery/closing the gap achievement targets for students with disabilities. Benchmark data were collected on all evidence-based interventions and implementation fidelity was measured using the GaDOE EBP Implementation Fidelity Rubric. Additional data are reported in subsequent sections of this report. </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nam02.safelinks.protection.outlook.com/ap/w-59584e83/?url=https%3A%2F%2Fshealy.sharepoint.com%2F%3Aw%3A%2Fs%2FSSIPTeam%2FEb_WbCUOx69HkrrlmUQat_UBE9d3-mGwp16QrCddZshrXg%3Fe%3DR80dTC&amp;data=05%7C01%7Cdkemp%40doe.k12.ga.us%7C581797cd9bcf4f375a2708da2219feb6%7C1aa55c8303434ecbbd39bd7f43876bd7%7C0%7C0%7C637859792284570756%7CUnknown%7CTWFpbGZsb3d8eyJWIjoiMC4wLjAwMDAiLCJQIjoiV2luMzIiLCJBTiI6Ik1haWwiLCJXVCI6Mn0%3D%7C3000%7C%7C%7C&amp;sdata=EEYiRPxUFq8kPXpj9jUdnHseRKFR75dmZNhPyCFLRe0%3D&amp;reserved=0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Georgia has revised targets for the SiMR and added targets to include 2023-2025 in the evaluation plan and noted student assessment data was not available for FFY2019. Georgia’s baseline remains FFY 2017 at 63.20% </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 xml:space="preserve">Georgia has added dates to include 2023-2025 in the evaluation plan and noted student assessment data was not available for FFY2019. Because the State has changed the formula for calculating Annual Event Graduation Rates, the annual targets were set to increase every two years rather than annually. This was based upon stakeholder input and survey. </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Georgia did not implement any new infrastructure improvement strategies. Due to the Covid-19 pandemic, the State decided to focus on previously identified strategies and to expand efforts that promoted virtual and on demand access to professional learning, print and digital resources, and technical assistance. As described in subsequent sections of this report, new on-demand and virtual professional learning modules were provided to districts based upon stakeholder engagement and district surveys. The State implemented three coherent improvement strategies to improve effective instruction, engaging school climate, and student outcomes in the ten SSIP/TSI districts. </w:t>
      </w:r>
      <w:r w:rsidRPr="00781112">
        <w:rPr>
          <w:color w:val="000000" w:themeColor="text1"/>
        </w:rPr>
        <w:br/>
      </w:r>
      <w:r w:rsidRPr="00781112">
        <w:rPr>
          <w:color w:val="000000" w:themeColor="text1"/>
        </w:rPr>
        <w:br/>
        <w:t xml:space="preserve">Coherent Strategy 1: Professional Learning    Georgia provided professional learning on the following topics: Selecting, Implementing and Monitoring EBPs with Fidelity, Implementing an Early Warning System with Fidelity, Check and Connect Mentor Training, IEP (Individualized Education Program), Specially Designed Instruction, Co-Teaching, School Completion Toolkit, Best Practices Webinar, MTSS PL Series, Transition and Assistive Technology, School-Based Administrator webpage and professional learning series/academy with mixed reality simulation, Teacher Retention Program and HLP training program.   9,948 participants from across the state attended the professional learning events. 745 (77%) district/school personnel attended the bimonthly SSIP webinars from March 2021- December 2021. Post evaluation data indicated 97% indicated the training was of high quality and useful to the Student Success SSIP work. 82% of attendees showed improvement in knowledge and skills on topics, exceeding the 74% target. 86% reported the State trainings were of high-quality;91% reported the trainings were useful, relevant, and improved educator practices; 81% reported the PL improved their skills related to improving instruction, school climate, and student outcomes.  </w:t>
      </w:r>
      <w:r w:rsidRPr="00781112">
        <w:rPr>
          <w:color w:val="000000" w:themeColor="text1"/>
        </w:rPr>
        <w:br/>
      </w:r>
      <w:r w:rsidRPr="00781112">
        <w:rPr>
          <w:color w:val="000000" w:themeColor="text1"/>
        </w:rPr>
        <w:br/>
      </w:r>
      <w:r w:rsidRPr="00781112">
        <w:rPr>
          <w:color w:val="000000" w:themeColor="text1"/>
        </w:rPr>
        <w:lastRenderedPageBreak/>
        <w:t xml:space="preserve">Coherent Strategy 2: Digital Tools and Resources Resource Guides: The School Completion Toolkit, websites for HLPs and Inclusive Leadership; guides for Distance Learning, Collaborative Planning, School Leadership Team, and Teacher Tools Newsletters and Family Engagement One Pagers were created. These resource guides, listed above, were developed, and disseminated to all districts in Georgia.  There were 3,672 page views of the School Completion Toolkit with Select Interventions being the most used section. 86% of selected districts reported the digital and print resources were useful, relevant, and improved knowledge and skills around graduation, student achievement and the SSIP work.  </w:t>
      </w:r>
      <w:r w:rsidRPr="00781112">
        <w:rPr>
          <w:color w:val="000000" w:themeColor="text1"/>
        </w:rPr>
        <w:br/>
      </w:r>
      <w:r w:rsidRPr="00781112">
        <w:rPr>
          <w:color w:val="000000" w:themeColor="text1"/>
        </w:rPr>
        <w:br/>
        <w:t xml:space="preserve">Coherent Strategy 3: Technical Assistance and Coaching:    412 collective support technical assistance and coaching meetings were held to support districts. 45% (187/412 sessions) of all technical assistance and coaching was completed with district effectiveness partners.The coaching focus and technical assistance was planned by both SSIP and school improvement program specialist working together.  In previous reporting, collaboration was 23%. According to the Annual District Survey, 91% of selected districts reported collective supports between the DSESS and SDE were highly effective and provided high-quality relevant supports and resources. 91% of selected districts reported that collaboration with DSESS (Division for Special Education Services and Supports) (Division of Special Education Services and Supports) and SDE should continue. 100% of stakeholders surveyed agree collaboration should continue. 88% of the special education directors reported it gave them an open door to work with other departments for Student Success and 86% of selected districts/schools reported the SSIP Program Specialists were effective and provided high-quality professional learning, technical assistance and coaching that changed practices for student success. 67% of selected districts/schools reported District Effectiveness Specialist were effective and provided high quality technical assistance and coaching that changed practices for student success. 100% of selected districts/schools and stakeholders agree the SSIP PL Series should continue and supports for building leaders should be developed. All stakeholders surveyed agree the focus of SSIP should remain on graduation but also provide professional learning for student achievement in literacy and mathematics. Other areas of need noted on the Annual District Survey and Stakeholder Engagement Feedback Survey were more training for building level leaders, how to engage students, assistance with recruiting and retaining special education teachers, teaching how to implement SDI (Specially Designed Instruction) and help with IEP implementation.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Georgia utilized its comprehensive SSIP Evaluation Plan to inform all evaluation activities and to frequently obtain data necessary for Georgia’s State MTSS (Multi-Tiered System of Supports) Implementation team to adjust implementation, including decisions regarding the continued implementation of improvement strategies. These strategies are research and evidence-based and have proven to build a sustainable system. Data sources included quantitative data (attendance and academic proficiency) collected by the GaDOE (Georgia Department of Education), data collection tools developed by OSEP-funded technical assistance centers, and customized tools including surveys, checklists, rubrics, and pre/post-tests. These tools support the systems framework to promote accountability/monitoring and provide relevant professional development and technical assistance. The measures are used to build capacity and sustainability. </w:t>
      </w:r>
      <w:r w:rsidRPr="00781112">
        <w:rPr>
          <w:color w:val="000000" w:themeColor="text1"/>
        </w:rPr>
        <w:br/>
        <w:t>For Coherent Improvement Strategy 1, pre/post-tests, participant surveys, Annual District Survey and attendance records were used to assess implementation progress and outcomes. Data was collected to promote accountability and monitoring and address professional learning.</w:t>
      </w:r>
      <w:r w:rsidRPr="00781112">
        <w:rPr>
          <w:color w:val="000000" w:themeColor="text1"/>
        </w:rPr>
        <w:br/>
        <w:t>For Coherent Improvement Strategy 2, District Annual Survey and the Resource Development Log were used. District surveys and stakeholder feedback indicated a need for more digital resources and tools for districts. 100% of resources were completed in a timely manner. The State will continue to develop high quality professional learning resources with a focus on virtual learning resources and resources to improve student achievement.</w:t>
      </w:r>
      <w:r w:rsidRPr="00781112">
        <w:rPr>
          <w:color w:val="000000" w:themeColor="text1"/>
        </w:rPr>
        <w:br/>
        <w:t>For Coherent Improvement Strategy 3, Resource development logs, District Annual Survey, PL event documents, District Plan of Supports, Regional TA (Technical Assistance) surveys, and coaching logs were used to assess implementation progress and outcomes.</w:t>
      </w:r>
      <w:r w:rsidRPr="00781112">
        <w:rPr>
          <w:color w:val="000000" w:themeColor="text1"/>
        </w:rPr>
        <w:br/>
        <w:t xml:space="preserve">Data supports the decision to continue each of the improvement strategies. District staff are pleased with professional learning, technical assistance, and resources, but have clearly expressed a need for continued support to build sustainability and continue to increase graduation rates and student achievement. </w:t>
      </w:r>
      <w:r w:rsidRPr="00781112">
        <w:rPr>
          <w:color w:val="000000" w:themeColor="text1"/>
        </w:rPr>
        <w:br/>
        <w:t xml:space="preserve">Short-Term Goals: </w:t>
      </w:r>
      <w:r w:rsidRPr="00781112">
        <w:rPr>
          <w:color w:val="000000" w:themeColor="text1"/>
        </w:rPr>
        <w:br/>
        <w:t>Improve practitioner (district and school) knowledge of data-based decision making and selection and use of evidence-based practices.</w:t>
      </w:r>
      <w:r w:rsidRPr="00781112">
        <w:rPr>
          <w:color w:val="000000" w:themeColor="text1"/>
        </w:rPr>
        <w:br/>
        <w:t xml:space="preserve">• 82% of post scores exceeded the 74% target. </w:t>
      </w:r>
      <w:r w:rsidRPr="00781112">
        <w:rPr>
          <w:color w:val="000000" w:themeColor="text1"/>
        </w:rPr>
        <w:br/>
        <w:t>• 82% of selected districts requested customized professional learning.</w:t>
      </w:r>
      <w:r w:rsidRPr="00781112">
        <w:rPr>
          <w:color w:val="000000" w:themeColor="text1"/>
        </w:rPr>
        <w:br/>
        <w:t>• 79% reported technical assistance and coaching was useful, relevant and of high quality.</w:t>
      </w:r>
      <w:r w:rsidRPr="00781112">
        <w:rPr>
          <w:color w:val="000000" w:themeColor="text1"/>
        </w:rPr>
        <w:br/>
        <w:t>• 91% of selected districts reported professional learning was of high-quality.</w:t>
      </w:r>
      <w:r w:rsidRPr="00781112">
        <w:rPr>
          <w:color w:val="000000" w:themeColor="text1"/>
        </w:rPr>
        <w:br/>
        <w:t xml:space="preserve">• 89% reported the trainings were relevant, useful, and changed educator practices. </w:t>
      </w:r>
      <w:r w:rsidRPr="00781112">
        <w:rPr>
          <w:color w:val="000000" w:themeColor="text1"/>
        </w:rPr>
        <w:br/>
        <w:t>• 89% reported the resources and tools were useful and relevant.</w:t>
      </w:r>
      <w:r w:rsidRPr="00781112">
        <w:rPr>
          <w:color w:val="000000" w:themeColor="text1"/>
        </w:rPr>
        <w:br/>
        <w:t>Improve district and school infrastructure to support educators in implementing evidence-based practices to support teaching and learning.</w:t>
      </w:r>
      <w:r w:rsidRPr="00781112">
        <w:rPr>
          <w:color w:val="000000" w:themeColor="text1"/>
        </w:rPr>
        <w:br/>
        <w:t>• 89.6% of selected districts reported high levels of collaboration among district and the State team members on district annual surveys and stakeholder meetings, exceeding the 78% target.</w:t>
      </w:r>
      <w:r w:rsidRPr="00781112">
        <w:rPr>
          <w:color w:val="000000" w:themeColor="text1"/>
        </w:rPr>
        <w:br/>
        <w:t>• 100% of selected District Plan of Supports included specific strategies for addressing improvement in graduation rates and achievement for SWD (Students with disabilities).</w:t>
      </w:r>
      <w:r w:rsidRPr="00781112">
        <w:rPr>
          <w:color w:val="000000" w:themeColor="text1"/>
        </w:rPr>
        <w:br/>
        <w:t>• 85% of selected districts scored “Operational” or “Exemplary” on the Student Success District Team Fidelity Rubric scoring higher than target of 71%.</w:t>
      </w:r>
      <w:r w:rsidRPr="00781112">
        <w:rPr>
          <w:color w:val="000000" w:themeColor="text1"/>
        </w:rPr>
        <w:br/>
        <w:t>Increase engagement of stakeholders in planning, implementing, and monitoring improvement initiatives.</w:t>
      </w:r>
      <w:r w:rsidRPr="00781112">
        <w:rPr>
          <w:color w:val="000000" w:themeColor="text1"/>
        </w:rPr>
        <w:br/>
        <w:t>• 96% of district personnel reported engagement with other departments and regional technical assistance providers at collaborative/transformative levels exceeding the 88% target.</w:t>
      </w:r>
      <w:r w:rsidRPr="00781112">
        <w:rPr>
          <w:color w:val="000000" w:themeColor="text1"/>
        </w:rPr>
        <w:br/>
        <w:t>• 100% of the 10 selected districts participated in the SPP/APR and SSIP stakeholder meetings.</w:t>
      </w:r>
      <w:r w:rsidRPr="00781112">
        <w:rPr>
          <w:color w:val="000000" w:themeColor="text1"/>
        </w:rPr>
        <w:br/>
        <w:t xml:space="preserve">Mid-Term Goals: </w:t>
      </w:r>
      <w:r w:rsidRPr="00781112">
        <w:rPr>
          <w:color w:val="000000" w:themeColor="text1"/>
        </w:rPr>
        <w:br/>
        <w:t>Improve fidelity of implementation of evidence-based practices to support teaching and learning for all students.</w:t>
      </w:r>
      <w:r w:rsidRPr="00781112">
        <w:rPr>
          <w:color w:val="000000" w:themeColor="text1"/>
        </w:rPr>
        <w:br/>
        <w:t>• 100% of the selected districts chose moderate/strong level of evidence EBPs to implement. This met the target goal.</w:t>
      </w:r>
      <w:r w:rsidRPr="00781112">
        <w:rPr>
          <w:color w:val="000000" w:themeColor="text1"/>
        </w:rPr>
        <w:br/>
        <w:t xml:space="preserve">• 89.6% of selected schools (25/28) were implementing EBPs at the full implementation level based upon District Plan of Supports Short Term Action Plans, Coaching Logs, monthly district meeting minutes, and benchmark data provided by the district exceeding the target of 67%. </w:t>
      </w:r>
      <w:r w:rsidRPr="00781112">
        <w:rPr>
          <w:color w:val="000000" w:themeColor="text1"/>
        </w:rPr>
        <w:br/>
        <w:t>• 47% were implementing EBPs with fidelity as measured by the GaDOE Implementation Fidelity Checklist for Evidence-Based Practices.10/28 districts decided to change their EBPs in October 2021, so their fidelity of implementation was lower. The State did not meet the 50% target goal.</w:t>
      </w:r>
      <w:r w:rsidRPr="00781112">
        <w:rPr>
          <w:color w:val="000000" w:themeColor="text1"/>
        </w:rPr>
        <w:br/>
        <w:t xml:space="preserve">Improve school climate including student attendance, engagement, and behavior to 45% School Climate rating. </w:t>
      </w:r>
      <w:r w:rsidRPr="00781112">
        <w:rPr>
          <w:color w:val="000000" w:themeColor="text1"/>
        </w:rPr>
        <w:br/>
        <w:t>• 50% of selected schools scored a 4 or 5 on the STAR Climate Rating from 2019-2020. School Climate was not collected for FFY20 reporting</w:t>
      </w:r>
      <w:r w:rsidRPr="00781112">
        <w:rPr>
          <w:color w:val="000000" w:themeColor="text1"/>
        </w:rPr>
        <w:br/>
        <w:t xml:space="preserve">Improve academic proficiency of students with disabilities in selected districts and schools scoring developing or above on state assessments. </w:t>
      </w:r>
      <w:r w:rsidRPr="00781112">
        <w:rPr>
          <w:color w:val="000000" w:themeColor="text1"/>
        </w:rPr>
        <w:br/>
        <w:t xml:space="preserve">• State Assessment data: Georgia received a waiver from the Office of Elementary and Secondary Education related to the Every Student Succeeds Act (ESSA) which waived accountability, school identification, and related reporting requirements (see https://www.gadoe.org/Curriculum-Instruction-and-Assessment/Accountability/Documents/ESSA/ga%20acct%20waiver%20response.pdf). However, high stakes testing was not waived and resumed for all students, including students with disabilities, in the 2020-2021 school year. Students participating in virtual instruction were not required to report to a physical school facility for assessment participation if there were health concerns. The number of students participating in assessments was significantly </w:t>
      </w:r>
      <w:r w:rsidRPr="00781112">
        <w:rPr>
          <w:color w:val="000000" w:themeColor="text1"/>
        </w:rPr>
        <w:lastRenderedPageBreak/>
        <w:t xml:space="preserve">lower than previous years for all students. The participation rates and results reported for student assessment are not viewed to be an accurate representation of the achievement of students with disabilities. Decreased assessment participation rates for 2020-2021 are a direct result of COVID-19. Assessment results are likely a significant underrepresentation of the capabilities of Georgia’s students with disabilities. Finally, Georgia’s results on the assessments are not dramatically different from those obtained for students without disabilities and reflect the overall impact of COVID. </w:t>
      </w:r>
      <w:r w:rsidRPr="00781112">
        <w:rPr>
          <w:color w:val="000000" w:themeColor="text1"/>
        </w:rPr>
        <w:br/>
        <w:t xml:space="preserve">•Percentage of students with disabilities in districts selected to receive intensive supports scoring developing or above on the Georgia Milestones Assessment System for 2020-2021 was 5.33% for both ELA/ Math with 634 SWD out of 4,294 total students participating in state assessments from the 10 selected TSI/SSIP Districts/schools. The percentage of non-SWD students scoring developing or above on the Georgia Milestones Assessment was 11.01% for both ELA/Math. </w:t>
      </w:r>
      <w:r w:rsidRPr="00781112">
        <w:rPr>
          <w:color w:val="000000" w:themeColor="text1"/>
        </w:rPr>
        <w:br/>
        <w:t xml:space="preserve">•Percentage of students with disabilities in districts selected to receive intensive supports scoring proficient or higher on Georgia End of Course for 9th grade Literature and Coordinate Algebra for 2020-2021 was 6.34% (191 students) as compared to non-SWD with 5.90% (1,465 non-SWD students). Six of the selected TSI/SSIP schools scored higher on proficiency for SWD than all student groups for those schools. (Hollis-APS, Central HS-Bibb, Drew, and Morrow HS- Clayton, Clements MS, and South Salem Elem.-Newton). </w:t>
      </w:r>
      <w:r w:rsidRPr="00781112">
        <w:rPr>
          <w:color w:val="000000" w:themeColor="text1"/>
        </w:rPr>
        <w:br/>
        <w:t xml:space="preserve">•Improve academic proficiency of students with disabilities in selected districts and schools by closing the gap between students with disabilities and the all students' group. </w:t>
      </w:r>
      <w:r w:rsidRPr="00781112">
        <w:rPr>
          <w:color w:val="000000" w:themeColor="text1"/>
        </w:rPr>
        <w:br/>
        <w:t>• As indicated above, Georgia’s assessment results were not representative of prior results.</w:t>
      </w:r>
      <w:r w:rsidRPr="00781112">
        <w:rPr>
          <w:color w:val="000000" w:themeColor="text1"/>
        </w:rPr>
        <w:br/>
        <w:t>• State assessment data provided on closing the gap between students with disabilities (SWD) and all students group was 5.68% gap difference. (All students group 11.01% proficiency rate/ SWD 5.33% proficiency rate = 5.68% difference). The results are a significant underrepresentation of the capabilities of Georgia’s students with and without disabilities.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Based on data analysis, survey and stakeholder engagement, the State is building a statewide Early Warning System Dashboard for all districts to identify at-risk students who need interventions. The State will expand its SSIP PL series for teachers and administrators. A School-Based Administrator Academy is planned with monthly podcasts and Mixed Reality Simulations.  The State is contracting with Dr. Tessie Rose Bailey and Americans Institute of Research (AIR) to provide ongoing training and resources for Specially Designed Instruction to support Student Success (SSIP). The State will continue to offer multi-sensory reading grants to identified districts with targeted support improvement and SSIP status.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Georgia did not prescribe specific evidence-based practices (EBPs) for selected districts and schools. Guidance and training on selecting EBPs was provided to all districts and tailored presentations presented to the 10 selected districts and schools. The EBPs the districts and schools chose were reviewed to ensure they met ESSA (Every Student Succeeds Act) and GA DOE level of evidence requirements. For this reporting period the following evidence-based practices were implemented: Check and Connect, Early Warning System, System 44, Achieve 3000, Lexia Core 5, SRA, Learning A-Z, Orton-Gillingham, Classworks and Townsend Press.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4/28 schools (108 students) implemented Check and Connect a mentoring framework. </w:t>
      </w:r>
      <w:r w:rsidRPr="00781112">
        <w:rPr>
          <w:color w:val="000000" w:themeColor="text1"/>
        </w:rPr>
        <w:br/>
        <w:t>6/28 schools (166 students) implemented an Early Warning System, an at-risk indicator and intervention framework.</w:t>
      </w:r>
      <w:r w:rsidRPr="00781112">
        <w:rPr>
          <w:color w:val="000000" w:themeColor="text1"/>
        </w:rPr>
        <w:br/>
        <w:t>18/28 schools (795 students) implemented a strong-promising level of evidence reading intervention. The interventions ranged from Achieve 3000, Lexia Core 5, Learning A-Z, SRA, Orton-Gillingham, Classworks, and Townsend Press.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 xml:space="preserve">Each EBP (Evidence Based Practices) supports the SiMR by providing strategies that address each school’s root cause analysis needs found in their district data analysis. Each addresses the unique needs of each school. Check and Connect and An Early Warning System both address the emotional and academic achievement needs of students, change teacher practice, and build family engagement to support the SiMR. Each of the 7 reading interventions were chosen based upon data analysis and review to meet the achievement needs of the targeted students and to support change in teacher practices. The district level of interaction has moved from informing to collaborating and transforming.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89.6% of selected schools (25/28) were implementing EBPs at the full implementation level based upon District Plan of Supports Short Term Action Plans, Coaching Logs, monthly district meeting minutes, and benchmark data provided by the district. Only 47% were implementing EBPs with fidelity as measured by the GaDOE Implementation Fidelity Checklist for Evidence-Based Practices.10/28 schools decided to change their EBPs in October 2021, so their fidelity of implementation was lower. The State as part of the collective support provided by school and improvement and the Division for special education supports and services collects the following measures of success: District Team Implementation Fidelity Rubric with evidence, to support building capacity and sustainability in the district., Evidence-based Practice Fidelity Rubric is used to measure the implementation fidelity of EBPs., Benchmark data on EBPs, District Annual Survey, to measure the level of satisfaction the districts are with supports from the State to improve outcomes., State/Regional Technical Support Annual Survey, measures the rate of satisfaction around regional technical assistance and coaching, professional learning evaluation survey, measures the satisfaction level of participants with professional learning they receive, District Plan of Support Short Term Action Plan progress data measures how the districts are implementing their plan and meeting their expected outcomes, state assessment data on academic proficiency, annual event graduation rates, district benchmark data and anecdotal data from continuous improvement team meetings, measure increased student achievement and graduation rates.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Check and Connect, a mentoring framework, implemented in four schools, showed from quarterly reports that there was a 41% improvement in attendance, 35% improvement in behavior and 67% increase in course completion. One school did not use Check and Connect to measure course completion. The average graduation rate was 66.1%in these schools.</w:t>
      </w:r>
      <w:r w:rsidRPr="00781112">
        <w:rPr>
          <w:color w:val="000000" w:themeColor="text1"/>
        </w:rPr>
        <w:br/>
        <w:t xml:space="preserve">Early Warning System benchmark data from six schools showed an average increase of 34% course completion rate and 59% increase in attendance. </w:t>
      </w:r>
      <w:r w:rsidRPr="00781112">
        <w:rPr>
          <w:color w:val="000000" w:themeColor="text1"/>
        </w:rPr>
        <w:lastRenderedPageBreak/>
        <w:t xml:space="preserve">The rate of implementation fidelity dropped from 79% to 49%. The ongoing changes in staff and the pandemic reduced the rate of implementation fidelity. The Annual Event Graduation Rate was 64.88% in these schools. Because previous SSIP reporting showed great improvement in the schools implementing an Early Warning System, the SSIP supports the decision to continue the ongoing use of this intervention, The SSIP will provide monthly targeted technical assistance and support to ensure fidelity measures improve.  The school improvement team has also taken own more ownership and agree to be more intentional with implementation despite ongoing challenges. They have each assigned a point person to monitor implementation. </w:t>
      </w:r>
      <w:r w:rsidRPr="00781112">
        <w:rPr>
          <w:color w:val="000000" w:themeColor="text1"/>
        </w:rPr>
        <w:br/>
      </w:r>
      <w:r w:rsidRPr="00781112">
        <w:rPr>
          <w:color w:val="000000" w:themeColor="text1"/>
        </w:rPr>
        <w:br/>
        <w:t xml:space="preserve">Classworks is an online tiered intervention solution that combines assessment, instruction, progress monitoring, and powerful reporting in one easy-to-use platform.Classwork benchmarks indicated all students are at the Beginning and Developing Level. The schools implementation began October 2021 so there is not any progress monitoring data. </w:t>
      </w:r>
      <w:r w:rsidRPr="00781112">
        <w:rPr>
          <w:color w:val="000000" w:themeColor="text1"/>
        </w:rPr>
        <w:br/>
      </w:r>
      <w:r w:rsidRPr="00781112">
        <w:rPr>
          <w:color w:val="000000" w:themeColor="text1"/>
        </w:rPr>
        <w:br/>
        <w:t>System 44/Read 180 data for 86 students showed 51% at or above benchmark/performance expectations for decoding fluency and 62% at or above benchmark/performance expectations for comprehension for September 2021-December 2021. SSIP supports this intervention and its progress.</w:t>
      </w:r>
      <w:r w:rsidRPr="00781112">
        <w:rPr>
          <w:color w:val="000000" w:themeColor="text1"/>
        </w:rPr>
        <w:br/>
      </w:r>
      <w:r w:rsidRPr="00781112">
        <w:rPr>
          <w:color w:val="000000" w:themeColor="text1"/>
        </w:rPr>
        <w:br/>
        <w:t>Lexia Core 5 implemented with 11 students reported a gain of .3 months from October 2021 to December 2021 which is below the expected benchmark goal of .6 months gain. Several of the students had breaks in school and changes in teachers. The implementation fidelity rate was 34% out of 100%.</w:t>
      </w:r>
      <w:r w:rsidRPr="00781112">
        <w:rPr>
          <w:color w:val="000000" w:themeColor="text1"/>
        </w:rPr>
        <w:br/>
        <w:t xml:space="preserve">The school implementing Lexia Core 5 believes with a more focused approach to implementation the next benchmark data will show improvement. The school has assigned a point person to monitor implementation and report on progress at monthly improvement team meetings. </w:t>
      </w:r>
      <w:r w:rsidRPr="00781112">
        <w:rPr>
          <w:color w:val="000000" w:themeColor="text1"/>
        </w:rPr>
        <w:br/>
      </w:r>
      <w:r w:rsidRPr="00781112">
        <w:rPr>
          <w:color w:val="000000" w:themeColor="text1"/>
        </w:rPr>
        <w:br/>
        <w:t xml:space="preserve">Achieve 3000 benchmark data indicated that students were engaged an average of 47 minutes per week vs the prescribed amount of 90 minutes per week. The average Lexile score increase was 78L and was below the expected benchmark target of 112L gain from September 2021-December 2021. </w:t>
      </w:r>
      <w:r w:rsidRPr="00781112">
        <w:rPr>
          <w:color w:val="000000" w:themeColor="text1"/>
        </w:rPr>
        <w:br/>
        <w:t xml:space="preserve">The SSIP has encouraged a more focused monitoring on the implementation of this EBP. The district understands that it is important to implement the intervention with fidelity if they want to see the expected results.  The SSIP will meet monthly with the point person assigned to monitor implementation to see if improvements are noted.  If implemented with fidelity this intervention should show improved achievement. </w:t>
      </w:r>
      <w:r w:rsidRPr="00781112">
        <w:rPr>
          <w:color w:val="000000" w:themeColor="text1"/>
        </w:rPr>
        <w:br/>
      </w:r>
      <w:r w:rsidRPr="00781112">
        <w:rPr>
          <w:color w:val="000000" w:themeColor="text1"/>
        </w:rPr>
        <w:br/>
      </w:r>
      <w:r w:rsidRPr="00781112">
        <w:rPr>
          <w:color w:val="000000" w:themeColor="text1"/>
        </w:rPr>
        <w:br/>
        <w:t xml:space="preserve">Learning A-Z, a leveled reading instruction intervention for K-5 students was  implemented with 142 students, progress monitoring data that showed 67% continue to read at the beginning level which is below the expected benchmark goal of 40%. Data showed an increase of 1.5% of students reading on or above grade level. The selected school has had a teacher shortage and changes in staff. Implementation Fidelity measures the program as only being implemented with 56% fidelity. The SSIP agrees to continue the support of this intervention with the following guidance recommended: Assign a point person to monitor fidelity of implementation weekly, progress monitor as prescribed by the program and ensure all teachers have been trained in implementing the intervention. </w:t>
      </w:r>
      <w:r w:rsidRPr="00781112">
        <w:rPr>
          <w:color w:val="000000" w:themeColor="text1"/>
        </w:rPr>
        <w:br/>
      </w:r>
      <w:r w:rsidRPr="00781112">
        <w:rPr>
          <w:color w:val="000000" w:themeColor="text1"/>
        </w:rPr>
        <w:br/>
        <w:t xml:space="preserve">SRA reading, direct reading instruction for decoding,  with 133 students began in December. The schools implementing, as of January 2022, were completing Winter 2021 data assessments. IReady Benchmark, completed Fall 2021, indicated 62% of the selected students were reading 2 or more grades below the expected goal. 38% were reading 1 grade below expected goal. The SSIP will continue to monitor this implementation and ask for progress data at each monthly improvement team meeting. </w:t>
      </w:r>
      <w:r w:rsidRPr="00781112">
        <w:rPr>
          <w:color w:val="000000" w:themeColor="text1"/>
        </w:rPr>
        <w:br/>
      </w:r>
      <w:r w:rsidRPr="00781112">
        <w:rPr>
          <w:color w:val="000000" w:themeColor="text1"/>
        </w:rPr>
        <w:br/>
        <w:t xml:space="preserve">Townsend Press, an online reading intervention for grades 6-12 was  implemented at 2 high schools with 200 students. NWEA MAP Assessments were completed as baseline data. One school scored 46%ile in ELA and 40% ile in Math. The other scored 35%ile in ELA and 29%ile in Math. Both schools scored below the expected benchmark goals of 56%ile in ELA and 58%ile in Math. Annual Event Graduation Rate is 76% which did exceed the 67% or higher benchmark in both schools.  Implementation did not begin until November 2021, the SSIP will continue to support this EBP and monitor implementation fidelity to see if proves to provide increased student achievement. </w:t>
      </w:r>
      <w:r w:rsidRPr="00781112">
        <w:rPr>
          <w:color w:val="000000" w:themeColor="text1"/>
        </w:rPr>
        <w:br/>
      </w:r>
      <w:r w:rsidRPr="00781112">
        <w:rPr>
          <w:color w:val="000000" w:themeColor="text1"/>
        </w:rPr>
        <w:br/>
        <w:t>Orton-Gillingham Reading, a multi-sensory reading intervention was implemented with 18 students showed a growth of 5.2% in oral reading words per minute on a given probe from May 2021- December 2021. The expected target was a 4% gain. The MAP benchmark scores showed an average range from 106-156 in Fall 2020 vs Spring 2021 average range 137-198.</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The State will continue to monitor the implementation fidelity and progress of each evidence-based practice and collect on-going quarterly benchmark data. Review of progress will continue to be discussed at the monthly district meeting. SSIP Program Specialists will ask districts to produce progress monitoring data and discuss as well as the level of implementation fidelity. Schools have assigned point person to monitor the implementation fidelity of each intervention.  Districts have been encouraged to implement the interventions with fidelity and give them time to show progress before deciding to change them. The SSIP will also help ensure staff are trained and provided the necessary supports for implementation. With these strategies in place, the benchmark and rate of implementation fidelity is expected to be greater in the next reporting period.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color w:val="000000" w:themeColor="text1"/>
        </w:rPr>
        <w:br/>
        <w:t>• Parents of children with disabilities, ages birth through age 22</w:t>
      </w:r>
      <w:r w:rsidRPr="00781112">
        <w:rPr>
          <w:color w:val="000000" w:themeColor="text1"/>
        </w:rPr>
        <w:br/>
        <w:t>• Parent advocates</w:t>
      </w:r>
      <w:r w:rsidRPr="00781112">
        <w:rPr>
          <w:color w:val="000000" w:themeColor="text1"/>
        </w:rPr>
        <w:br/>
        <w:t>• Individuals with disabilities</w:t>
      </w:r>
      <w:r w:rsidRPr="00781112">
        <w:rPr>
          <w:color w:val="000000" w:themeColor="text1"/>
        </w:rPr>
        <w:br/>
        <w:t>• Local LEA educational administrators</w:t>
      </w:r>
      <w:r w:rsidRPr="00781112">
        <w:rPr>
          <w:color w:val="000000" w:themeColor="text1"/>
        </w:rPr>
        <w:br/>
        <w:t>• General and special education teachers</w:t>
      </w:r>
      <w:r w:rsidRPr="00781112">
        <w:rPr>
          <w:color w:val="000000" w:themeColor="text1"/>
        </w:rPr>
        <w:br/>
        <w:t>• Local LEA Special Education Directors</w:t>
      </w:r>
      <w:r w:rsidRPr="00781112">
        <w:rPr>
          <w:color w:val="000000" w:themeColor="text1"/>
        </w:rPr>
        <w:br/>
      </w:r>
      <w:r w:rsidRPr="00781112">
        <w:rPr>
          <w:color w:val="000000" w:themeColor="text1"/>
        </w:rPr>
        <w:lastRenderedPageBreak/>
        <w:t>• GaDOE officials who carry out activities under subtitle B of Title VII of the McKinney-Vento Homeless Assistance Act</w:t>
      </w:r>
      <w:r w:rsidRPr="00781112">
        <w:rPr>
          <w:color w:val="000000" w:themeColor="text1"/>
        </w:rPr>
        <w:br/>
      </w:r>
      <w:r w:rsidRPr="00781112">
        <w:rPr>
          <w:color w:val="000000" w:themeColor="text1"/>
        </w:rPr>
        <w:br/>
        <w:t>The SAP includes representatives from:</w:t>
      </w:r>
      <w:r w:rsidRPr="00781112">
        <w:rPr>
          <w:color w:val="000000" w:themeColor="text1"/>
        </w:rPr>
        <w:br/>
        <w:t>• The Department of Corrections</w:t>
      </w:r>
      <w:r w:rsidRPr="00781112">
        <w:rPr>
          <w:color w:val="000000" w:themeColor="text1"/>
        </w:rPr>
        <w:br/>
        <w:t>• Colleges/universities that prepare special education and related services personnel</w:t>
      </w:r>
      <w:r w:rsidRPr="00781112">
        <w:rPr>
          <w:color w:val="000000" w:themeColor="text1"/>
        </w:rPr>
        <w:br/>
        <w:t>• Part C, Babies Can’t Wait</w:t>
      </w:r>
      <w:r w:rsidRPr="00781112">
        <w:rPr>
          <w:color w:val="000000" w:themeColor="text1"/>
        </w:rPr>
        <w:br/>
        <w:t>• Private schools or Charter schools</w:t>
      </w:r>
      <w:r w:rsidRPr="00781112">
        <w:rPr>
          <w:color w:val="000000" w:themeColor="text1"/>
        </w:rPr>
        <w:br/>
        <w:t>• The Department of Juvenile Justice</w:t>
      </w:r>
      <w:r w:rsidRPr="00781112">
        <w:rPr>
          <w:color w:val="000000" w:themeColor="text1"/>
        </w:rPr>
        <w:br/>
        <w:t>• Georgia Vocational Rehabilitation Agency (vocation/transition)</w:t>
      </w:r>
      <w:r w:rsidRPr="00781112">
        <w:rPr>
          <w:color w:val="000000" w:themeColor="text1"/>
        </w:rPr>
        <w:br/>
        <w:t>• The Division of Family and Children Services</w:t>
      </w:r>
      <w:r w:rsidRPr="00781112">
        <w:rPr>
          <w:color w:val="000000" w:themeColor="text1"/>
        </w:rPr>
        <w:br/>
        <w:t>• Georgia Network for Educational and Therapeutic Support</w:t>
      </w:r>
      <w:r w:rsidRPr="00781112">
        <w:rPr>
          <w:color w:val="000000" w:themeColor="text1"/>
        </w:rPr>
        <w:br/>
        <w:t>• Parent Training and Information Center</w:t>
      </w:r>
      <w:r w:rsidRPr="00781112">
        <w:rPr>
          <w:color w:val="000000" w:themeColor="text1"/>
        </w:rPr>
        <w:br/>
        <w:t>• Georgia Council of Administrators of Special Education</w:t>
      </w:r>
      <w:r w:rsidRPr="00781112">
        <w:rPr>
          <w:color w:val="000000" w:themeColor="text1"/>
        </w:rPr>
        <w:br/>
        <w:t>• Georgia School Superintendents Association</w:t>
      </w:r>
      <w:r w:rsidRPr="00781112">
        <w:rPr>
          <w:color w:val="000000" w:themeColor="text1"/>
        </w:rPr>
        <w:br/>
      </w:r>
      <w:r w:rsidRPr="00781112">
        <w:rPr>
          <w:color w:val="000000" w:themeColor="text1"/>
        </w:rPr>
        <w:br/>
        <w:t xml:space="preserve">SAP stakeholders were given the opportunity to provide feedback on the State's performance on the SPP/APR Indicators and the development of targets for the 2020-2025 package on May 6, 2021, September 2, 2021, October 29, 2021, December 3, 2021, and January 13, 2022. Beginning on May 6, 2021, the SAP was provided with a comprehensive overview presentation of the new SPP/APR 2020-2025 package and Indicators through a cohesive Indicators Cluster Group Framework developed by the Georgia Part B Data Managers. In the framework, SPP/APR Indicators were grouped together based upon similar objectives and intended outcomes for students. For example, Group A: High School and Life Outcomes Group included Indicators 1 (Graduation), 2 (Dropout), 13 (Secondary Transition), and 14 (Post School Outcomes). The presentation informed the SAP of the differences, if applicable, in measurement for Indicators in the new SPP/APR package. SAP viewed projected and historical data for the Indicators of the SPP/APR FFY 2020. If a new calculation and/or data group was used for an Indicator, such as Indicator 1 (Graduation), historical data was converted to allow for a comparable analysis of current and historical data. SAP was also provided with resources and links to access the information and the opportunity to ask questions. At the conclusion of the meeting, SAP members were provided with an opportunity to join a specific work group (shown below) for SPP/APR development. </w:t>
      </w:r>
      <w:r w:rsidRPr="00781112">
        <w:rPr>
          <w:color w:val="000000" w:themeColor="text1"/>
        </w:rPr>
        <w:br/>
        <w:t xml:space="preserve">The Indicators of the SPP/APR were divided into the following groups to enable focused work and greater opportunity for stakeholder feedback: </w:t>
      </w:r>
      <w:r w:rsidRPr="00781112">
        <w:rPr>
          <w:color w:val="000000" w:themeColor="text1"/>
        </w:rPr>
        <w:br/>
        <w:t>• Group A: High School and Life Outcomes (Indicators 1, 2, 13, 14 and 17)</w:t>
      </w:r>
      <w:r w:rsidRPr="00781112">
        <w:rPr>
          <w:color w:val="000000" w:themeColor="text1"/>
        </w:rPr>
        <w:br/>
        <w:t>• Group B: Disproportionality (Indicators 4, 9, and 10)</w:t>
      </w:r>
      <w:r w:rsidRPr="00781112">
        <w:rPr>
          <w:color w:val="000000" w:themeColor="text1"/>
        </w:rPr>
        <w:br/>
        <w:t>• Group C: Environments and Timelines (Indicators 5, 6, 11, and 12)</w:t>
      </w:r>
      <w:r w:rsidRPr="00781112">
        <w:rPr>
          <w:color w:val="000000" w:themeColor="text1"/>
        </w:rPr>
        <w:br/>
        <w:t xml:space="preserve">• Group D: Preschool, Parent Involvement, and Legal (Indicators 7, 8,15, and 16) </w:t>
      </w:r>
      <w:r w:rsidRPr="00781112">
        <w:rPr>
          <w:color w:val="000000" w:themeColor="text1"/>
        </w:rPr>
        <w:br/>
        <w:t xml:space="preserve">• Group E: Assessment (Indicator 3). </w:t>
      </w:r>
      <w:r w:rsidRPr="00781112">
        <w:rPr>
          <w:color w:val="000000" w:themeColor="text1"/>
        </w:rPr>
        <w:br/>
        <w:t>On September 2, 2021, all SAP members worked in one of the five groups based upon self-selection. There was parent representation in each group. The small group sessions were facilitated by DSESS staff using a standardized format. Each facilitator was provided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group provided specific documented feedback on possible targets and lingering questions based on an analysis of the data. Follow-up sessions were conducted October 29, 2021, December 3, 2021, and January 13, 2022.</w:t>
      </w:r>
      <w:r w:rsidRPr="00781112">
        <w:rPr>
          <w:color w:val="000000" w:themeColor="text1"/>
        </w:rPr>
        <w:br/>
      </w:r>
      <w:r w:rsidRPr="00781112">
        <w:rPr>
          <w:color w:val="000000" w:themeColor="text1"/>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9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4, 2021 and ended November 1, 2021. Registration records for these opportunities indicated that 1,473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color w:val="000000" w:themeColor="text1"/>
        </w:rPr>
        <w:br/>
      </w:r>
      <w:r w:rsidRPr="00781112">
        <w:rPr>
          <w:color w:val="000000" w:themeColor="text1"/>
        </w:rPr>
        <w:br/>
        <w:t xml:space="preserve">Following the completion of the November 1, 2021 LEA SPP/APR stakeholder session, feedback from all meetings, email, and questions was formatted into an online survey titled SPP/APR State Performance Plan Feedback Survey 2020-2025 posted at https://www.gadoe.org/Curriculum-Instruction-and-Assessment/Special-Education-Services/Pages/State-Performance-Plan-(SPP),-Annual-Performance-Reports-(APR)-and-Annual-Determinations.aspx.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The SPP/APR Survey was publicly posted to allow for even broader participation. Following the collection of the survey, the results were used to set targets which were publicly posted for comment at the website above on December 7, 2021, except for Indicator 3. Indicator 3 assessment results and targets were made available following the January 13, 2022 SAP meeting. Assessment results were not broadly available in Georgia until after December 15, 2021, and the January SAP meeting was the first opportunity to receive stakeholder feedback on the Indicator 3 (Assessment) baselines and targets. </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The SSIP stakeholders participated in the "“All” stakeholder group activities listed above in the Introduction Description and the State Advisory Panel meetings on 8-6-21,9-2-21 and 12-3-21. The State Advisory Panel, made of a diverse group of professionals and parents, is the primary stakeholder group. They provide ongoing input on the progress and focus of the SSIP and SPP/APR work. The State values the input of stakeholders and their involvement in decision-making. Under the leadership of the State Director of Special Education, the State Implementation Team will continue to identify ways in which to increase meaningful stakeholder engagement. The Georgia Parent Mentor Partnership, the GLRS, MTSS and other stakeholders have also attended the stakeholder meetings. During FFY20, all stakeholder meetings were conducted virtually. SSIP specific stakeholder meetings were held on the following dates and times. 10/29/2021, 9:00 a.m.-10:00 a.m.; 11/1/2021 2:00p.m.-3:00p.m. and 4:00p.m.-5:00p.m.; 11/3/2021 10:00a.m.-11:00a.m., 2:00 p.m.-3:00p.m.; 6:00p.m.-7:00p.m. </w:t>
      </w:r>
      <w:r w:rsidRPr="00781112">
        <w:rPr>
          <w:rFonts w:cs="Arial"/>
          <w:b w:val="0"/>
          <w:color w:val="000000" w:themeColor="text1"/>
          <w:szCs w:val="16"/>
        </w:rPr>
        <w:br/>
      </w:r>
      <w:r w:rsidRPr="00781112">
        <w:rPr>
          <w:rFonts w:cs="Arial"/>
          <w:b w:val="0"/>
          <w:color w:val="000000" w:themeColor="text1"/>
          <w:szCs w:val="16"/>
        </w:rPr>
        <w:br/>
        <w:t xml:space="preserve">Stakeholders were involved in decision-making responsibilities related to the ongoing implementation and evaluation of the SSIP. 78 Stakeholders were given multiple ways to respond and communicate. Several virtual tools were used to gather input such as chat box, breakout rooms, small group discussions, surveys, Padlet, and virtual whiteboards. Each of the stakeholder groups had two opportunities to provide feedback.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For FFY 20 all stakeholder engagement was conducted virtually using TEAMS. Stakeholders were invited via email, through SSIP/SDE points of contacts, Georgia’s Parent Mentor Partnership, GLRS (GEORGIA LEARNING RESOURCES SYSTEM) and individual phone calls. Stakeholders were given multiple opportunities and ways to respond and provide feedback. Several virtual tools were used to gather input such as chat boxes, small group </w:t>
      </w:r>
      <w:r w:rsidRPr="00781112">
        <w:rPr>
          <w:color w:val="000000" w:themeColor="text1"/>
        </w:rPr>
        <w:lastRenderedPageBreak/>
        <w:t xml:space="preserve">breakout discussions, surveys, Mentimeter, Easy Retro, and virtual whiteboards. Each of the stakeholder groups had opportunities to provide suggestions regarding changes in improvement strategies and activities. In addition, stakeholders were invited to address concerns they had about the implementation activities or to make recommendations for improvement between meetings through phone and email communication. </w:t>
      </w:r>
      <w:r w:rsidRPr="00781112">
        <w:rPr>
          <w:color w:val="000000" w:themeColor="text1"/>
        </w:rPr>
        <w:br/>
        <w:t xml:space="preserve">The SSIP has a webpage which posts SSIP guides, resources and tools to support the implementation of the SSIP. It publishes previous reports, ongoing professional learning opportunities, fidelity measures, logic model and evaluation plans. These resources and tools provide access to any stakeholder if they want to learn more about the SSIP work.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Continued concerns about student attendance, school-based administrators being novice to special education, and special education teacher retention continue to be concerns from stakeholders The ongoing and ever-changing stressors of the pandemic are priority concerns.  Many districts are also experiencing supply chain shortages for materials needed to implement evidence-based practices. The State is addressing prioritizing and addressing these issues. As stated above the state has implemented the teacher retention project to support the retention and training of new special education teachers. The SSIP is providing a School-Based Administrator Academy with mixed reality simulations to support novice administrators. The State stresses we are here to support schools and districts during these challenging times.  Several professional learning resources have been created to support increasing engagement and attendance. The State reports on progress of addressing the issues to stakeholders on a regular basis.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The State has no other activities to describe.</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The State has not identified any new barriers.  Georgia continues to seek solutions to everyday challenges and provide support to districts.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Wina Low</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State Director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wlow@doe.k12.ga.us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470.316.8636</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04/25/22  1:38:40 PM</w:t>
      </w:r>
    </w:p>
    <w:p w14:paraId="596B3C30" w14:textId="0A4D60C1" w:rsidR="00755AF7" w:rsidRDefault="00755AF7" w:rsidP="00EE4B59">
      <w:pPr>
        <w:rPr>
          <w:rFonts w:cs="Arial"/>
          <w:color w:val="000000" w:themeColor="text1"/>
          <w:szCs w:val="16"/>
        </w:rPr>
      </w:pPr>
    </w:p>
    <w:p w14:paraId="382FEFB4" w14:textId="77777777" w:rsidR="00ED6F8A" w:rsidRDefault="00ED6F8A">
      <w:pPr>
        <w:spacing w:before="0" w:after="200" w:line="276" w:lineRule="auto"/>
        <w:rPr>
          <w:rFonts w:eastAsiaTheme="majorEastAsia" w:cstheme="majorBidi"/>
          <w:b/>
          <w:bCs/>
          <w:color w:val="000000" w:themeColor="text1"/>
          <w:sz w:val="20"/>
          <w:szCs w:val="28"/>
        </w:rPr>
      </w:pPr>
      <w:r>
        <w:rPr>
          <w:color w:val="000000" w:themeColor="text1"/>
        </w:rPr>
        <w:br w:type="page"/>
      </w:r>
    </w:p>
    <w:p w14:paraId="7C2964C9" w14:textId="30A800B5" w:rsidR="00A453FB" w:rsidRDefault="00A453FB" w:rsidP="00A453FB">
      <w:pPr>
        <w:pStyle w:val="Heading1"/>
        <w:rPr>
          <w:color w:val="000000" w:themeColor="text1"/>
        </w:rPr>
      </w:pPr>
      <w:r>
        <w:rPr>
          <w:color w:val="000000" w:themeColor="text1"/>
        </w:rPr>
        <w:lastRenderedPageBreak/>
        <w:t>ED Attachments</w:t>
      </w:r>
    </w:p>
    <w:p w14:paraId="0D6C5FBD" w14:textId="77777777" w:rsidR="00A453FB" w:rsidRPr="00A453FB" w:rsidRDefault="00A453FB" w:rsidP="00A453FB"/>
    <w:p w14:paraId="558576BF" w14:textId="4B292941" w:rsidR="00A453FB" w:rsidRPr="00781112" w:rsidRDefault="001717FA" w:rsidP="00EE4B59">
      <w:pPr>
        <w:rPr>
          <w:rFonts w:cs="Arial"/>
          <w:color w:val="000000" w:themeColor="text1"/>
          <w:szCs w:val="16"/>
        </w:rPr>
      </w:pPr>
      <w:r>
        <w:rPr>
          <w:rFonts w:cs="Arial"/>
          <w:color w:val="000000" w:themeColor="text1"/>
          <w:szCs w:val="16"/>
        </w:rPr>
        <w:object w:dxaOrig="1579" w:dyaOrig="1022" w14:anchorId="5A75E904">
          <v:shape id="_x0000_i1030" type="#_x0000_t75" alt="GA-2022DataRubricPartB&#10;" style="width:79.2pt;height:50.7pt" o:ole="">
            <v:imagedata r:id="rId12" o:title=""/>
          </v:shape>
          <o:OLEObject Type="Embed" ProgID="Excel.Sheet.12" ShapeID="_x0000_i1030" DrawAspect="Icon" ObjectID="_1726411956" r:id="rId13"/>
        </w:object>
      </w:r>
      <w:r w:rsidR="008157F8">
        <w:rPr>
          <w:rFonts w:cs="Arial"/>
          <w:color w:val="000000" w:themeColor="text1"/>
          <w:szCs w:val="16"/>
        </w:rPr>
        <w:object w:dxaOrig="1540" w:dyaOrig="997" w14:anchorId="1F9ED84F">
          <v:shape id="_x0000_i1027" type="#_x0000_t75" alt="ga-resultsmatrix-2022b&#10;" style="width:77.3pt;height:49.45pt" o:ole="">
            <v:imagedata r:id="rId14" o:title=""/>
          </v:shape>
          <o:OLEObject Type="Embed" ProgID="Acrobat.Document.DC" ShapeID="_x0000_i1027" DrawAspect="Icon" ObjectID="_1726411957" r:id="rId15"/>
        </w:object>
      </w:r>
      <w:r w:rsidR="008157F8">
        <w:rPr>
          <w:rFonts w:cs="Arial"/>
          <w:color w:val="000000" w:themeColor="text1"/>
          <w:szCs w:val="16"/>
        </w:rPr>
        <w:object w:dxaOrig="1540" w:dyaOrig="997" w14:anchorId="25378EF0">
          <v:shape id="_x0000_i1028" type="#_x0000_t75" alt="GA-B-Dispute-Resolution-2020-21&#10;" style="width:77.3pt;height:49.45pt" o:ole="">
            <v:imagedata r:id="rId16" o:title=""/>
          </v:shape>
          <o:OLEObject Type="Embed" ProgID="Acrobat.Document.DC" ShapeID="_x0000_i1028" DrawAspect="Icon" ObjectID="_1726411958" r:id="rId17"/>
        </w:object>
      </w:r>
    </w:p>
    <w:sectPr w:rsidR="00A453FB"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93D8" w14:textId="77777777" w:rsidR="00202BAB" w:rsidRDefault="00202BAB" w:rsidP="000802F7">
      <w:pPr>
        <w:spacing w:before="0" w:after="0"/>
      </w:pPr>
      <w:r>
        <w:separator/>
      </w:r>
    </w:p>
  </w:endnote>
  <w:endnote w:type="continuationSeparator" w:id="0">
    <w:p w14:paraId="5327F85C" w14:textId="77777777" w:rsidR="00202BAB" w:rsidRDefault="00202BAB" w:rsidP="000802F7">
      <w:pPr>
        <w:spacing w:before="0" w:after="0"/>
      </w:pPr>
      <w:r>
        <w:continuationSeparator/>
      </w:r>
    </w:p>
  </w:endnote>
  <w:endnote w:type="continuationNotice" w:id="1">
    <w:p w14:paraId="3D921DF3" w14:textId="77777777" w:rsidR="00202BAB" w:rsidRDefault="00202B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ACAF" w14:textId="77777777" w:rsidR="00202BAB" w:rsidRDefault="00202BAB" w:rsidP="000802F7">
      <w:pPr>
        <w:spacing w:before="0" w:after="0"/>
      </w:pPr>
      <w:r>
        <w:separator/>
      </w:r>
    </w:p>
  </w:footnote>
  <w:footnote w:type="continuationSeparator" w:id="0">
    <w:p w14:paraId="5D5BF6D8" w14:textId="77777777" w:rsidR="00202BAB" w:rsidRDefault="00202BAB" w:rsidP="000802F7">
      <w:pPr>
        <w:spacing w:before="0" w:after="0"/>
      </w:pPr>
      <w:r>
        <w:continuationSeparator/>
      </w:r>
    </w:p>
  </w:footnote>
  <w:footnote w:type="continuationNotice" w:id="1">
    <w:p w14:paraId="6D93DBC4" w14:textId="77777777" w:rsidR="00202BAB" w:rsidRDefault="00202BAB">
      <w:pPr>
        <w:spacing w:before="0" w:after="0"/>
      </w:pPr>
    </w:p>
  </w:footnote>
  <w:footnote w:id="2">
    <w:p w14:paraId="5E2DCFD4" w14:textId="215019E3" w:rsidR="00A453FB" w:rsidRPr="00A453FB" w:rsidRDefault="00A453FB">
      <w:pPr>
        <w:pStyle w:val="FootnoteText"/>
        <w:rPr>
          <w:sz w:val="16"/>
          <w:szCs w:val="16"/>
        </w:rPr>
      </w:pPr>
      <w:r w:rsidRPr="00A453FB">
        <w:rPr>
          <w:rStyle w:val="FootnoteReference"/>
          <w:sz w:val="16"/>
          <w:szCs w:val="16"/>
        </w:rPr>
        <w:footnoteRef/>
      </w:r>
      <w:r w:rsidRPr="00A453FB">
        <w:rPr>
          <w:sz w:val="16"/>
          <w:szCs w:val="16"/>
        </w:rPr>
        <w:t xml:space="preserve"> Prior to the FFY 2020 submission, the State used a different data source to report data under this indicator.</w:t>
      </w:r>
    </w:p>
  </w:footnote>
  <w:footnote w:id="3">
    <w:p w14:paraId="6D25C161" w14:textId="3B561148" w:rsidR="00884284" w:rsidRPr="00884284" w:rsidRDefault="00884284" w:rsidP="00884284">
      <w:pPr>
        <w:spacing w:before="0" w:after="0"/>
        <w:rPr>
          <w:rFonts w:eastAsia="Times New Roman" w:cs="Arial"/>
          <w:color w:val="000000"/>
          <w:szCs w:val="16"/>
        </w:rPr>
      </w:pPr>
      <w:r>
        <w:rPr>
          <w:rStyle w:val="FootnoteReference"/>
        </w:rPr>
        <w:footnoteRef/>
      </w:r>
      <w:r>
        <w:t xml:space="preserve"> </w:t>
      </w:r>
      <w:r w:rsidRPr="00884284">
        <w:rPr>
          <w:rFonts w:eastAsia="Times New Roman" w:cs="Arial"/>
          <w:color w:val="000000"/>
          <w:szCs w:val="16"/>
        </w:rPr>
        <w:t>Percentage blurred due to privacy protection</w:t>
      </w:r>
    </w:p>
  </w:footnote>
  <w:footnote w:id="4">
    <w:p w14:paraId="5E8D4902" w14:textId="77777777" w:rsidR="00884284" w:rsidRPr="00884284" w:rsidRDefault="00884284" w:rsidP="00884284">
      <w:pPr>
        <w:spacing w:before="0" w:after="0"/>
        <w:rPr>
          <w:rFonts w:eastAsia="Times New Roman" w:cs="Arial"/>
          <w:color w:val="000000"/>
          <w:szCs w:val="16"/>
        </w:rPr>
      </w:pPr>
      <w:r>
        <w:rPr>
          <w:rStyle w:val="FootnoteReference"/>
        </w:rPr>
        <w:footnoteRef/>
      </w:r>
      <w:r>
        <w:t xml:space="preserve"> </w:t>
      </w:r>
      <w:r w:rsidRPr="00884284">
        <w:rPr>
          <w:rFonts w:eastAsia="Times New Roman" w:cs="Arial"/>
          <w:color w:val="000000"/>
          <w:szCs w:val="16"/>
        </w:rPr>
        <w:t>Percentage blurred due to privacy protection</w:t>
      </w:r>
    </w:p>
  </w:footnote>
  <w:footnote w:id="5">
    <w:p w14:paraId="5ECE0724" w14:textId="53E7F4E7" w:rsidR="00A453FB" w:rsidRPr="00A453FB" w:rsidRDefault="00A453FB">
      <w:pPr>
        <w:pStyle w:val="FootnoteText"/>
        <w:rPr>
          <w:sz w:val="16"/>
          <w:szCs w:val="16"/>
        </w:rPr>
      </w:pPr>
      <w:r w:rsidRPr="00A453FB">
        <w:rPr>
          <w:rStyle w:val="FootnoteReference"/>
          <w:sz w:val="16"/>
          <w:szCs w:val="16"/>
        </w:rPr>
        <w:footnoteRef/>
      </w:r>
      <w:r w:rsidRPr="00A453FB">
        <w:rPr>
          <w:sz w:val="16"/>
          <w:szCs w:val="16"/>
        </w:rPr>
        <w:t xml:space="preserve"> Prior to the FFY 2020 submission, the State used a different data source to report data under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pt;height:18.8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249535">
    <w:abstractNumId w:val="23"/>
  </w:num>
  <w:num w:numId="2" w16cid:durableId="1004281348">
    <w:abstractNumId w:val="11"/>
  </w:num>
  <w:num w:numId="3" w16cid:durableId="2093576790">
    <w:abstractNumId w:val="21"/>
  </w:num>
  <w:num w:numId="4" w16cid:durableId="2066834795">
    <w:abstractNumId w:val="25"/>
  </w:num>
  <w:num w:numId="5" w16cid:durableId="1494951093">
    <w:abstractNumId w:val="0"/>
  </w:num>
  <w:num w:numId="6" w16cid:durableId="1971084986">
    <w:abstractNumId w:val="16"/>
  </w:num>
  <w:num w:numId="7" w16cid:durableId="2066906564">
    <w:abstractNumId w:val="8"/>
  </w:num>
  <w:num w:numId="8" w16cid:durableId="942104173">
    <w:abstractNumId w:val="10"/>
  </w:num>
  <w:num w:numId="9" w16cid:durableId="458183854">
    <w:abstractNumId w:val="12"/>
  </w:num>
  <w:num w:numId="10" w16cid:durableId="1428843853">
    <w:abstractNumId w:val="14"/>
  </w:num>
  <w:num w:numId="11" w16cid:durableId="730468738">
    <w:abstractNumId w:val="18"/>
  </w:num>
  <w:num w:numId="12" w16cid:durableId="1772583371">
    <w:abstractNumId w:val="20"/>
  </w:num>
  <w:num w:numId="13" w16cid:durableId="141653786">
    <w:abstractNumId w:val="9"/>
  </w:num>
  <w:num w:numId="14" w16cid:durableId="1049650725">
    <w:abstractNumId w:val="15"/>
  </w:num>
  <w:num w:numId="15" w16cid:durableId="800466317">
    <w:abstractNumId w:val="13"/>
  </w:num>
  <w:num w:numId="16" w16cid:durableId="301274188">
    <w:abstractNumId w:val="22"/>
  </w:num>
  <w:num w:numId="17" w16cid:durableId="675957311">
    <w:abstractNumId w:val="2"/>
  </w:num>
  <w:num w:numId="18" w16cid:durableId="353919232">
    <w:abstractNumId w:val="7"/>
  </w:num>
  <w:num w:numId="19" w16cid:durableId="837768037">
    <w:abstractNumId w:val="1"/>
  </w:num>
  <w:num w:numId="20" w16cid:durableId="864908788">
    <w:abstractNumId w:val="19"/>
  </w:num>
  <w:num w:numId="21" w16cid:durableId="1913419760">
    <w:abstractNumId w:val="24"/>
  </w:num>
  <w:num w:numId="22" w16cid:durableId="1935938636">
    <w:abstractNumId w:val="6"/>
  </w:num>
  <w:num w:numId="23" w16cid:durableId="1331835538">
    <w:abstractNumId w:val="3"/>
  </w:num>
  <w:num w:numId="24" w16cid:durableId="1937521172">
    <w:abstractNumId w:val="4"/>
  </w:num>
  <w:num w:numId="25" w16cid:durableId="1534071528">
    <w:abstractNumId w:val="5"/>
  </w:num>
  <w:num w:numId="26" w16cid:durableId="48447126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17FA"/>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2BAB"/>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7F8"/>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284"/>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3FB"/>
    <w:rsid w:val="00A45E9F"/>
    <w:rsid w:val="00A46274"/>
    <w:rsid w:val="00A46B53"/>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3BD5"/>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D783A"/>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6F8A"/>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620"/>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1996447549">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89bf3613-0818-48da-aadf-73420b6d035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9D4C8B-A809-4882-B1FE-A9BAA4EA7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97</Pages>
  <Words>70846</Words>
  <Characters>403824</Characters>
  <Application>Microsoft Office Word</Application>
  <DocSecurity>0</DocSecurity>
  <Lines>3365</Lines>
  <Paragraphs>947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6</cp:revision>
  <cp:lastPrinted>2014-08-19T16:56:00Z</cp:lastPrinted>
  <dcterms:created xsi:type="dcterms:W3CDTF">2022-08-05T21:44:00Z</dcterms:created>
  <dcterms:modified xsi:type="dcterms:W3CDTF">2022-10-04T22:06:00Z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fdc6cd67-00c1-4e67-90b9-8d0e55328312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