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Federated States of Micronesia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This Executive Summary includes a description of the Federated States of Micronesia (FSM) IDEA Part B State Performance Plan (SPP) and Annual Performance Report (APR) for FFY 2019. A description of FSM's General Supervision System, Technical Assistance System, Professional Development System, Stakeholder Involvement, and Reporting to the Public are provided separately within this Introduction section of FSM's FFY 2019 SPP/APR.</w:t>
      </w:r>
      <w:r w:rsidRPr="005C29F8">
        <w:rPr>
          <w:rFonts w:cs="Arial"/>
          <w:color w:val="000000" w:themeColor="text1"/>
          <w:szCs w:val="16"/>
        </w:rPr>
        <w:br/>
      </w:r>
      <w:r w:rsidRPr="005C29F8">
        <w:rPr>
          <w:rFonts w:cs="Arial"/>
          <w:color w:val="000000" w:themeColor="text1"/>
          <w:szCs w:val="16"/>
        </w:rPr>
        <w:br/>
        <w:t xml:space="preserve">In FFY 2013, with input from stakeholders, FSM identified targets for FFY 2014 to FFY 2018 for the SPP Results Indicators, with the FFY 2019 SPP Results Indicator targets identifed in the FFY 2018 APR. Targets for Results Indicators 1 to 8 and 14-16 were established, in addition to targets set at 100% for Compliance Indicators 11 and 13. As per OSEP's instructions, the following Indicators do not apply to the FSM: 3A, 4B, 9, 10, and 12.  FSM's FFY 2019 APR includes performance for the 11 Results and 2 Compliance Indicators of the 16 SPP Indicator measures that apply to FSM and explanation of slippage for required Indicators that FSM's targets were not met. Although FSM did not meet all Results indicator targets in FFY 2019, stakeholders decided not to revise targets for the FFY 2019 APR. </w:t>
      </w:r>
      <w:r w:rsidRPr="005C29F8">
        <w:rPr>
          <w:rFonts w:cs="Arial"/>
          <w:color w:val="000000" w:themeColor="text1"/>
          <w:szCs w:val="16"/>
        </w:rPr>
        <w:br/>
      </w:r>
      <w:r w:rsidRPr="005C29F8">
        <w:rPr>
          <w:rFonts w:cs="Arial"/>
          <w:color w:val="000000" w:themeColor="text1"/>
          <w:szCs w:val="16"/>
        </w:rPr>
        <w:br/>
        <w:t>As per OSEP’s instructions, for Indicator 17, FSM's Part B State Systemic Improvement Plan (SSIP), FSM will submit its FFY 2019 performance and SSIP Phase III, Year Five, no later than April 1, 2021.</w:t>
      </w:r>
      <w:r w:rsidRPr="005C29F8">
        <w:rPr>
          <w:rFonts w:cs="Arial"/>
          <w:color w:val="000000" w:themeColor="text1"/>
          <w:szCs w:val="16"/>
        </w:rPr>
        <w:br/>
      </w:r>
      <w:r w:rsidRPr="005C29F8">
        <w:rPr>
          <w:rFonts w:cs="Arial"/>
          <w:color w:val="000000" w:themeColor="text1"/>
          <w:szCs w:val="16"/>
        </w:rPr>
        <w:br/>
        <w:t>FSM’s 2020 Determination issued by USDOE OSEP on June 25, 2020 stated that FSM needs assistance in meeting the requirements and purposes of IDEA Part B. The Determination further reminded FSM to review previous year’s OSEP Response to each indicator and any actions that FSM may be required to take. FSM has reviewed its previous year’s SPP/APR submission, and if required, has provided its actions or responses in the relevant indicators of this FFY 2019 APR.</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Although no cases of the corona virus of 2019 were tested positive in the FSM in FFY 2019, FSM school calendars and schedules were altered beginning March 2020 to May 2020 to ensure precautionary measures of social distancing were practiced. Impact on school operations included some school closures or shortened hours. FSM NDOE provided guidance on developing IEP amendments to ensure that the IDEA timelines were met. If needed, the IEP reviews continued to be conducted through home visits to ensure that the IDEA timeline requirements were met.  With the exception of Indicator 3, FSM was able to collect and report valid and reliable FFY 2019 APR Indicator data even with the COVID-19 pandemic impact on school operations.</w:t>
      </w:r>
      <w:r w:rsidRPr="005C29F8">
        <w:rPr>
          <w:color w:val="000000" w:themeColor="text1"/>
        </w:rPr>
        <w:br/>
      </w:r>
      <w:r w:rsidRPr="005C29F8">
        <w:rPr>
          <w:color w:val="000000" w:themeColor="text1"/>
        </w:rPr>
        <w:br/>
        <w:t xml:space="preserve">In Yap State, the outer islands did not close schools, but the main island closed schools mid-March 2020 until mid-May 2020. In Kosrae State, schools were not closed but school hours were shortened due to the high school being used as a quarantine facility. Kosrae State also invested in upgrading internet connection in the schools and community to support virtual learning, training, and meetings. In Chuuk State and Pohnpei State, schools were closed from Mid-March until the end of the school year, but they ensured that the IDEA timelines were met for all required IEPs. </w:t>
      </w:r>
      <w:r w:rsidRPr="005C29F8">
        <w:rPr>
          <w:color w:val="000000" w:themeColor="text1"/>
        </w:rPr>
        <w:br/>
      </w:r>
      <w:r w:rsidRPr="005C29F8">
        <w:rPr>
          <w:color w:val="000000" w:themeColor="text1"/>
        </w:rPr>
        <w:br/>
        <w:t>At the beginning of school year 2020-2021, all schools went back to face-to-face instruction with some modification, such as continued shortened hours in Kosrae State and having cohort groups rotate instructional days in Pohnpei State. As of this report submission, FSM has only identified one COVID-19 positive case which was an imported case on a ship that was an isolated case in the waters. There has not been any community spread from this COVID-19 positive case, and FSM still is in COVID-19 Category 4, operating on a normal schedule.</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The Federated States of Micronesia National Department of Education (FSM-NDOE) is the government entity responsible for the general supervision and monitoring, including the identification of noncompliance with the IDEA requirements, to provide special education and related services for children with disabilities. FSM-NDOE is a unitary education system with the delivery of special education and related services implemented within the four FSM island states: Chuuk, Kosrae, Pohnpei, and Yap. Given FSM’s unique geographic context, NDOE has established a general supervision structure similar to a State Education Agency (SEA) and Local Education Agency (LEA) structure for administering, supervising, and monitoring the implementation of the IDEA requirements.</w:t>
      </w:r>
      <w:r w:rsidRPr="005C29F8">
        <w:rPr>
          <w:rFonts w:cs="Arial"/>
          <w:color w:val="000000" w:themeColor="text1"/>
          <w:szCs w:val="16"/>
        </w:rPr>
        <w:br/>
      </w:r>
      <w:r w:rsidRPr="005C29F8">
        <w:rPr>
          <w:rFonts w:cs="Arial"/>
          <w:color w:val="000000" w:themeColor="text1"/>
          <w:szCs w:val="16"/>
        </w:rPr>
        <w:br/>
        <w:t>FSM's administrative structure for the implementation of IDEA Part B requirements includes the NDOE as the SEA and the four FSM islands states as the LEAs. NDOE has three organizational divisions, Division of Formal &amp; Non-Formal Education, Division of Quality &amp; Effectiveness, and Division of Special Services. The Division of Special Services is responsible for the implementation of IDEA Part B requirements and have in place its FSM special education procedural manual and notice of procedural safeguards, consistent with the IDEA Part B requirements, disseminated and implemented in all four LEAs. NDOE also has in place a dispute resolution system that meets the IDEA Part B requirements and implemented in each LEA.</w:t>
      </w:r>
      <w:r w:rsidRPr="005C29F8">
        <w:rPr>
          <w:rFonts w:cs="Arial"/>
          <w:color w:val="000000" w:themeColor="text1"/>
          <w:szCs w:val="16"/>
        </w:rPr>
        <w:br/>
      </w:r>
      <w:r w:rsidRPr="005C29F8">
        <w:rPr>
          <w:rFonts w:cs="Arial"/>
          <w:color w:val="000000" w:themeColor="text1"/>
          <w:szCs w:val="16"/>
        </w:rPr>
        <w:br/>
        <w:t>As the SEA, NDOE assures that the IDEA procedural requirements are being met in each LEA. NDOE has developed and implemented a Continuous Improvement Monitoring System (CIMS) as an ongoing mechanism to assess the impact of special education and related services on improving results for children with disabilities in the FSM. The NDOE monitoring system assesses compliance and performance of each LEA based on IDEA 2004, the Part B regulations, OSEP Memorandum 09-02, and FSM Public Law 14-08 of June 2005. FSM Public Law 14-08 provided the amendments to FSM Public Law 8-21 of 1993 ensuring policy alignment with IDEA. Aligned with OSEP’s Continuous Improvement Focused Monitoring System (CIFMS), the FSM CIMS includes two processes for identifying compliance and performance of each LEA utilizing the IDEA Part B SPP indicators and measurements and related IDEA requirements: on-site and off-site monitoring. Both on-site and off-site monitoring involves review and verification of correction of non-compliance and continuing adherence to the requirements from the authorities listed above. In addition, FSM's dispute resolution system data, in particular, complaint and due process hearing requests, are reviewed for the identification of noncompliance findings.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Consistent with OSEP Memo 09-02, for child-specific regulatory noncompliance, demonstration of correction is verified through a review of additional data related to the regulatory citation that demonstrates 100% compliance with the requirement and all child-specific instances of noncompliance verified as corrected. For system noncompliance, evidence of correction of noncompliance includes documentation of revised LEA policies or procedures and/or practices and evidence that such required/recommended policies or procedures and/or practices to be developed, implemented, or revised are in fact implemented. An LEA showing documents or data reports noting correction of noncompliance that are verified will be determined to have corrected noncompliance issued to that respective LEA.</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Given FSM’s unique geographic context, NDOE has in place a mechanism to ensure timely delivery of high quality, evidenced based technical assistance and support to each island state/LEA. NDOE implements a reporting mechanism to identify and prioritize technical assistance and training needs in each LEA through the annual LEA application for IDEA Part B funding, quarterly progress reporting, and periodical leadership meetings, such as SPP/APR and SSIP meetings and NDOE Division of Basic Education and Accreditation meetings or workshops where issues affecting children with disabilities are discussed.</w:t>
      </w:r>
      <w:r w:rsidRPr="005C29F8">
        <w:rPr>
          <w:rFonts w:cs="Arial"/>
          <w:color w:val="000000" w:themeColor="text1"/>
          <w:szCs w:val="16"/>
        </w:rPr>
        <w:br/>
      </w:r>
      <w:r w:rsidRPr="005C29F8">
        <w:rPr>
          <w:rFonts w:cs="Arial"/>
          <w:color w:val="000000" w:themeColor="text1"/>
          <w:szCs w:val="16"/>
        </w:rPr>
        <w:br/>
        <w:t>The LEA application includes the development and implementation of a Local Performance Plan (LPP) that is aligned to the FSM SPP and developed with stakeholder input. Each LEA has in place a special education advisory council that meets the membership requirements of the IDEA Part B State Advisory Panel for Special Education. The LEA special education advisory council reviews LEA data and performance on the FSM SPP indicator measures and provides input to LEA target setting and development and implementation of improvement activities. The advisory council reviews the LEA quarterly progress reports of LEA performance on indicator targets before submission to NDOE. The LEA targets are aligned to and support meeting FSM’s SPP targets. The LEA application also includes a budget that reflects the needed funding support for its prioritized improvement activities under each indicator measure.</w:t>
      </w:r>
      <w:r w:rsidRPr="005C29F8">
        <w:rPr>
          <w:rFonts w:cs="Arial"/>
          <w:color w:val="000000" w:themeColor="text1"/>
          <w:szCs w:val="16"/>
        </w:rPr>
        <w:br/>
      </w:r>
      <w:r w:rsidRPr="005C29F8">
        <w:rPr>
          <w:rFonts w:cs="Arial"/>
          <w:color w:val="000000" w:themeColor="text1"/>
          <w:szCs w:val="16"/>
        </w:rPr>
        <w:br/>
        <w:t>During the convenings of the FSM National APR Leadership and the SPP/SSIP Leadership teams, both of which comprised of representatives from NDOE and the four LEA advisory councils, both teams reviewed LEA LPP data and information for technical assistance and training implementation and needs. The teams identified LEA-specific needs and national initiatives for allocating resources. NDOE also served as the conduit for accessing local, regional, and national resources, including OSEP-funded centers, to support the LEA-specific and national technical assistance and training needs.  In FFY 2019, prior to the COVID-19 pandemic, collaborative technical assistance activities included:</w:t>
      </w:r>
      <w:r w:rsidRPr="005C29F8">
        <w:rPr>
          <w:rFonts w:cs="Arial"/>
          <w:color w:val="000000" w:themeColor="text1"/>
          <w:szCs w:val="16"/>
        </w:rPr>
        <w:br/>
      </w:r>
      <w:r w:rsidRPr="005C29F8">
        <w:rPr>
          <w:rFonts w:cs="Arial"/>
          <w:color w:val="000000" w:themeColor="text1"/>
          <w:szCs w:val="16"/>
        </w:rPr>
        <w:br/>
        <w:t>On July 15-18, 2019, NDOE and Project LIFT consultant conducted a Coaches' Institute in conjunction with the 2019 Micronesia Teacher Education Conference (MTEC) held in Pohnpei state. The Coaches' institute focused on professional development planning and implementation at the LEA levels, review and analysis of student data, classroom observation, core reading programs instruction/delivery, and presentations during MTEC break-out sessions. During the training, a Pohnpei Parent Evening was held at the model school where parents of children attending the Pohnpei Project LIFT model school and other school community parents were invited to participate in learning games with their kids. This opportunity allowed the parents and school community folks attending the event to learn more about Project LIFT and Special Education services in general.</w:t>
      </w:r>
      <w:r w:rsidRPr="005C29F8">
        <w:rPr>
          <w:rFonts w:cs="Arial"/>
          <w:color w:val="000000" w:themeColor="text1"/>
          <w:szCs w:val="16"/>
        </w:rPr>
        <w:br/>
      </w:r>
      <w:r w:rsidRPr="005C29F8">
        <w:rPr>
          <w:rFonts w:cs="Arial"/>
          <w:color w:val="000000" w:themeColor="text1"/>
          <w:szCs w:val="16"/>
        </w:rPr>
        <w:br/>
        <w:t>On August 5-9. 2019, the FSM Interagency conference was held in Yap and National and State administrators, general and special education teachers and administrators attending the conference met and discussed SPP and LPP implementation status and challenges.  FSM National and State Department of Health representatives and non-government agencies such as Chuuk and Pohnpei disability organization, Yap College of Micronesia campus, parents representing all four LEAs, were provided a Special Education program update and an opportunity to plan on improving each LEA's Interagency services for children with disabilities and their parents. The issue on accessibility of built structures and educational environments and related services were prioritized for improvement in 2019-2020.</w:t>
      </w:r>
      <w:r w:rsidRPr="005C29F8">
        <w:rPr>
          <w:rFonts w:cs="Arial"/>
          <w:color w:val="000000" w:themeColor="text1"/>
          <w:szCs w:val="16"/>
        </w:rPr>
        <w:br/>
      </w:r>
      <w:r w:rsidRPr="005C29F8">
        <w:rPr>
          <w:rFonts w:cs="Arial"/>
          <w:color w:val="000000" w:themeColor="text1"/>
          <w:szCs w:val="16"/>
        </w:rPr>
        <w:br/>
        <w:t xml:space="preserve">On October 7-12, 2019, NDOE key staffs and LEA teams participated in a Pacific SSIP collaborative convening on Guam, with all the Pacific entities and OSEP funded TA centers such as National Center on Educational Outcomes (NCEO), National Center for Systemic Improvement (NCSI), National Center on Intensive Intervention (NCII), National Center on Improving Literacy (NCIL), with University of Guam Center for Excellence in Developmental Disabilities Education, Research, and Service (Guam CEDDERS) and the Regional Educational Laboratory-Pacific (REL-Pacific). FSM's Project LIFT consultants also attended to provide immediate consultative and technical assistance to FSM team represented by FSM National and all four state's DOE. </w:t>
      </w:r>
      <w:r w:rsidRPr="005C29F8">
        <w:rPr>
          <w:rFonts w:cs="Arial"/>
          <w:color w:val="000000" w:themeColor="text1"/>
          <w:szCs w:val="16"/>
        </w:rPr>
        <w:br/>
      </w:r>
      <w:r w:rsidRPr="005C29F8">
        <w:rPr>
          <w:rFonts w:cs="Arial"/>
          <w:color w:val="000000" w:themeColor="text1"/>
          <w:szCs w:val="16"/>
        </w:rPr>
        <w:br/>
        <w:t>In March 2020, due to the COVID-19 pandemic, NDOE had to switch to providing virtual technical assistance to the LEAs, which continues through the submission of this APR.  NDOE held weekly virtual meetings with the LEA special education coordinators to address any program issues and improvement needs.  FSM collaborative partners from the US mainland and Guam also switched to facilitating virtual consultation and support in lieu of on-site technical assistance and support.</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Given FSM’s unique geographic context, NDOE has mechanisms in place to ensure that service providers have the skills to effectively provide special education and related services that improve results for children with disabilities. With input from the LEAs, NDOE establishes the minimum professional standards and assessment for the certification of all public school teachers and the content standards and assessment for all students. In addition, Title 40 of the FSM code requires all schools in the FSM to meet required minimum standards and undergo a process of accreditation. The purpose of FSM’s accreditation is to ensure all schools provide all students an environment that is conducive to learning, with the ultimate goal to raise the level of student academic performance. This purpose is especially important for effectively providing appropriate services for children with disabilities, as the majority of FSM’s children with disabilities are in general education classrooms for most of the school day.</w:t>
      </w:r>
      <w:r w:rsidRPr="005C29F8">
        <w:rPr>
          <w:rFonts w:cs="Arial"/>
          <w:color w:val="000000" w:themeColor="text1"/>
          <w:szCs w:val="16"/>
        </w:rPr>
        <w:br/>
      </w:r>
      <w:r w:rsidRPr="005C29F8">
        <w:rPr>
          <w:rFonts w:cs="Arial"/>
          <w:color w:val="000000" w:themeColor="text1"/>
          <w:szCs w:val="16"/>
        </w:rPr>
        <w:br/>
        <w:t>The FSM accreditation process includes a review of six required minimum standards: (1) Leadership; (2) Teacher Performance; (3) Data Management; (4) National Curriculum Standards, Benchmarks and Student Learning Outcomes; (5) School Campus, Classrooms and Facilities; and (6) School Improvement Planning. The review is designed to help schools improve the educational services and opportunities for students, which includes deliberate professional development for improving teacher performance. Each school, inclusive of early childhood education, develops and implements a School Improvement Plan (SIP - Standard #6). The SIP contains a comprehensive set of data on various aspects of the school, including student achievement and attendance, teacher qualifications and professional development, and resource inventories. These data are analyzed to show trends, strengths, and weaknesses, and to prioritize professional development for administrators and teachers to ensure FSM reaches the ultimate goal of raising academic achievement for all students.</w:t>
      </w:r>
      <w:r w:rsidRPr="005C29F8">
        <w:rPr>
          <w:rFonts w:cs="Arial"/>
          <w:color w:val="000000" w:themeColor="text1"/>
          <w:szCs w:val="16"/>
        </w:rPr>
        <w:br/>
      </w:r>
      <w:r w:rsidRPr="005C29F8">
        <w:rPr>
          <w:rFonts w:cs="Arial"/>
          <w:color w:val="000000" w:themeColor="text1"/>
          <w:szCs w:val="16"/>
        </w:rPr>
        <w:br/>
        <w:t xml:space="preserve">FSM’s Project LIFT (Literacy Intervention for FSM Leaders of Tomorrow) is one of FSM’s major National Initiatives that supports FSM’s accreditation process for improving educational results for children with disabilities, as well as children without disabilities. As FSM’s Response to Intervention (RTI) </w:t>
      </w:r>
      <w:r w:rsidRPr="005C29F8">
        <w:rPr>
          <w:rFonts w:cs="Arial"/>
          <w:color w:val="000000" w:themeColor="text1"/>
          <w:szCs w:val="16"/>
        </w:rPr>
        <w:lastRenderedPageBreak/>
        <w:t>Initiative, Project LIFT has identified pilot schools to develop and implement the RTI framework within their SIP. Project LIFT purposefully plans for teacher and support personnel training, coaching, and resource supports in the pilot schools for student screening and assessment, student progress monitoring, and research based instructional intervention programs for improving literacy skills for children in early childhood education (ECE) through fifth grade.</w:t>
      </w:r>
      <w:r w:rsidRPr="005C29F8">
        <w:rPr>
          <w:rFonts w:cs="Arial"/>
          <w:color w:val="000000" w:themeColor="text1"/>
          <w:szCs w:val="16"/>
        </w:rPr>
        <w:br/>
      </w:r>
      <w:r w:rsidRPr="005C29F8">
        <w:rPr>
          <w:rFonts w:cs="Arial"/>
          <w:color w:val="000000" w:themeColor="text1"/>
          <w:szCs w:val="16"/>
        </w:rPr>
        <w:br/>
        <w:t xml:space="preserve">NDOE, FSM’s conduit for accessing local, regional, and national resources, has engaged in several OSEP-funded regional professional development grants to improve the knowledge and skills of service providers working with children with disabilities. The Pacific Assessment Consortium (PAC6) served to support the development and implementation of FSM’s Alternate Assessment based on Alternate Achievement Standards (AA-AAS), which included teacher training. The Pacific Consortium for Instructional Materials Accessibility Project (Pacific CIMAP) provided technical support and training for teachers and related service personnel to ensure children with print disabilities have the required timely accessible materials. The Pacific Vision Instruction Project (Pacific VIP), an OSEP personnel preparation grant, is another regional project with the outcome of developing personnel in the area of vision education and orientation and mobility for providing educational services for children with visual impairments. These OSEP-funded grants, to name a few, have had significant impact on FSM’s personnel capacity to provide appropriate services for children with disabilities. In 2017, the College of the Marshall Islands partnered with University of Hawaii at Manoa Center on Disabilities Studies to deliver a bachelor's degree training program on Deaf Education and Severe Disabilities. This project is titled Navigating Student Success in the Pacific (NSSP) and 14 FSM scholars are attending. This bachelor's degree training project will end in Spring 2021. </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As a unitary system, FSM reports annually to the public on the progress and/or slippage in meeting the ‘measurable and rigorous targets’ found in its SPP through posting its APR. FSM will post its SPP/APR annually within 120 days following FSM's submission of its SPP/APR, including any revisions if FSM has revised its SPP. FSM posts its complete SPP and all APRs on the following websites: http://www.fsmsped.org/dashboard and http://www.national.doe.fm.</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FSM must report FFY 2019 data for the State-identified Measurable Result (SiMR).  Additionally, FSM, consistent with its evaluation plan described in Phase II, assess and report on its progress in implementing the SSIP.  Specifically, FSM must provide: (1) a narrative or graphic representation of the principal activities implemented in Phase III, Year Five; (2) measures and outcomes that were implemented and achieved since FSM's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FSM's capacity to improve its SiMR data.</w:t>
      </w:r>
      <w:r w:rsidRPr="005C29F8">
        <w:rPr>
          <w:rFonts w:cs="Arial"/>
          <w:color w:val="000000" w:themeColor="text1"/>
          <w:szCs w:val="16"/>
        </w:rPr>
        <w:br/>
      </w:r>
      <w:r w:rsidRPr="005C29F8">
        <w:rPr>
          <w:rFonts w:cs="Arial"/>
          <w:color w:val="000000" w:themeColor="text1"/>
          <w:szCs w:val="16"/>
        </w:rPr>
        <w:br/>
        <w:t>FSM's IDEA Part B determination for both 2019 and 2020 is Needs Assistance.  In FSM's 2020 determination letter, the Department advised FSM of available sources of technical assistance, including OSEP-funded technical assistance centers, and required FSM to work with appropriate entities.  The Department directed FSM to determine the results elements and/or compliance indicators, and improvement strategies, on which it will focus its use of available technical assistance, in order to improve its performance. FSM must report, with its FFY 2019 SPP/APR submission, due February 1, 2021, on: (1) the technical assistance sources from which FSM received assistance; and (2) the actions FSM took as a result of that technical assistance.</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 xml:space="preserve">As per OSEP’s instructions, for Indicator 17, FSM's Part B State Systemic Improvement Plan (SSIP), FSM will submit its FFY 2019 SSIP Phase III, Year Five, no later than April 1, 2021, which will include the required FFY 2019 data and information for FSM's SiMR and implementation and evaluation </w:t>
      </w:r>
      <w:r w:rsidRPr="005C29F8">
        <w:rPr>
          <w:rFonts w:cs="Arial"/>
          <w:color w:val="000000" w:themeColor="text1"/>
          <w:szCs w:val="16"/>
        </w:rPr>
        <w:lastRenderedPageBreak/>
        <w:t>plans.</w:t>
      </w:r>
      <w:r w:rsidRPr="005C29F8">
        <w:rPr>
          <w:rFonts w:cs="Arial"/>
          <w:color w:val="000000" w:themeColor="text1"/>
          <w:szCs w:val="16"/>
        </w:rPr>
        <w:br/>
      </w:r>
      <w:r w:rsidRPr="005C29F8">
        <w:rPr>
          <w:rFonts w:cs="Arial"/>
          <w:color w:val="000000" w:themeColor="text1"/>
          <w:szCs w:val="16"/>
        </w:rPr>
        <w:br/>
        <w:t>In response to the required actions indicated in FSM’s 2020 Determination issued by USDOE OSEP on June 25, 2020, FSM provides the following description of: (1) the technical assistance sources from which FSM received assistance; and (2) the actions FSM took as a result of that technical assistance.</w:t>
      </w:r>
      <w:r w:rsidRPr="005C29F8">
        <w:rPr>
          <w:rFonts w:cs="Arial"/>
          <w:color w:val="000000" w:themeColor="text1"/>
          <w:szCs w:val="16"/>
        </w:rPr>
        <w:br/>
      </w:r>
      <w:r w:rsidRPr="005C29F8">
        <w:rPr>
          <w:rFonts w:cs="Arial"/>
          <w:color w:val="000000" w:themeColor="text1"/>
          <w:szCs w:val="16"/>
        </w:rPr>
        <w:br/>
        <w:t>Technical Assistance Sources from which FSM received assistance:</w:t>
      </w:r>
      <w:r w:rsidRPr="005C29F8">
        <w:rPr>
          <w:rFonts w:cs="Arial"/>
          <w:color w:val="000000" w:themeColor="text1"/>
          <w:szCs w:val="16"/>
        </w:rPr>
        <w:br/>
      </w:r>
      <w:r w:rsidRPr="005C29F8">
        <w:rPr>
          <w:rFonts w:cs="Arial"/>
          <w:color w:val="000000" w:themeColor="text1"/>
          <w:szCs w:val="16"/>
        </w:rPr>
        <w:br/>
        <w:t xml:space="preserve">FSM received a score of zero for all results elements in its 2020 RDA matrix for assessment participation, graduation rates, and drop-out rates. FSM accessed available technical assistance through the National Center for Systemic Improvement (NCSI), National Center on Educational Outcomes (NCEO), National Center on Intensive Intervention (NCII), National Center on Improving Literacy (NCIL), the Regional Educational Laboratory Pacific (REL-Pacific), and University of Guam CEDDERS. FSM engaged in national and regional training and institutes facilitated by these technical assistance centers, such as the October 2019 Pacific SSIP Collaborative held on Guam. In addition, FSM accessed technical assistance from University of Oregon, University of Minnesota Check &amp; Connect Project, and Sigma Associates, Inc. </w:t>
      </w:r>
      <w:r w:rsidRPr="005C29F8">
        <w:rPr>
          <w:rFonts w:cs="Arial"/>
          <w:color w:val="000000" w:themeColor="text1"/>
          <w:szCs w:val="16"/>
        </w:rPr>
        <w:br/>
      </w:r>
      <w:r w:rsidRPr="005C29F8">
        <w:rPr>
          <w:rFonts w:cs="Arial"/>
          <w:color w:val="000000" w:themeColor="text1"/>
          <w:szCs w:val="16"/>
        </w:rPr>
        <w:br/>
        <w:t>Actions FSM took as a result of that technical assistance:</w:t>
      </w:r>
      <w:r w:rsidRPr="005C29F8">
        <w:rPr>
          <w:rFonts w:cs="Arial"/>
          <w:color w:val="000000" w:themeColor="text1"/>
          <w:szCs w:val="16"/>
        </w:rPr>
        <w:br/>
      </w:r>
      <w:r w:rsidRPr="005C29F8">
        <w:rPr>
          <w:rFonts w:cs="Arial"/>
          <w:color w:val="000000" w:themeColor="text1"/>
          <w:szCs w:val="16"/>
        </w:rPr>
        <w:br/>
        <w:t>Actions taken by the FSM as a result of the technical assistance received included furthering the support of FSM's SSIP implementation, which focuses on improving reading achievement. Other technical assistance resources accessed supported schools to develop and implement drop-out prevention strategies to reduce the number of drop-outs, and in turn, increase the number of graduates with a high school diploma.</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Federated States of Micronesia's (FSM's) determinations for both 2019 and 2020 were Needs Assistance.  Pursuant to section 616(e)(1) of the IDEA and 34 C.F.R. § 300.604(a), OSEP's June 25, 2020 determination letter informed FSM that it must report with its FFY 2019 SPP/APR submission, due February 1, 2021, on: (1) the technical assistance sources from which FSM received assistance; and (2) the actions FSM took as a result of that technical assistance. FSM provided the required information.</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FSM does not have any FFY 2019 data for indicator 17.</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OSEP notes that FSM submitted verification that the attachment(s) complies with Section 508 of the Rehabilitation Act of 1973, as amended (Section 508). However, one or more of the Indicator 17 attachments included in the FSM’s FFY 2019 SPP/APR submission are not in compliance with Section 508 and will not be posted on the U.S. Department of Education’s IDEA website. Therefore, FSM must make the attachment(s) available to the public as soon as practicable, but no later than 120 days after the date of the determination letter.</w:t>
      </w:r>
      <w:r w:rsidRPr="005C29F8">
        <w:rPr>
          <w:rFonts w:cs="Arial"/>
          <w:color w:val="000000" w:themeColor="text1"/>
          <w:szCs w:val="16"/>
        </w:rPr>
        <w:br/>
      </w:r>
      <w:r w:rsidRPr="005C29F8">
        <w:rPr>
          <w:rFonts w:cs="Arial"/>
          <w:color w:val="000000" w:themeColor="text1"/>
          <w:szCs w:val="16"/>
        </w:rPr>
        <w:br/>
        <w:t>The FSM's IDEA Part B determination for both 2020 and 2021 is Needs Assistance. In the FSM's 2021 determination letter, the Department advised FSM of available sources of technical assistance, including OSEP-funded technical assistance centers, and required FSM to work with appropriate entities. The Department directed FSM to determine the results elements and/or compliance indicators, and improvement strategies, on which it will focus its use of available technical assistance, in order to improve its performance. FSM must report, with its FFY 2020 SPP/APR submission, due February 1, 2022, on: (1) the technical assistance sources from which FSM received assistance; and (2) the actions FSM took as a result of that technical assistance.</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2017</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33.08%</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62.00%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67.00%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72.00%</w:t>
            </w:r>
          </w:p>
        </w:tc>
        <w:tc>
          <w:tcPr>
            <w:tcW w:w="833" w:type="pct"/>
            <w:shd w:val="clear" w:color="auto" w:fill="auto"/>
            <w:vAlign w:val="center"/>
          </w:tcPr>
          <w:p w14:paraId="54566D6E" w14:textId="0812F659" w:rsidR="007F24E2" w:rsidRPr="005C29F8" w:rsidRDefault="007F24E2" w:rsidP="00E0321D">
            <w:pPr>
              <w:jc w:val="center"/>
              <w:rPr>
                <w:rFonts w:cs="Arial"/>
                <w:color w:val="000000" w:themeColor="text1"/>
                <w:szCs w:val="16"/>
              </w:rPr>
            </w:pP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34.00%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93.22%</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68.85%</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73.85%</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33.08%</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34.78%</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34.00%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43</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108</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39.81%</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43</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108</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34.78%</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34.00%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39.81%</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“Graduation with a high school diploma” is defined in the FSM as the completion of required course credits during high school, with each FSM State establishing the required total number of course credits to complete. The following are the graduation requirements for high school credits for each state: Chuuk = 22 credits; Kosrae = 28 credits; Pohnpei = 23 credits; Yap = 22credits for Yap High and 24 credits for Yap Outer Island and Yap Neighboring Island Central High Schools. These requirements are consistent for students with and without disabilities.</w:t>
      </w:r>
      <w:r w:rsidRPr="005C29F8">
        <w:rPr>
          <w:rFonts w:cs="Arial"/>
          <w:color w:val="000000" w:themeColor="text1"/>
          <w:szCs w:val="16"/>
        </w:rPr>
        <w:br/>
      </w:r>
      <w:r w:rsidRPr="005C29F8">
        <w:rPr>
          <w:rFonts w:cs="Arial"/>
          <w:color w:val="000000" w:themeColor="text1"/>
          <w:szCs w:val="16"/>
        </w:rPr>
        <w:br/>
        <w:t>As described in the Explanation of Alternate Data section, FSM uses the same data reported to the Department under Section 618 of IDEA to calculate its graduation rates.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2008</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3.00%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9.00%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7.00%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22.69%</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20.33%</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4.14%</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14.62%</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11.83%</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2.90%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lastRenderedPageBreak/>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43</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54</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5</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FSM chooses Option 2 to report Indicator 2 data. FSM does not report drop-out data to the Department under Title 1 of ESEA. FSM therefore continues to use the high school enrollment calculation to determine FSM’s annual drop-out rate for youth with IEPs in high school. Data for this indicator are "one-year lag" data. FSM used the 2018-2019 high school drop-out and enrollment data to determine FSM's data for this FFY 2019 APR Indicator 2. In 2018-2019, the total number of youth with IEPs in high school was 516; of which, 54 were youth with IEPs who dropped out from high school, representing the same number of drop-outs reported in FSM’s 618 exit data report for that period.   For Indicator 2, 54 was the number used as the numerator representing youth with IEPs who dropped out of high school. The total number of youth with IEPs enrolled in high school was 516, which was used as the denominator.</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54</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516</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11.83%</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2.90%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10.47%</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FSM’s drop-out definition is consistent for youth with IEPs and youth without IEPs.  Each FSM State Department of Education has policies and procedures in place for counting those youth with IEPs and youth without IEPs who dropped out.</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The definition of 'drop-out' in the FSM school systems for all youth is excessive unexcused absences or self-withdrawal, consistent with the IDEA 618 </w:t>
      </w:r>
      <w:r w:rsidRPr="005C29F8">
        <w:rPr>
          <w:rFonts w:cs="Arial"/>
          <w:color w:val="000000" w:themeColor="text1"/>
          <w:szCs w:val="16"/>
          <w:shd w:val="clear" w:color="auto" w:fill="FFFFFF"/>
        </w:rPr>
        <w:lastRenderedPageBreak/>
        <w:t>definition of a drop-out.  Each FSM State establishes procedures for self-withdrawal and determination of drop-out based on excessive unexcused absences:</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Chuuk State: 15 cumulative unexcused absences in the school year.</w:t>
      </w:r>
      <w:r w:rsidRPr="005C29F8">
        <w:rPr>
          <w:rFonts w:cs="Arial"/>
          <w:color w:val="000000" w:themeColor="text1"/>
          <w:szCs w:val="16"/>
          <w:shd w:val="clear" w:color="auto" w:fill="FFFFFF"/>
        </w:rPr>
        <w:br/>
        <w:t>Kosrae State: 8 cumulative unexcused absences in the school year.</w:t>
      </w:r>
      <w:r w:rsidRPr="005C29F8">
        <w:rPr>
          <w:rFonts w:cs="Arial"/>
          <w:color w:val="000000" w:themeColor="text1"/>
          <w:szCs w:val="16"/>
          <w:shd w:val="clear" w:color="auto" w:fill="FFFFFF"/>
        </w:rPr>
        <w:br/>
        <w:t>Pohnpei State: 25 cumulative unexcused absences in the school year.</w:t>
      </w:r>
      <w:r w:rsidRPr="005C29F8">
        <w:rPr>
          <w:rFonts w:cs="Arial"/>
          <w:color w:val="000000" w:themeColor="text1"/>
          <w:szCs w:val="16"/>
          <w:shd w:val="clear" w:color="auto" w:fill="FFFFFF"/>
        </w:rPr>
        <w:br/>
        <w:t>Yap State: 20 consecutive unexcused absences in the school year.</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41.00%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50.09%</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57.66%</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56.63%</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78.95%</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61.45%</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39.00%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54.09%</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55.76%</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59.40%</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77.46%</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60.41%</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100.00%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100.00%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lastRenderedPageBreak/>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br/>
        <w:t>Due to the COVID-19 impact on school operations, FSM did not administer its Spring 2020 state-wide assessments, as with the other educational systems in the U.S. states and entities.</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lastRenderedPageBreak/>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61.45%</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100.00%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60.41%</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100.00%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Due to the circumstances created by the COVID-19 pandemic, FSM did not report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4.00%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6.00%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8.00%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10.00%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7.00%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3.31%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4.20%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1.05%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3.33%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9.71%</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2005</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4.00%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6.00%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8.00%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10.00%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10.00%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3.00%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2.05%</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1.09%</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1.06%</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1.82%</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2.11%</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10.00%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10.00%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w:t>
      </w:r>
      <w:r w:rsidRPr="005C29F8">
        <w:rPr>
          <w:rFonts w:cs="Arial"/>
          <w:color w:val="000000" w:themeColor="text1"/>
          <w:szCs w:val="16"/>
        </w:rPr>
        <w:lastRenderedPageBreak/>
        <w:t xml:space="preserve">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br/>
        <w:t>Due to the COVID-19 impact on school operations, FSM did not administer its Spring 2020 state-wide assessments, as with the other educational systems in the U.S. states and entities.</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 xml:space="preserve">c. IEPs in regular assessment with </w:t>
            </w:r>
            <w:r w:rsidRPr="005C29F8">
              <w:rPr>
                <w:color w:val="000000" w:themeColor="text1"/>
              </w:rPr>
              <w:lastRenderedPageBreak/>
              <w:t>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9.71%</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10.00%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2.11%</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10.00%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Due to the circumstances created by the COVID-19 pandemic, FSM did not report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w:t>
      </w:r>
      <w:r w:rsidRPr="005C29F8">
        <w:rPr>
          <w:rFonts w:cs="Arial"/>
          <w:color w:val="000000" w:themeColor="text1"/>
          <w:szCs w:val="16"/>
        </w:rPr>
        <w:lastRenderedPageBreak/>
        <w:t>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The Federated States of Micronesia, National Department of Education (FSM NDOE) is a unitary education system with the delivery of special education and related services implemented in the four FSM island states: Chuuk, Kosrae, Pohnpei, and Yap. Given FSM's unique geographic context, NDOE has established a general supervision structure similar to a State Education Agency (SEA) and Local Education Agency (LEA) structure for administering, supervising, and monitoring the implementation of the Individuals with Disabilities Education Act (IDEA) requirements. NDOE serves as the SEA responsible for the general supervision of special education and related services delivered in the four island states through their Department of Education, which serve as the LEAs. FSM is therefore using the 4A calculation methodology of comparing the rates of suspensions and expulsions of greater than 10 days in a school year for children with IEPs among the four LEAs in FSM; while still reporting FSM as a unitary system - one district.</w:t>
      </w:r>
      <w:r w:rsidRPr="005C29F8">
        <w:rPr>
          <w:rFonts w:cs="Arial"/>
          <w:color w:val="000000" w:themeColor="text1"/>
          <w:szCs w:val="16"/>
        </w:rPr>
        <w:br/>
      </w:r>
      <w:r w:rsidRPr="005C29F8">
        <w:rPr>
          <w:rFonts w:cs="Arial"/>
          <w:color w:val="000000" w:themeColor="text1"/>
          <w:szCs w:val="16"/>
        </w:rPr>
        <w:br/>
        <w:t xml:space="preserve">FSM’s definition of “significant discrepancy” is a 2% difference between the four island states or LEAs. This is calculated by determining each LEA’s rate and then analyzing the rates to determine if any LEA’s rate is 2% more than the lowest LEA rate. A review of the data from year to year will provide additional information for revising, if needed, FSM’s “significant discrepancy” definition. This annual review will be conducted because FSM has been reporting in previous years “0” suspension/expulsion for greater than 10 days for children with disabilities. </w:t>
      </w:r>
      <w:r w:rsidRPr="005C29F8">
        <w:rPr>
          <w:rFonts w:cs="Arial"/>
          <w:color w:val="000000" w:themeColor="text1"/>
          <w:szCs w:val="16"/>
        </w:rPr>
        <w:br/>
      </w:r>
      <w:r w:rsidRPr="005C29F8">
        <w:rPr>
          <w:rFonts w:cs="Arial"/>
          <w:color w:val="000000" w:themeColor="text1"/>
          <w:szCs w:val="16"/>
        </w:rPr>
        <w:br/>
        <w:t>In 2018-2019, FSM reported "2" long-term suspension/expulsion greater than 10 days in its 618 Discipline data report for one FSM state/LEA.  The percentage calculated for this LEA was 1.34% (2/149).  The other three LEAs did not report any long-term suspension/expulsion greater than 10 days.  The difference between the LEAs therefore did not exceed the 2% "significant discrepancy" rate definition.</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D57DA" w:rsidP="00082667">
      <w:pPr>
        <w:rPr>
          <w:rFonts w:cs="Arial"/>
          <w:color w:val="000000" w:themeColor="text1"/>
          <w:szCs w:val="16"/>
        </w:rPr>
      </w:pP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Per OSEP's instructions, Indicator 4B is not applicable to FSM.</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FSM. </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92.00%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92.50%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92.75%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93.00%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93.50%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93.00%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94.04%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94.41%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93.72%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94.20%</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0.00%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0.31%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0.32%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0.35%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0.24%</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3.00%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5.24%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5.03%</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93.50%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0.00%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3.00%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 xml:space="preserve">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w:t>
      </w:r>
      <w:r w:rsidRPr="005C29F8">
        <w:rPr>
          <w:rFonts w:cs="Arial"/>
          <w:color w:val="000000" w:themeColor="text1"/>
          <w:szCs w:val="16"/>
        </w:rPr>
        <w:lastRenderedPageBreak/>
        <w:t>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1,623</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1,491</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4</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4</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79</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1,491</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1,623</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94.20%</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93.50%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91.87%</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1,623</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0.24%</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0.25%</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83</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1,623</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5.03%</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3.00%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5.11%</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5C29F8" w14:paraId="3FDCF912" w14:textId="77777777" w:rsidTr="0033429D">
        <w:trPr>
          <w:tblHeader/>
        </w:trPr>
        <w:tc>
          <w:tcPr>
            <w:tcW w:w="715" w:type="dxa"/>
          </w:tcPr>
          <w:p w14:paraId="383E6F3C" w14:textId="77777777" w:rsidR="009569B8" w:rsidRPr="005C29F8" w:rsidRDefault="009569B8" w:rsidP="004369B2">
            <w:pPr>
              <w:jc w:val="center"/>
              <w:rPr>
                <w:color w:val="000000" w:themeColor="text1"/>
              </w:rPr>
            </w:pPr>
            <w:r w:rsidRPr="005C29F8">
              <w:rPr>
                <w:b/>
                <w:color w:val="000000" w:themeColor="text1"/>
              </w:rPr>
              <w:t>Part</w:t>
            </w:r>
          </w:p>
        </w:tc>
        <w:tc>
          <w:tcPr>
            <w:tcW w:w="10080" w:type="dxa"/>
            <w:shd w:val="clear" w:color="auto" w:fill="auto"/>
          </w:tcPr>
          <w:p w14:paraId="4E3E1CA0" w14:textId="77777777" w:rsidR="009569B8" w:rsidRPr="005C29F8" w:rsidRDefault="009569B8" w:rsidP="004369B2">
            <w:pPr>
              <w:jc w:val="center"/>
              <w:rPr>
                <w:color w:val="000000" w:themeColor="text1"/>
              </w:rPr>
            </w:pPr>
            <w:r w:rsidRPr="005C29F8">
              <w:rPr>
                <w:b/>
                <w:color w:val="000000" w:themeColor="text1"/>
              </w:rPr>
              <w:t>Reasons for slippage, if applicable</w:t>
            </w:r>
          </w:p>
        </w:tc>
      </w:tr>
      <w:tr w:rsidR="005C29F8" w:rsidRPr="005C29F8" w14:paraId="1A9F60C6" w14:textId="77777777" w:rsidTr="00E21107">
        <w:tc>
          <w:tcPr>
            <w:tcW w:w="715" w:type="dxa"/>
            <w:vAlign w:val="center"/>
          </w:tcPr>
          <w:p w14:paraId="1B4C044E" w14:textId="77777777" w:rsidR="009569B8" w:rsidRPr="005C29F8" w:rsidRDefault="009569B8" w:rsidP="004369B2">
            <w:pPr>
              <w:jc w:val="center"/>
              <w:rPr>
                <w:b/>
                <w:color w:val="000000" w:themeColor="text1"/>
              </w:rPr>
            </w:pPr>
            <w:r w:rsidRPr="005C29F8">
              <w:rPr>
                <w:b/>
                <w:color w:val="000000" w:themeColor="text1"/>
              </w:rPr>
              <w:t>A</w:t>
            </w:r>
          </w:p>
        </w:tc>
        <w:tc>
          <w:tcPr>
            <w:tcW w:w="10080" w:type="dxa"/>
            <w:shd w:val="clear" w:color="auto" w:fill="auto"/>
          </w:tcPr>
          <w:p w14:paraId="4E4DD2DE" w14:textId="752834A8" w:rsidR="009569B8" w:rsidRPr="005C29F8" w:rsidRDefault="003D7F56" w:rsidP="004369B2">
            <w:pPr>
              <w:rPr>
                <w:color w:val="000000" w:themeColor="text1"/>
              </w:rPr>
            </w:pPr>
            <w:r w:rsidRPr="005C29F8">
              <w:rPr>
                <w:color w:val="000000" w:themeColor="text1"/>
              </w:rPr>
              <w:t>It is understood that the determination of where students receive their special education and related services is an individualized decision based on the IEP Team.</w:t>
            </w:r>
            <w:r w:rsidRPr="005C29F8">
              <w:rPr>
                <w:color w:val="000000" w:themeColor="text1"/>
              </w:rPr>
              <w:br/>
            </w:r>
            <w:r w:rsidRPr="005C29F8">
              <w:rPr>
                <w:color w:val="000000" w:themeColor="text1"/>
              </w:rPr>
              <w:br/>
              <w:t xml:space="preserve">The reason for the slippage or the decrease in the number of students with an IEP under 5A therefore was due to the IEP Team determining that these students required additional supports through special education resource room services, which would be accounted </w:t>
            </w:r>
            <w:r w:rsidRPr="005C29F8">
              <w:rPr>
                <w:color w:val="000000" w:themeColor="text1"/>
              </w:rPr>
              <w:lastRenderedPageBreak/>
              <w:t>for under the 40% to 79% inside the regular class LRE category.  As reported, FSM's FFY 2019 5B and 5C data were similar to its FFY 2018 5B and 5C data with no slippage from year to year.</w:t>
            </w:r>
            <w:r w:rsidRPr="005C29F8">
              <w:rPr>
                <w:color w:val="000000" w:themeColor="text1"/>
              </w:rPr>
              <w:br/>
            </w:r>
            <w:r w:rsidRPr="005C29F8">
              <w:rPr>
                <w:color w:val="000000" w:themeColor="text1"/>
              </w:rPr>
              <w:br/>
              <w:t>It should be noted that FSM's performance of 91.87% for 5A in FFY 2019 is significantly above the national data of 66.28% in FFY 2018 for Indicator 5A based on OSEP's 2020 FFY 2018 SPP/APR Indicator Analysis Booklet.</w:t>
            </w:r>
          </w:p>
        </w:tc>
      </w:tr>
    </w:tbl>
    <w:p w14:paraId="073B208C" w14:textId="4B79EDF3" w:rsidR="006C575D" w:rsidRPr="005C29F8" w:rsidRDefault="006C575D" w:rsidP="004369B2">
      <w:pPr>
        <w:rPr>
          <w:b/>
          <w:color w:val="000000" w:themeColor="text1"/>
        </w:rPr>
      </w:pPr>
      <w:r w:rsidRPr="005C29F8">
        <w:rPr>
          <w:b/>
          <w:color w:val="000000" w:themeColor="text1"/>
        </w:rPr>
        <w:lastRenderedPageBreak/>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75.00%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80.00%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85.00%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88.00%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90.00%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88.50%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67.67%</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67.67%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82.39%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81.90%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81.94%</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0.70%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0.60%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0.70%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2.26%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2.26%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90.00%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0.60%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 xml:space="preserve">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w:t>
      </w:r>
      <w:r w:rsidRPr="005C29F8">
        <w:rPr>
          <w:rFonts w:cs="Arial"/>
          <w:color w:val="000000" w:themeColor="text1"/>
          <w:szCs w:val="16"/>
        </w:rPr>
        <w:lastRenderedPageBreak/>
        <w:t>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131</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111</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111</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131</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81.94%</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90.00%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84.73%</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131</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0.60%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79.50%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89.86%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96.55%</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59.05%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54.88%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78.75%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79.31%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59.38%</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78.25%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78.25%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80.25%</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87.13%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85.53%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92.11%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96.88%</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65.25%</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48.57%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51.22%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58.62%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87.25%</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85.86%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91.78%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92.86%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68.30%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54.29%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59.76%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62.07%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59.38%</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87.00%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71.00%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90.00%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65.25%</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90.00%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75.00%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66</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0.00%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0.00%</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10</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15.15%</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lastRenderedPageBreak/>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50</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75.76%</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6</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9.09%</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60</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60</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96.55%</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87.00%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56</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66</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59.38%</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71.00%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84.85%</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1.52%</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22.73%</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44</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66.67%</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9.09%</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59</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60</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96.88%</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98.33%</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50</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66</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65.25%</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75.76%</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1.52%</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12</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50</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75.76%</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4.55%</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62</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63</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98.41%</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53</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66</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59.38%</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80.30%</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FSM continues to use the Early Childhood Outcomes Center's Child Outcomes Summary (COS) to report on a child's progress in the three outcome measures. A child who rates 6 or 7 is considered to be developing at age "comparable to age peers." The child's IEP Team, including the parent, Related Service Assistants (RSAs), and teachers, complete the COS. FSM uses multiple sources of information to assist the IEP Team in completing the COS, such as the FSM Inventory of Development (FSM-ID), parent interview, medical reports, evaluation reports, and teacher observations. The Special Education Coordinator from each FSM State/LEA, with assistance of the FSM National Department of Education (NDOE), Special Education Office monitors the implementation of the Early Childhood Outcome Measurement System guidelines to ensure the process for gathering the data are accurate, includes all children who meet the criteria for the measurements, and conducted within the specified timelines.</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9B37A2" w:rsidP="007D435F">
      <w:pPr>
        <w:rPr>
          <w:rFonts w:cs="Arial"/>
          <w:color w:val="000000" w:themeColor="text1"/>
          <w:szCs w:val="16"/>
        </w:rPr>
      </w:pP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39.00%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lastRenderedPageBreak/>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64.00%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58.58%</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59.23%</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67.49%</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55.20%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64.00%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964</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1,726</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55.20%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55.85%</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1,761</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98.01%</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The FSM parent survey used in FFY 2018 was the same as in previous years. The survey was an adapted version of the Early Childhood Outcomes (ECO) parent survey. The same process for dissemination and collection was conducted for parents of preschool-aged children with IEPs as with the school-age group.</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The FSM parent survey used in FFY 2019 was the same as in previous years. The survey was an adapted version of the Early Childhood Outcomes (ECO) parent survey. The same process for dissemination and collection was conducted for parents of preschool-aged children with IEPs as with the school-age group. </w:t>
      </w:r>
      <w:r w:rsidRPr="005C29F8">
        <w:rPr>
          <w:rFonts w:cs="Arial"/>
          <w:color w:val="000000" w:themeColor="text1"/>
          <w:szCs w:val="16"/>
        </w:rPr>
        <w:br/>
      </w:r>
      <w:r w:rsidRPr="005C29F8">
        <w:rPr>
          <w:rFonts w:cs="Arial"/>
          <w:color w:val="000000" w:themeColor="text1"/>
          <w:szCs w:val="16"/>
        </w:rPr>
        <w:br/>
        <w:t xml:space="preserve">Data Calculation Method. FSM used the same adapted ECO survey as in previous years. There are a total of six questions in the “FSM Parent Survey” related to parent involvement in their child’s education as a means of improving the services and results for children with disabilities. The six survey items request parents to choose one of three response categories: 1) satisfied/understood/included; 2) somewhat/ sometimes; or 3) not enough or never. Survey Item #1 asks the following: Have you been included as a full partner in making decisions about your child’s special education program? A response of "included" in the first response category for Survey Item #1 was used as the numerator to determine the percentage of parent respondents who reported that school facilitated parental involvement. </w:t>
      </w:r>
      <w:r w:rsidRPr="005C29F8">
        <w:rPr>
          <w:rFonts w:cs="Arial"/>
          <w:color w:val="000000" w:themeColor="text1"/>
          <w:szCs w:val="16"/>
        </w:rPr>
        <w:br/>
      </w:r>
      <w:r w:rsidRPr="005C29F8">
        <w:rPr>
          <w:rFonts w:cs="Arial"/>
          <w:color w:val="000000" w:themeColor="text1"/>
          <w:szCs w:val="16"/>
        </w:rPr>
        <w:br/>
        <w:t xml:space="preserve">Data Collection Method: As in previous years, each FSM State/LEA facilitated the data collection process for disseminating and collecting the parent surveys from parents of children with an IEP at the preschool, elementary, and secondary levels. </w:t>
      </w:r>
      <w:r w:rsidRPr="005C29F8">
        <w:rPr>
          <w:rFonts w:cs="Arial"/>
          <w:color w:val="000000" w:themeColor="text1"/>
          <w:szCs w:val="16"/>
        </w:rPr>
        <w:br/>
      </w:r>
      <w:r w:rsidRPr="005C29F8">
        <w:rPr>
          <w:rFonts w:cs="Arial"/>
          <w:color w:val="000000" w:themeColor="text1"/>
          <w:szCs w:val="16"/>
        </w:rPr>
        <w:br/>
        <w:t>Due to the COVID-19 pandemic, the data collection process was different in two of the four LEAs: Pohnpei State and Chuuk State. Due to school closures, these two LEAs utilized their special education staff to conduct the surveys via interviews through community or home visits. These two LEAs maximized the use of email and ship delivery to disseminate and collect the parent surveys from the outer islands. One of the LEAs included special education staff on the COVID-19 team that went to the outer islands via ship to share information about the COVID-19. The special education staff on the ship were able to meet with the parents to conduct and collect the surveys from island to island. The other two LEAs, Yap State and Kosrae State, continued their process of utilizing the Inter-Agency Council parent members to conduct the parent surveys via interviews, as in previous years. In all four LEAs, parents were given the option of having the surveys in their native language or in English or to have the survey read to them in their vernacular language to increase their understanding of the survey questions.</w:t>
      </w:r>
      <w:r w:rsidRPr="005C29F8">
        <w:rPr>
          <w:rFonts w:cs="Arial"/>
          <w:color w:val="000000" w:themeColor="text1"/>
          <w:szCs w:val="16"/>
        </w:rPr>
        <w:br/>
      </w:r>
      <w:r w:rsidRPr="005C29F8">
        <w:rPr>
          <w:rFonts w:cs="Arial"/>
          <w:color w:val="000000" w:themeColor="text1"/>
          <w:szCs w:val="16"/>
        </w:rPr>
        <w:br/>
        <w:t xml:space="preserve">It should be noted that the FSM NDOE and LEAs are working closely to ensure distance learning materials/packets aligned to the curriculum are being developed to be disseminated to the families. This is an ongoing effort with UNICEF and Micronesia Production to be able to respond to the learning </w:t>
      </w:r>
      <w:r w:rsidRPr="005C29F8">
        <w:rPr>
          <w:rFonts w:cs="Arial"/>
          <w:color w:val="000000" w:themeColor="text1"/>
          <w:szCs w:val="16"/>
        </w:rPr>
        <w:lastRenderedPageBreak/>
        <w:t>needs of all students during public health emergencies, such as the COVID-19 pandemic.</w:t>
      </w:r>
      <w:r w:rsidRPr="005C29F8">
        <w:rPr>
          <w:rFonts w:cs="Arial"/>
          <w:color w:val="000000" w:themeColor="text1"/>
          <w:szCs w:val="16"/>
        </w:rPr>
        <w:br/>
      </w:r>
      <w:r w:rsidRPr="005C29F8">
        <w:rPr>
          <w:rFonts w:cs="Arial"/>
          <w:color w:val="000000" w:themeColor="text1"/>
          <w:szCs w:val="16"/>
        </w:rPr>
        <w:br/>
        <w:t>FSM’s FFY 2019 response rate was 98.01% (1726/1761), a similar response rate compared to last year’s response rate at 98.60% (1692/1716).  The overall number of respondents is significant given the geographic remoteness of some areas within the FSM. All four island states or LEAs reported a high percentage of returned surveys, with two states/LEAs returning 100% of the surveys, one at 97.39%, and the fourth state/LEA at 95.46%.  FSM, therefore, demonstrated geographic, ethnic, and racial representation in respondents for its FFY 2019 parent survey compared to the demographics of children receiving special education services.</w:t>
      </w: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Per OSEP's instructions, Indicator 9 is not applicable to FSM.</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FSM. </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Per OSEP's instructions, Indicator 10 is not applicable to FSM.</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FSM. </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95.00%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96.62%</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99.07%</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97.59%</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290</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284</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97.59%</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97.93%</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6</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 xml:space="preserve">In FFY 2019, FSM reported 97.93% (284/290) significant compliance for Indicator 11, which represented six initial evaluations over timeline. The number of days beyond the timeline for all six initial evaluations was 1- 28 days over the 60-day timeline requirement. It should be noted that although late, all six initial evaluations were completed over timeline, as indicated in the "Account for children included in (a) but not included in (b)" section of this Indicator. The reason for the delay was due to non-adherence to the FSM Special Education Procedures, where teachers reported uncertainty of who was responsible for each step in the IEP process. </w:t>
      </w:r>
      <w:r w:rsidRPr="006620F3">
        <w:rPr>
          <w:color w:val="000000" w:themeColor="text1"/>
        </w:rPr>
        <w:br/>
      </w:r>
      <w:r w:rsidRPr="006620F3">
        <w:rPr>
          <w:color w:val="000000" w:themeColor="text1"/>
        </w:rPr>
        <w:br/>
        <w:t>The range of days beyond the timeline for the six initial evaluations completed over timeline included:</w:t>
      </w:r>
      <w:r w:rsidRPr="006620F3">
        <w:rPr>
          <w:color w:val="000000" w:themeColor="text1"/>
        </w:rPr>
        <w:br/>
      </w:r>
      <w:r w:rsidRPr="006620F3">
        <w:rPr>
          <w:color w:val="000000" w:themeColor="text1"/>
        </w:rPr>
        <w:br/>
        <w:t>Range of Days Over Timeline and # of Initial Evaluations Over Timeline</w:t>
      </w:r>
      <w:r w:rsidRPr="006620F3">
        <w:rPr>
          <w:color w:val="000000" w:themeColor="text1"/>
        </w:rPr>
        <w:br/>
        <w:t>1 day - 2</w:t>
      </w:r>
      <w:r w:rsidRPr="006620F3">
        <w:rPr>
          <w:color w:val="000000" w:themeColor="text1"/>
        </w:rPr>
        <w:br/>
        <w:t>6 days - 2</w:t>
      </w:r>
      <w:r w:rsidRPr="006620F3">
        <w:rPr>
          <w:color w:val="000000" w:themeColor="text1"/>
        </w:rPr>
        <w:br/>
        <w:t>12 days - 1</w:t>
      </w:r>
      <w:r w:rsidRPr="006620F3">
        <w:rPr>
          <w:color w:val="000000" w:themeColor="text1"/>
        </w:rPr>
        <w:br/>
        <w:t>28 days -1</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used the 60 day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Data Source: The evaluation data were taken from the FSM Student Information Tracking System (SITS) database system of all children for whom a parental consent to evaluate was received for the report year July 1, 2019 to June 30, 2020. The evaluation data are collected through each FSM State/LEA inputting the completion dates into the web-based FSM SITS, based on the completed FSM IDEA procedural forms.</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In FFY 2018, FSM reported 97.59% (284/291) substantial compliance for Indicator 11, which included seven initial evaluations over timeline. As reported in FSM’s FFY 2018 APR Indicator 11, all seven initial evaluations over timeline were completed between 1 day to 22 days over the 60-day timeline requirement. These seven individual noncompliance cases were from one FSM State/LEA, which resulted in FSM NDOE, the SEA, issuing a written notice of findings of noncompliance to the one LEA. Verification of correction to ensure that the LEA is correctly implementing the regulatory requirements was done through a review of the IEP documents, an on-site monitoring visit conducted in February 2020, and through the quarterly review of the Indicator 11 data in the FSM Student Information Tracking System (SITS). The on-site monitoring visit allowed the SEA to determine the source or issue of the noncompliance to provide technical assistance to the LEA. In addition, throughout the FFY 2019 reporting year, the quarterly reviews of subsequent or additional Indicator 11 data were monitored to ensure that the LEA was implementing the Indicator 11 regulatory 60-day timeline requirement. The LEA was able to demonstrate 100% compliance with Indicator 11 60-day timeline requirement, consistent with OSEP Memo 09-02. In fact, for FSM’s FFY 2019 APR Indicator 11 data, the LEA reported 100% compliance for the reporting period.</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As reported in FSM’s FFY 2018 APR Indicator 11, all seven initial evaluations over timeline were completed between 1 day to 22 days over the 60-day timeline requirement.  These seven individual noncompliance cases were from one FSM State/LEA.  FSM NDOE verified that each individual case of noncompliance was corrected through a review of the actual IEP documents sent to the FSM NDOE as a result of the findings of noncompliance issued to the LEA, and as reflected in the FSM SITS.  In addition, FSM NDOE’s on-site monitoring visit conducted in February 2020 provided technical assistance on the procedural requirements.  The individual case verification therefore was done through a review of the IEP documents of the seven individual cases and the data entered into the FSM SITS.  This is consistent with the individual case verification of correction requirement in OSEP Memo 09-02.</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FSM reported less than 100% compliance for FFY 2019, the FSM must report on the status of correction of noncompliance identified in FFY 2019 for this indicator. When reporting on the correction of noncompliance, FSM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FSM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FSM did not identify any findings of noncompliance in FFY 2019, although its FFY 2019 data reflect less than 100% compliance, provide an explanation of why FSM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51"/>
    <w:bookmarkEnd w:id="52"/>
    <w:p w14:paraId="79824C1D" w14:textId="3C301685" w:rsidR="00FE7D29" w:rsidRPr="0033429D" w:rsidRDefault="00056350" w:rsidP="00123D76">
      <w:pPr>
        <w:pStyle w:val="Heading2"/>
      </w:pPr>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YES</w:t>
      </w:r>
    </w:p>
    <w:p w14:paraId="27D98FA0" w14:textId="2B00F8EB" w:rsidR="00043AC9" w:rsidRPr="005C29F8" w:rsidRDefault="00CB482B" w:rsidP="004369B2">
      <w:pPr>
        <w:rPr>
          <w:b/>
          <w:color w:val="000000" w:themeColor="text1"/>
        </w:rPr>
      </w:pPr>
      <w:r w:rsidRPr="005C29F8">
        <w:rPr>
          <w:b/>
          <w:color w:val="000000" w:themeColor="text1"/>
        </w:rPr>
        <w:t xml:space="preserve">Provide an explanation of why it is not applicable below. </w:t>
      </w:r>
    </w:p>
    <w:p w14:paraId="6067BAAD" w14:textId="4CE13AD0" w:rsidR="00043AC9" w:rsidRDefault="00043AC9" w:rsidP="004369B2">
      <w:pPr>
        <w:rPr>
          <w:color w:val="000000" w:themeColor="text1"/>
        </w:rPr>
      </w:pPr>
      <w:r w:rsidRPr="005C29F8">
        <w:rPr>
          <w:color w:val="000000" w:themeColor="text1"/>
        </w:rPr>
        <w:t>Per OSEP's instructions, Indicator 12 is not applicable to FSM.  FSM is not an eligible entity under IDEA Part C.</w:t>
      </w:r>
    </w:p>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FSM. </w:t>
      </w: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3" w:name="_Toc384383363"/>
      <w:bookmarkStart w:id="5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5" w:name="_Toc384383364"/>
      <w:bookmarkStart w:id="56" w:name="_Toc392159332"/>
      <w:bookmarkEnd w:id="53"/>
      <w:bookmarkEnd w:id="5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88.00%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324</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324</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lastRenderedPageBreak/>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Data Source: The secondary transition data were taken from the completed Transition Services Record Review Summary forms of all youth with IEPs aged 16 and above for the report year July 1, 2019 to June 30, 2020. These completed forms were submitted to FSM-National Department of Education (NDOE). FSM-NDOE verified the submitted data with the youth with IEPs aged 16 and above in the FSM Student Information Tracking System (SITS) for the reporting year.</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A1B7304" w14:textId="62E0E544" w:rsidTr="00A947D9">
        <w:tc>
          <w:tcPr>
            <w:tcW w:w="3940" w:type="pct"/>
          </w:tcPr>
          <w:p w14:paraId="73B3F719" w14:textId="0391FF91" w:rsidR="006B4D98" w:rsidRPr="005C29F8" w:rsidRDefault="00AF30E8">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351FF0B8" w14:textId="0AE6898F" w:rsidR="00326C0B" w:rsidRPr="005C29F8" w:rsidRDefault="00AF30E8" w:rsidP="005F442C">
      <w:pPr>
        <w:rPr>
          <w:rFonts w:cs="Arial"/>
          <w:b/>
          <w:color w:val="000000" w:themeColor="text1"/>
          <w:szCs w:val="16"/>
        </w:rPr>
      </w:pPr>
      <w:r w:rsidRPr="005C29F8">
        <w:rPr>
          <w:rFonts w:cs="Arial"/>
          <w:b/>
          <w:color w:val="000000" w:themeColor="text1"/>
          <w:szCs w:val="16"/>
        </w:rPr>
        <w:t>If no, please explain</w:t>
      </w:r>
    </w:p>
    <w:p w14:paraId="2562A48D" w14:textId="1B6BD32F" w:rsidR="00326C0B" w:rsidRDefault="002B7490" w:rsidP="005F442C">
      <w:pPr>
        <w:rPr>
          <w:rFonts w:cs="Arial"/>
          <w:color w:val="000000" w:themeColor="text1"/>
          <w:szCs w:val="16"/>
        </w:rPr>
      </w:pPr>
      <w:r w:rsidRPr="005C29F8">
        <w:rPr>
          <w:rFonts w:cs="Arial"/>
          <w:color w:val="000000" w:themeColor="text1"/>
          <w:szCs w:val="16"/>
        </w:rPr>
        <w:t>FSM chooses to continue reporting Indicator 13 data for youth aged 16 and above with IEPs.</w:t>
      </w:r>
    </w:p>
    <w:p w14:paraId="735DB55A" w14:textId="18C77FF1" w:rsidR="00644AC8" w:rsidRPr="005C29F8" w:rsidRDefault="00644AC8" w:rsidP="005F442C">
      <w:pPr>
        <w:rPr>
          <w:rFonts w:cs="Arial"/>
          <w:b/>
          <w:color w:val="000000" w:themeColor="text1"/>
          <w:szCs w:val="16"/>
        </w:rPr>
      </w:pPr>
      <w:bookmarkStart w:id="57"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 xml:space="preserve">In FFY 2019, FSM was able to continue reporting 100% compliance with the Indicator 13 requirements.  The COVID-19 pandemic did impact school operations with some school closures or shortened hours beginning mid-March 2020.  FSM NDOE provided guidance on developing IEP amendments to ensure that the IDEA timelines were met.  If needed, the IEP reviews continued to be conducted through home visits to ensure that the IDEA timeline requirements were met.  Specifically, in Yap State, the outer islands did not close schools, but the main island closed schools mid-March 2020 until mid-May 2020.  In Kosrae State, schools were not closed but school hours were shortened due to the high school being used as a quarantine facility.  Kosrae State also invested in upgrading internet connection in the schools and community to support virtual learning, training, and meetings.  In Chuuk State and Pohnpei State, schools were closed from Mid-March until the end of the school year, but they ensured that the IDEA timelines were met for all required IEPs.  </w:t>
      </w:r>
      <w:r w:rsidRPr="005C29F8">
        <w:rPr>
          <w:rFonts w:cs="Arial"/>
          <w:color w:val="000000" w:themeColor="text1"/>
          <w:szCs w:val="16"/>
        </w:rPr>
        <w:br/>
      </w:r>
      <w:r w:rsidRPr="005C29F8">
        <w:rPr>
          <w:rFonts w:cs="Arial"/>
          <w:color w:val="000000" w:themeColor="text1"/>
          <w:szCs w:val="16"/>
        </w:rPr>
        <w:br/>
        <w:t>In addition, it should be noted that Yap State closed schools in September and October 2019 due to the Dengue fever public health emergency.  All schools in Yap were closed for these two months.</w:t>
      </w:r>
      <w:r w:rsidRPr="005C29F8">
        <w:rPr>
          <w:rFonts w:cs="Arial"/>
          <w:color w:val="000000" w:themeColor="text1"/>
          <w:szCs w:val="16"/>
        </w:rPr>
        <w:br/>
      </w:r>
      <w:r w:rsidRPr="005C29F8">
        <w:rPr>
          <w:rFonts w:cs="Arial"/>
          <w:color w:val="000000" w:themeColor="text1"/>
          <w:szCs w:val="16"/>
        </w:rPr>
        <w:br/>
        <w:t>At the beginning of school year 2020-2021, all schools went back to face-to-face instruction with some modification, such as continued shortened hours in Kosrae State and having cohort groups rotate instructional days in Pohnpei State.  As of this report submission, FSM has only identified one COVID-19 positive case which was an imported case on a ship that was an isolated case in the waters.  There has not been any community spread from this COVID-19 positive case, and FSM still is in COVID-19 Category 4, operating on a normal schedule.</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93C7E" w:rsidP="00212954">
      <w:pPr>
        <w:rPr>
          <w:rFonts w:cs="Arial"/>
          <w:color w:val="000000" w:themeColor="text1"/>
          <w:szCs w:val="16"/>
        </w:rPr>
      </w:pP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57"/>
    </w:p>
    <w:p w14:paraId="22761492" w14:textId="77777777" w:rsidR="005C50DB" w:rsidRPr="00D37503" w:rsidRDefault="005C50DB" w:rsidP="00A018D4">
      <w:pPr>
        <w:rPr>
          <w:szCs w:val="20"/>
        </w:rPr>
      </w:pPr>
      <w:bookmarkStart w:id="5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5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14.00%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3.38%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10.38%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22.22%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23.19%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20.91%</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55.00%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26.00%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20.95%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40.57%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40.28%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46.38%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38.18%</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34.00%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58.78%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90.57%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97.27%</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15.00%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50.00%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80.00%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5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102</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11</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18</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71</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102</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20.91%</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10.78%</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29</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102</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38.18%</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28.43%</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102</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102</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97.27%</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FSM reported slippage for Indicators 14A and 14B. By numbers, FSM reported a decrease of 12 leavers from 23 in FFY 2018 to 11 in FFY 2019 in higher education and a decrease by one leaver in competitive employment from 19 in FFY 2018 to 18 in FFY 2019.</w:t>
            </w:r>
            <w:r w:rsidRPr="005C29F8">
              <w:rPr>
                <w:rFonts w:cs="Arial"/>
                <w:color w:val="000000" w:themeColor="text1"/>
                <w:szCs w:val="16"/>
              </w:rPr>
              <w:br/>
            </w:r>
            <w:r w:rsidRPr="005C29F8">
              <w:rPr>
                <w:rFonts w:cs="Arial"/>
                <w:color w:val="000000" w:themeColor="text1"/>
                <w:szCs w:val="16"/>
              </w:rPr>
              <w:br/>
              <w:t>Stakeholders discussed that a consideration for the slippage in 14A and 14B was the emphasis in providing youth with IEPs opportunities for post-school employment. The change in the number of leavers in competitive employment was one less than the previous reporting period, but there was an increase in leavers in the “other employment” category by 12 from a performance of 53.64% (59/110) in FFY 2018 to 69.61% (71/102) in FFY 2019. Activities that focused on employment opportunities in each FSM state/LEA included:</w:t>
            </w:r>
            <w:r w:rsidRPr="005C29F8">
              <w:rPr>
                <w:rFonts w:cs="Arial"/>
                <w:color w:val="000000" w:themeColor="text1"/>
                <w:szCs w:val="16"/>
              </w:rPr>
              <w:br/>
            </w:r>
            <w:r w:rsidRPr="005C29F8">
              <w:rPr>
                <w:rFonts w:cs="Arial"/>
                <w:color w:val="000000" w:themeColor="text1"/>
                <w:szCs w:val="16"/>
              </w:rPr>
              <w:br/>
              <w:t>Yap State: Program collaborated with local businesses to offer on-the-job training for high school students. Focus has been on preparing students for employment.</w:t>
            </w:r>
            <w:r w:rsidRPr="005C29F8">
              <w:rPr>
                <w:rFonts w:cs="Arial"/>
                <w:color w:val="000000" w:themeColor="text1"/>
                <w:szCs w:val="16"/>
              </w:rPr>
              <w:br/>
            </w:r>
            <w:r w:rsidRPr="005C29F8">
              <w:rPr>
                <w:rFonts w:cs="Arial"/>
                <w:color w:val="000000" w:themeColor="text1"/>
                <w:szCs w:val="16"/>
              </w:rPr>
              <w:br/>
              <w:t xml:space="preserve">Pohnpei State: Program collaborated with local businesses to assist with job placements for seniors. The counselors facilitated the placements at the businesses. This could have contributed to the decrease in the number of leavers in higher education from 18 in FFY 2018 to nine in FFY 2019, and an increase in the number of leavers in competitive employment from two in FFY 2018 to seven in FFY 2019. </w:t>
            </w:r>
            <w:r w:rsidRPr="005C29F8">
              <w:rPr>
                <w:rFonts w:cs="Arial"/>
                <w:color w:val="000000" w:themeColor="text1"/>
                <w:szCs w:val="16"/>
              </w:rPr>
              <w:br/>
            </w:r>
            <w:r w:rsidRPr="005C29F8">
              <w:rPr>
                <w:rFonts w:cs="Arial"/>
                <w:color w:val="000000" w:themeColor="text1"/>
                <w:szCs w:val="16"/>
              </w:rPr>
              <w:br/>
              <w:t>In Chuuk, 84.62% (44/52) represented leavers in “other employment” from the lagoon and outer islands; an increase from 64.81% (35/54) in the same category in FFY 2018. There are limited opportunities for competitive employment on these islands where the leavers reside, which could have contributed to the slippage in 14A and 14B.</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Kosrae State: Program collaborated with local businesses to offer on-the-job training for high school students. Focus has been on preparing students for employment, which included working with the Workforce Development &amp; Skills Training (WD&amp;ST) program.</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lastRenderedPageBreak/>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FSM reported slippage for Indicators 14A and 14B. By numbers, FSM reported a decrease of 12 leavers from 23 in FFY 2018 to 11 in FFY 2019 in higher education and a decrease by one leaver in competitive employment from 19 in FFY 2018 to 18 in FFY 2019.</w:t>
            </w:r>
            <w:r w:rsidRPr="005C29F8">
              <w:rPr>
                <w:rFonts w:cs="Arial"/>
                <w:color w:val="000000" w:themeColor="text1"/>
                <w:szCs w:val="16"/>
              </w:rPr>
              <w:br/>
            </w:r>
            <w:r w:rsidRPr="005C29F8">
              <w:rPr>
                <w:rFonts w:cs="Arial"/>
                <w:color w:val="000000" w:themeColor="text1"/>
                <w:szCs w:val="16"/>
              </w:rPr>
              <w:br/>
              <w:t>Stakeholders discussed that a consideration for the slippage in 14A and 14B was the emphasis in providing youth with IEPs opportunities for post-school employment. The change in the number of leavers in competitive employment was one less than the previous reporting period, but there was an increase in leavers in the “other employment” category by 12 from a performance of 53.64% (59/110) in FFY 2018 to 69.61% (71/102) in FFY 2019. Activities that focused on employment opportunities in each FSM state/LEA included:</w:t>
            </w:r>
            <w:r w:rsidRPr="005C29F8">
              <w:rPr>
                <w:rFonts w:cs="Arial"/>
                <w:color w:val="000000" w:themeColor="text1"/>
                <w:szCs w:val="16"/>
              </w:rPr>
              <w:br/>
            </w:r>
            <w:r w:rsidRPr="005C29F8">
              <w:rPr>
                <w:rFonts w:cs="Arial"/>
                <w:color w:val="000000" w:themeColor="text1"/>
                <w:szCs w:val="16"/>
              </w:rPr>
              <w:br/>
              <w:t>Yap State: Program collaborated with local businesses to offer on-the-job training for high school students. Focus has been on preparing students for employment.</w:t>
            </w:r>
            <w:r w:rsidRPr="005C29F8">
              <w:rPr>
                <w:rFonts w:cs="Arial"/>
                <w:color w:val="000000" w:themeColor="text1"/>
                <w:szCs w:val="16"/>
              </w:rPr>
              <w:br/>
            </w:r>
            <w:r w:rsidRPr="005C29F8">
              <w:rPr>
                <w:rFonts w:cs="Arial"/>
                <w:color w:val="000000" w:themeColor="text1"/>
                <w:szCs w:val="16"/>
              </w:rPr>
              <w:br/>
              <w:t xml:space="preserve">Pohnpei State: Program collaborated with local businesses to assist with job placements for seniors. The counselors facilitated the placements at the businesses. This could have contributed to the decrease in the number of leavers in higher education from 18 in FFY 2018 to nine in FFY 2019, and an increase in the number of leavers in competitive employment from two in FFY 2018 to seven in FFY 2019. </w:t>
            </w:r>
            <w:r w:rsidRPr="005C29F8">
              <w:rPr>
                <w:rFonts w:cs="Arial"/>
                <w:color w:val="000000" w:themeColor="text1"/>
                <w:szCs w:val="16"/>
              </w:rPr>
              <w:br/>
            </w:r>
            <w:r w:rsidRPr="005C29F8">
              <w:rPr>
                <w:rFonts w:cs="Arial"/>
                <w:color w:val="000000" w:themeColor="text1"/>
                <w:szCs w:val="16"/>
              </w:rPr>
              <w:br/>
              <w:t>In Chuuk, 84.62% (44/52) represented leavers in “other employment” from the lagoon and outer islands; an increase from 64.81% (35/54) in the same category in FFY 2018. There are limited opportunities for competitive employment on these islands where the leavers reside, which could have contributed to the slippage in 14A and 14B.</w:t>
            </w:r>
            <w:r w:rsidRPr="005C29F8">
              <w:rPr>
                <w:rFonts w:cs="Arial"/>
                <w:color w:val="000000" w:themeColor="text1"/>
                <w:szCs w:val="16"/>
              </w:rPr>
              <w:br/>
            </w:r>
            <w:r w:rsidRPr="005C29F8">
              <w:rPr>
                <w:rFonts w:cs="Arial"/>
                <w:color w:val="000000" w:themeColor="text1"/>
                <w:szCs w:val="16"/>
              </w:rPr>
              <w:br/>
              <w:t>Kosrae State: Program collaborated with local businesses to offer on-the-job training for high school students. Focus has been on preparing students for employment, which included working with the Workforce Development &amp; Skills Training (WD&amp;ST) program.</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FSM demonstrated representation of its demographics with a 100% (102/102) return rate of its leavers responding to the post-school outcome survey in FFY 2019. In 2018-2019, there was a total of 108 exiters who left high school: 43 graduates with a high school diploma; 54 who dropped out; six who reached maximum age; and five who died. Of the 108 exiters who left high school, 103 were from the exit categories identified for the Indicator 14: post-school outcomes survey.  One leaver who dropped out from high school however returned to high school the following year and therefore was not included in the FFY 2019 post-school outcomes survey.  A total of 102 exiters from the 2018-2019 IDEA 618 exit data was therefore the total number of leavers for Indicator 14.</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0"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61" w:name="_Toc382082390"/>
      <w:bookmarkStart w:id="62" w:name="_Toc392159339"/>
      <w:bookmarkEnd w:id="60"/>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1"/>
      <w:bookmarkEnd w:id="62"/>
    </w:p>
    <w:p w14:paraId="7EA31497" w14:textId="77777777" w:rsidR="005B0B58" w:rsidRPr="005C29F8" w:rsidRDefault="005B0B58" w:rsidP="00A018D4">
      <w:pPr>
        <w:rPr>
          <w:color w:val="000000" w:themeColor="text1"/>
          <w:szCs w:val="20"/>
        </w:rPr>
      </w:pPr>
      <w:bookmarkStart w:id="63" w:name="_Toc381786822"/>
      <w:bookmarkStart w:id="64" w:name="_Toc382731911"/>
      <w:bookmarkStart w:id="65" w:name="_Toc382731912"/>
      <w:bookmarkStart w:id="66" w:name="_Toc392159340"/>
      <w:bookmarkEnd w:id="63"/>
      <w:bookmarkEnd w:id="6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5"/>
    <w:bookmarkEnd w:id="6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67" w:name="_Toc382731913"/>
      <w:bookmarkStart w:id="6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br/>
        <w:t>FSM did not hold any hearing resolution sessions during the historical data period. Per the Measurement instructions, States are not required to establish baseline or targets if the number of resolution sessions is less than 10.</w:t>
      </w:r>
    </w:p>
    <w:bookmarkEnd w:id="67"/>
    <w:bookmarkEnd w:id="6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06890" w:rsidP="00A018D4">
            <w:pPr>
              <w:jc w:val="center"/>
              <w:rPr>
                <w:rFonts w:cs="Arial"/>
                <w:color w:val="000000" w:themeColor="text1"/>
                <w:szCs w:val="16"/>
              </w:rPr>
            </w:pP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FSM reported fewer than ten resolution sessions held in FFY 2019. FSM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69" w:name="_Toc382731916"/>
      <w:bookmarkStart w:id="70"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69"/>
    <w:bookmarkEnd w:id="70"/>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5C29F8">
        <w:rPr>
          <w:rFonts w:cs="Arial"/>
          <w:color w:val="000000" w:themeColor="text1"/>
          <w:szCs w:val="16"/>
        </w:rPr>
        <w:br/>
      </w:r>
      <w:r w:rsidRPr="005C29F8">
        <w:rPr>
          <w:rFonts w:cs="Arial"/>
          <w:color w:val="000000" w:themeColor="text1"/>
          <w:szCs w:val="16"/>
        </w:rPr>
        <w:br/>
        <w:t>The FFY 2019 IDEA Part B SPP/APR and the SSIP Phase III Year 5 report (Indicator 17) development was through virtual FSM leadership meetings. As discussed earlier, although no cases of the corona virus of 2019 were tested positive in the four FSM LEAs in FFY 2019, FSM school calendars and schedules were altered beginning March 2020 to May 2020 to ensure precautionary measures of social distancing were practiced. FSM continues to be under a public health emergency declaration that has impacted travel to and from the FSM. Technical assistance providers from the mainland US and Guam continued their support to the FSM through virtual leadership meetings as follows:</w:t>
      </w:r>
      <w:r w:rsidRPr="005C29F8">
        <w:rPr>
          <w:rFonts w:cs="Arial"/>
          <w:color w:val="000000" w:themeColor="text1"/>
          <w:szCs w:val="16"/>
        </w:rPr>
        <w:br/>
      </w:r>
      <w:r w:rsidRPr="005C29F8">
        <w:rPr>
          <w:rFonts w:cs="Arial"/>
          <w:color w:val="000000" w:themeColor="text1"/>
          <w:szCs w:val="16"/>
        </w:rPr>
        <w:br/>
        <w:t xml:space="preserve">On November 24-25 and 27, 2020, with technical support from FSM’s US mainland and Guam partners, NDOE facilitated the FSM FFY 2019 APR Stakeholder meeting to discuss and analyze FSM’s FFY 2019 APR indicator performance data and the impact of COVID-19 on data collection and reporting by each of the LEA. The LEA teams were represented by APR team members who were representative of the broad stakeholders of each LEA. SPP/APR and SSIP data were presented and discussed for recommendations for improvement. </w:t>
      </w:r>
      <w:r w:rsidRPr="005C29F8">
        <w:rPr>
          <w:rFonts w:cs="Arial"/>
          <w:color w:val="000000" w:themeColor="text1"/>
          <w:szCs w:val="16"/>
        </w:rPr>
        <w:br/>
      </w:r>
      <w:r w:rsidRPr="005C29F8">
        <w:rPr>
          <w:rFonts w:cs="Arial"/>
          <w:color w:val="000000" w:themeColor="text1"/>
          <w:szCs w:val="16"/>
        </w:rPr>
        <w:br/>
        <w:t>On January 12-14, 2021, with technical support from FSM’s US mainland and Guam partners, NDOE facilitated the FSM National SPP/APR Leadership meeting for final considerations of FSM's FFY 2019 IDEA Part B APR, including explanation of slippage for FSM's FFY 2019 indicator performance that didn't meet target. The team reviewed FSM's performance on the established targets for Indicators 1-16 and discussed reasons for slippage where applicable. FSM's performance data were verified against all relevant data sources, including the official 618 data submissions to OSEP. Trend data of performance on all indicator targets for FSM national and each LEA were reviewed and discussed for consideration of setting new targets or revising improvement activities. It was agreed that the FFY 2019 targets for the Results indicators would not be revised for FFY 2019.</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br/>
        <w:t>FSM did not hold any mediations during the historical data period. Per the Measurement instructions, States are not required to establish baseline or targets if the number of mediations is less than 10.</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FSM reported fewer than ten mediations held in FFY 2019. FSM is not required to provide targets until any fiscal year in which ten or more mediations were held. </w:t>
      </w: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2ABCD262" w14:textId="28DFC030" w:rsidR="002F5708" w:rsidRDefault="002F5708" w:rsidP="002F5708"/>
    <w:p w14:paraId="2ADCA8F6" w14:textId="77777777" w:rsidR="002F5708" w:rsidRPr="002F5708" w:rsidRDefault="002F5708" w:rsidP="00004454"/>
    <w:p w14:paraId="79966887" w14:textId="1B6A93FB"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1"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Arthur Albert</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Assistant Secretary, Division of Special Services</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aalbert@dss.edu.fm</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691 320 8982</w:t>
      </w:r>
    </w:p>
    <w:bookmarkEnd w:id="71"/>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04/29/21  6:11:12 PM</w:t>
      </w:r>
    </w:p>
    <w:p w14:paraId="596B3C30" w14:textId="09465E6F" w:rsidR="00755AF7" w:rsidRPr="005C29F8" w:rsidRDefault="00755AF7" w:rsidP="00EE4B59">
      <w:pPr>
        <w:rPr>
          <w:rFonts w:cs="Arial"/>
          <w:color w:val="000000" w:themeColor="text1"/>
          <w:szCs w:val="16"/>
        </w:rPr>
      </w:pPr>
    </w:p>
    <w:p w14:paraId="3F974826" w14:textId="77777777" w:rsidR="006E503B" w:rsidRDefault="006E503B">
      <w:pPr>
        <w:spacing w:before="0" w:after="200" w:line="276" w:lineRule="auto"/>
        <w:rPr>
          <w:rFonts w:eastAsiaTheme="majorEastAsia" w:cstheme="majorBidi"/>
          <w:b/>
          <w:bCs/>
          <w:sz w:val="20"/>
          <w:szCs w:val="28"/>
        </w:rPr>
      </w:pPr>
      <w:r>
        <w:br w:type="page"/>
      </w:r>
    </w:p>
    <w:p w14:paraId="62BBD135" w14:textId="07400F4A" w:rsidR="002F5708" w:rsidRDefault="002F5708" w:rsidP="002F5708">
      <w:pPr>
        <w:pStyle w:val="Heading1"/>
      </w:pPr>
      <w:r w:rsidRPr="00004454">
        <w:lastRenderedPageBreak/>
        <w:t>ED attachments</w:t>
      </w:r>
    </w:p>
    <w:p w14:paraId="76019688" w14:textId="35F8DE56" w:rsidR="002F5708" w:rsidRDefault="002F5708" w:rsidP="002F5708"/>
    <w:p w14:paraId="277657B2" w14:textId="6A9D8399" w:rsidR="002F5708" w:rsidRPr="002F5708" w:rsidRDefault="00004454" w:rsidP="00004454">
      <w:r>
        <w:object w:dxaOrig="1508" w:dyaOrig="983" w14:anchorId="01FEBE77">
          <v:shape id="_x0000_i1026" type="#_x0000_t75" alt="FSM-B-Dispute_resolution-2019-20" style="width:75.75pt;height:48.75pt" o:ole="">
            <v:imagedata r:id="rId12" o:title=""/>
          </v:shape>
          <o:OLEObject Type="Embed" ProgID="Acrobat.Document.DC" ShapeID="_x0000_i1026" DrawAspect="Icon" ObjectID="_1689084297" r:id="rId13"/>
        </w:object>
      </w:r>
      <w:r w:rsidR="00350881">
        <w:tab/>
      </w:r>
      <w:r w:rsidR="0034284F">
        <w:object w:dxaOrig="1376" w:dyaOrig="893" w14:anchorId="65459288">
          <v:shape id="_x0000_i1032" type="#_x0000_t75" alt="fm-resultsmatrix-2021bent" style="width:69pt;height:44.25pt" o:ole="">
            <v:imagedata r:id="rId14" o:title=""/>
          </v:shape>
          <o:OLEObject Type="Embed" ProgID="Acrobat.Document.DC" ShapeID="_x0000_i1032" DrawAspect="Icon" ObjectID="_1689084298" r:id="rId15"/>
        </w:object>
      </w:r>
      <w:r w:rsidR="00350881">
        <w:tab/>
      </w:r>
      <w:r w:rsidR="007B40F7">
        <w:tab/>
      </w:r>
      <w:r>
        <w:object w:dxaOrig="1508" w:dyaOrig="983" w14:anchorId="53136420">
          <v:shape id="_x0000_i1028" type="#_x0000_t75" alt="FM-2021DataRubricPartB" style="width:75.75pt;height:48.75pt" o:ole="">
            <v:imagedata r:id="rId16" o:title=""/>
          </v:shape>
          <o:OLEObject Type="Embed" ProgID="Excel.Sheet.12" ShapeID="_x0000_i1028" DrawAspect="Icon" ObjectID="_1689084299" r:id="rId17"/>
        </w:object>
      </w:r>
    </w:p>
    <w:sectPr w:rsidR="002F5708" w:rsidRPr="002F5708"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AC83" w14:textId="77777777" w:rsidR="00475E06" w:rsidRDefault="00475E06" w:rsidP="000802F7">
      <w:pPr>
        <w:spacing w:before="0" w:after="0"/>
      </w:pPr>
      <w:r>
        <w:separator/>
      </w:r>
    </w:p>
  </w:endnote>
  <w:endnote w:type="continuationSeparator" w:id="0">
    <w:p w14:paraId="74090AA5" w14:textId="77777777" w:rsidR="00475E06" w:rsidRDefault="00475E06" w:rsidP="000802F7">
      <w:pPr>
        <w:spacing w:before="0" w:after="0"/>
      </w:pPr>
      <w:r>
        <w:continuationSeparator/>
      </w:r>
    </w:p>
  </w:endnote>
  <w:endnote w:type="continuationNotice" w:id="1">
    <w:p w14:paraId="4A827B5E" w14:textId="77777777" w:rsidR="00475E06" w:rsidRDefault="00475E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CA54" w14:textId="77777777" w:rsidR="00475E06" w:rsidRDefault="00475E06" w:rsidP="000802F7">
      <w:pPr>
        <w:spacing w:before="0" w:after="0"/>
      </w:pPr>
      <w:r>
        <w:separator/>
      </w:r>
    </w:p>
  </w:footnote>
  <w:footnote w:type="continuationSeparator" w:id="0">
    <w:p w14:paraId="7B734370" w14:textId="77777777" w:rsidR="00475E06" w:rsidRDefault="00475E06" w:rsidP="000802F7">
      <w:pPr>
        <w:spacing w:before="0" w:after="0"/>
      </w:pPr>
      <w:r>
        <w:continuationSeparator/>
      </w:r>
    </w:p>
  </w:footnote>
  <w:footnote w:type="continuationNotice" w:id="1">
    <w:p w14:paraId="65818A29" w14:textId="77777777" w:rsidR="00475E06" w:rsidRDefault="00475E0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C2CCD"/>
    <w:multiLevelType w:val="hybridMultilevel"/>
    <w:tmpl w:val="1FFC4E9A"/>
    <w:lvl w:ilvl="0" w:tplc="96ACB54C">
      <w:start w:val="1"/>
      <w:numFmt w:val="decimal"/>
      <w:lvlText w:val="%1."/>
      <w:lvlJc w:val="left"/>
      <w:pPr>
        <w:ind w:left="720" w:hanging="360"/>
      </w:pPr>
      <w:rPr>
        <w:rFonts w:ascii="Segoe UI Light" w:eastAsiaTheme="minorHAnsi" w:hAnsi="Segoe UI Light" w:cs="Segoe UI Light"/>
      </w:rPr>
    </w:lvl>
    <w:lvl w:ilvl="1" w:tplc="CA689FE0">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59EC29DA">
      <w:start w:val="1"/>
      <w:numFmt w:val="bullet"/>
      <w:lvlText w:val="‒"/>
      <w:lvlJc w:val="left"/>
      <w:pPr>
        <w:ind w:left="2880" w:hanging="360"/>
      </w:pPr>
      <w:rPr>
        <w:rFonts w:ascii="Segoe UI Light" w:hAnsi="Segoe UI Ligh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23"/>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8"/>
  </w:num>
  <w:num w:numId="13">
    <w:abstractNumId w:val="7"/>
  </w:num>
  <w:num w:numId="14">
    <w:abstractNumId w:val="13"/>
  </w:num>
  <w:num w:numId="15">
    <w:abstractNumId w:val="11"/>
  </w:num>
  <w:num w:numId="16">
    <w:abstractNumId w:val="20"/>
  </w:num>
  <w:num w:numId="17">
    <w:abstractNumId w:val="2"/>
  </w:num>
  <w:num w:numId="18">
    <w:abstractNumId w:val="5"/>
  </w:num>
  <w:num w:numId="19">
    <w:abstractNumId w:val="1"/>
  </w:num>
  <w:num w:numId="20">
    <w:abstractNumId w:val="16"/>
  </w:num>
  <w:num w:numId="21">
    <w:abstractNumId w:val="22"/>
  </w:num>
  <w:num w:numId="22">
    <w:abstractNumId w:val="4"/>
  </w:num>
  <w:num w:numId="23">
    <w:abstractNumId w:val="3"/>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45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70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284F"/>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0881"/>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06"/>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03B"/>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0F7"/>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4DCC"/>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DF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9BCB2-F7D2-45AB-BC15-153F9743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26921</Words>
  <Characters>153450</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2021-07-23T17:03:00Z</dcterms:created>
  <dcterms:modified xsi:type="dcterms:W3CDTF">2021-07-29T21:14:00Z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32686c87-88ee-4155-ab29-e8dcff16f14c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