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Federated States of Micronesia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Executive Summary includes a description of the Federated States of Micronesia (FSM) IDEA Part B State Performance Plan (SPP) and Annual Performance Report (APR) for FFY 2020. A description of FSM's General Supervision System, Technical Assistance System, Professional Development System, Stakeholder Involvement, and Reporting to the Public are provided separately within this Introduction section of FSM's FFY 2020 SPP/APR.</w:t>
      </w:r>
      <w:r w:rsidRPr="00781112">
        <w:rPr>
          <w:rFonts w:cs="Arial"/>
          <w:color w:val="000000" w:themeColor="text1"/>
          <w:szCs w:val="16"/>
        </w:rPr>
        <w:br/>
      </w:r>
      <w:r w:rsidRPr="00781112">
        <w:rPr>
          <w:rFonts w:cs="Arial"/>
          <w:color w:val="000000" w:themeColor="text1"/>
          <w:szCs w:val="16"/>
        </w:rPr>
        <w:br/>
        <w:t>This FFY 2020 SPP/APR includes new Targets established with input from stakeholders for FFY 2020 to FFY 2025. Targets for Results Indicators 1 to 8 and 14-16 were established, with consideration of rigor and achievability. As required, Targets for Compliance Indicators 11 and 13 are set at 100%. As per OSEP's instructions, the following Indicators do not apply to the FSM: 4B, 9, 10, and 12.</w:t>
      </w:r>
      <w:r w:rsidRPr="00781112">
        <w:rPr>
          <w:rFonts w:cs="Arial"/>
          <w:color w:val="000000" w:themeColor="text1"/>
          <w:szCs w:val="16"/>
        </w:rPr>
        <w:br/>
      </w:r>
      <w:r w:rsidRPr="00781112">
        <w:rPr>
          <w:rFonts w:cs="Arial"/>
          <w:color w:val="000000" w:themeColor="text1"/>
          <w:szCs w:val="16"/>
        </w:rPr>
        <w:br/>
        <w:t>FSM's FFY 2019 APR includes performance for the 11 Results and 2 Compliance Indicators of the 16 SPP Indicator measures that apply to FSM and required explanation of slippage for Indicators that FSM Targets were not met. FSM did not meet all Results indicator targets in FFY 2019. With stakeholder input, FSM will established new baseline and targets for the FFY 2020 APR results indicators, using performance data reported in previous FFY APRs.</w:t>
      </w:r>
      <w:r w:rsidRPr="00781112">
        <w:rPr>
          <w:rFonts w:cs="Arial"/>
          <w:color w:val="000000" w:themeColor="text1"/>
          <w:szCs w:val="16"/>
        </w:rPr>
        <w:br/>
      </w:r>
      <w:r w:rsidRPr="00781112">
        <w:rPr>
          <w:rFonts w:cs="Arial"/>
          <w:color w:val="000000" w:themeColor="text1"/>
          <w:szCs w:val="16"/>
        </w:rPr>
        <w:br/>
        <w:t>As per OSEP’s instructions, for Indicator 17, FSM's Part B State Systemic Improvement Plan (SSIP), FSM is submitting its FFY 2020 performance and SSIP Phase III, Year Six, along with the APR Indicators on this submission on February 1, 2022.</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Federated States of Micronesia National Department of Education (FSM-NDOE) is the government entity responsible for the general supervision and monitoring, including the identification of noncompliance with the IDEA requirements, to provide special education and related services for children with disabilities. FSM-NDOE is a unitary education system with the delivery of special education and related services implemented within the four FSM island states: Chuuk, Kosrae, Pohnpei, and Yap. Given FSM’s unique geographic context, NDOE has established a general supervision structure similar to a State Education Agency (SEA) and Local Education Agency (LEA) structure for administering, supervising, and monitoring the implementation of the IDEA requirements.</w:t>
      </w:r>
      <w:r w:rsidRPr="00781112">
        <w:rPr>
          <w:rFonts w:cs="Arial"/>
          <w:color w:val="000000" w:themeColor="text1"/>
          <w:szCs w:val="16"/>
        </w:rPr>
        <w:br/>
      </w:r>
      <w:r w:rsidRPr="00781112">
        <w:rPr>
          <w:rFonts w:cs="Arial"/>
          <w:color w:val="000000" w:themeColor="text1"/>
          <w:szCs w:val="16"/>
        </w:rPr>
        <w:br/>
        <w:t>FSM's administrative structure for the implementation of IDEA Part B requirements includes the NDOE as the SEA and the four FSM islands states as the LEAs. NDOE has three organizational divisions, Division of Formal &amp; Non-Formal Education, Division of Quality &amp; Effectiveness, and Division of Special Services. The Division of Special Services is responsible for the implementation of IDEA Part B requirements and have in place its FSM special education procedural manual and notice of procedural safeguards, consistent with the IDEA Part B requirements that were disseminated and implemented in all four LEAs. NDOE also has in place a dispute resolution system that meets the IDEA Part B requirements that were disseminated and implemented in each LEA.</w:t>
      </w:r>
      <w:r w:rsidRPr="00781112">
        <w:rPr>
          <w:rFonts w:cs="Arial"/>
          <w:color w:val="000000" w:themeColor="text1"/>
          <w:szCs w:val="16"/>
        </w:rPr>
        <w:br/>
      </w:r>
      <w:r w:rsidRPr="00781112">
        <w:rPr>
          <w:rFonts w:cs="Arial"/>
          <w:color w:val="000000" w:themeColor="text1"/>
          <w:szCs w:val="16"/>
        </w:rPr>
        <w:br/>
        <w:t>As the SEA, NDOE assures that the IDEA procedural requirements are being met in each LEA. NDOE has developed and implemented a Continuous Improvement Monitoring System (CIMS) as an ongoing mechanism to assess the impact of special education and related services on improving results for children with disabilities in the FSM. The NDOE monitoring system assesses compliance and performance of each LEA based on IDEA 2004, the Part B regulations, OSEP Memorandum 09-02, and FSM Public Law 14-08 of June 2005. FSM Public Law 14-08 provided the amendments to FSM Public Law 8-21 of 1993 ensuring policy alignment with IDEA. Aligned with OSEP’s Continuous Improvement Focused Monitoring System (CIFMS), the FSM CIMS includes two processes for identifying compliance and performance of each LEA utilizing the IDEA Part B SPP indicators and measurements and related IDEA requirements: on-site and off-site monitoring. Both on-site and off-site monitoring involves review and verification of correction of non-compliance and continuing adherence to the requirements from the authorities listed above. In addition, FSM's dispute resolution system data, in particular, complaint and due process hearing requests, are reviewed for the identification of noncompliance findings.</w:t>
      </w:r>
      <w:r w:rsidRPr="00781112">
        <w:rPr>
          <w:rFonts w:cs="Arial"/>
          <w:color w:val="000000" w:themeColor="text1"/>
          <w:szCs w:val="16"/>
        </w:rPr>
        <w:br/>
      </w:r>
      <w:r w:rsidRPr="00781112">
        <w:rPr>
          <w:rFonts w:cs="Arial"/>
          <w:color w:val="000000" w:themeColor="text1"/>
          <w:szCs w:val="16"/>
        </w:rPr>
        <w:br/>
        <w:t>Consistent with OSEP Memo 09-02, for child-specific regulatory noncompliance, demonstration of correction is verified through a review of additional data related to the regulatory citation that demonstrates 100% compliance with the requirement and all child-specific instances of noncompliance verified as corrected. For system noncompliance, evidence of correction of noncompliance includes documentation of revised LEA policies or procedures and/or practices and evidence that such required/recommended policies or procedures and/or practices to be developed, implemented, or revised are in fact implemented. An LEA showing documents or data reports noting correction of noncompliance that are verified will be determined to have corrected noncompliance issued to that respective LEA.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Given FSM’s unique geographic context, NDOE has in place a mechanism to ensure timely delivery of high quality, evidenced based technical assistance and support to each island state/LEA. NDOE implements a reporting mechanism to identify and prioritize technical assistance and training needs in each LEA through the annual LEA application for IDEA Part B funding, quarterly progress reporting, and periodical leadership meetings, such as SPP/APR and SSIP meetings and NDOE Division of Formal and Non-Formal Education meetings or workshops where issues affecting children with disabilities are discussed. In addition, NDOE and Division of Special Services are actively engaged with international development partners in coordinating and planning of training supports for Early Childhood Special Education teachers at the LEA level.</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LEA application for IDEA Part B funding includes the development and implementation of a Local Performance Plan (LPP) that is aligned to the FSM SPP and developed with stakeholder input. Each LEA has in place a special education advisory council or an inter-agency council that meets the membership requirements of the IDEA Part B State Advisory Panel for Special Education. The LEA special education advisory council reviews LEA data and performance on the FSM SPP indicator measures and provides input to LEA target setting and development and implementation of improvement activities. The advisory council reviews the LEA quarterly progress reports of LEA performance on indicator targets before submission to NDOE. The LEA targets are aligned to and support meeting FSM’s SPP targets. The LEA application also includes a budget that reflects the needed funding support for its prioritized improvement activities under each indicator measure.</w:t>
      </w:r>
      <w:r w:rsidRPr="00781112">
        <w:rPr>
          <w:rFonts w:cs="Arial"/>
          <w:color w:val="000000" w:themeColor="text1"/>
          <w:szCs w:val="16"/>
        </w:rPr>
        <w:br/>
      </w:r>
      <w:r w:rsidRPr="00781112">
        <w:rPr>
          <w:rFonts w:cs="Arial"/>
          <w:color w:val="000000" w:themeColor="text1"/>
          <w:szCs w:val="16"/>
        </w:rPr>
        <w:br/>
        <w:t>During the convenings of the FSM National APR Leadership and the SPP/SSIP Leadership teams, both of which comprised of representatives from NDOE and the four LEA advisory councils, both teams review LEA LPP data and information for technical assistance and training implementation and needs. The teams identify LEA-specific needs and national initiatives for allocating resources. NDOE also serves as the conduit for accessing local, regional, international, and national resources, including OSEP-funded centers, to support the LEA-specific and national technical assistance and training needs.</w:t>
      </w:r>
      <w:r w:rsidRPr="00781112">
        <w:rPr>
          <w:rFonts w:cs="Arial"/>
          <w:color w:val="000000" w:themeColor="text1"/>
          <w:szCs w:val="16"/>
        </w:rPr>
        <w:br/>
      </w:r>
      <w:r w:rsidRPr="00781112">
        <w:rPr>
          <w:rFonts w:cs="Arial"/>
          <w:color w:val="000000" w:themeColor="text1"/>
          <w:szCs w:val="16"/>
        </w:rPr>
        <w:br/>
        <w:t>For this reporting period, the APR and SPP/SSIP Leadership meetings were all held virtually. Although no cases of the corona virus of 2019 were tested positive in the four FSM LEAs, FSM school calendars and schedules were altered beginning March to May 2020 to ensure precautionary measures of social distancing were practiced. However, throughout this reporting period, FSM school calendars were back on regular face-to-face instructions, but with continued pre-cautionary measures still in place to ensure a ready and efficient transition back to an altered schedule in case of an active case of corona virus of 2019 is detected on any one of the LEA. Technical assistance providers from mainland US and Guam assisted to facilitate virtual leadership meetings with LEA stakeholders to discuss priorities and TA deliveries.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Given FSM’s unique geographic context, NDOE has mechanisms in place to ensure that service providers have the skills to effectively provide special education and related services that improve results for children with disabilities. With input from the LEAs, NDOE establishes the minimum professional standards and assessment for the certification of all public school teachers and the content standards and assessment for all students. In addition, Title 40 of the FSM code requires all schools in the FSM to meet required minimum standards and undergo a process of accreditation. The purpose of FSM’s accreditation is to ensure all schools provide all students an environment that is conducive to learning, with the ultimate goal to raise the level of student academic performance. This purpose is especially important for effectively providing appropriate services for children with disabilities, as the majority of FSM’s children with disabilities are in general education classrooms for most of the school day.</w:t>
      </w:r>
      <w:r w:rsidRPr="00781112">
        <w:rPr>
          <w:rFonts w:cs="Arial"/>
          <w:color w:val="000000" w:themeColor="text1"/>
          <w:szCs w:val="16"/>
        </w:rPr>
        <w:br/>
      </w:r>
      <w:r w:rsidRPr="00781112">
        <w:rPr>
          <w:rFonts w:cs="Arial"/>
          <w:color w:val="000000" w:themeColor="text1"/>
          <w:szCs w:val="16"/>
        </w:rPr>
        <w:br/>
        <w:t>The FSM accreditation process includes a review of six required minimum standards: (1) Leadership; (2) Teacher Performance; (3) Data Management; (4) National Curriculum Standards, Benchmarks and Student Learning Outcomes; (5) School Campus, Classrooms and Facilities; and (6) School Improvement Planning. The review is designed to help schools improve the educational services and opportunities for students, which includes deliberate professional development for improving teacher performance. Each school, inclusive of early childhood education, develops and implements a School Improvement Plan (SIP - Standard #6). The SIP contains a comprehensive set of data on various aspects of the school, including student achievement and attendance, teacher qualifications and professional development, and resource inventories. These data are analyzed to show trends, strengths, and weaknesses, and to prioritize professional development for administrators and teachers to ensure FSM reaches the ultimate goal of raising academic achievement for all students.</w:t>
      </w:r>
      <w:r w:rsidRPr="00781112">
        <w:rPr>
          <w:rFonts w:cs="Arial"/>
          <w:color w:val="000000" w:themeColor="text1"/>
          <w:szCs w:val="16"/>
        </w:rPr>
        <w:br/>
      </w:r>
      <w:r w:rsidRPr="00781112">
        <w:rPr>
          <w:rFonts w:cs="Arial"/>
          <w:color w:val="000000" w:themeColor="text1"/>
          <w:szCs w:val="16"/>
        </w:rPr>
        <w:br/>
        <w:t>FSM’s Project LIFT (Literacy Intervention for FSM Leaders of Tomorrow) is one of FSM’s major National Initiatives that supports FSM’s accreditation process for improving educational results for children with disabilities, as well as children without disabilities. As FSM’s Response to Intervention (RTI) Initiative, Project LIFT has identified pilot schools to develop and implement the RTI framework within their SIP. Project LIFT purposefully plans for teacher and support personnel training, coaching, and resource supports in the pilot schools for student screening and assessment, student progress monitoring, and research based instructional intervention programs for improving literacy skills for children in early childhood education (ECE) through fifth grade.</w:t>
      </w:r>
      <w:r w:rsidRPr="00781112">
        <w:rPr>
          <w:rFonts w:cs="Arial"/>
          <w:color w:val="000000" w:themeColor="text1"/>
          <w:szCs w:val="16"/>
        </w:rPr>
        <w:br/>
      </w:r>
      <w:r w:rsidRPr="00781112">
        <w:rPr>
          <w:rFonts w:cs="Arial"/>
          <w:color w:val="000000" w:themeColor="text1"/>
          <w:szCs w:val="16"/>
        </w:rPr>
        <w:br/>
        <w:t>NDOE, FSM’s conduit for accessing local, regional, and national resources, has engaged in several OSEP-funded regional professional development grants to improve the knowledge and skills of service providers working with children with disabilities. The Pacific Assessment Consortium (PAC6) served to support the development and implementation of FSM’s Alternate Assessment based on Alternate Achievement Standards (AA-AAS), which included teacher training. The Pacific Consortium for Instructional Materials Accessibility Project (Pacific CIMAP) provided technical support and training for teachers and related service personnel to ensure children with print disabilities have the required timely accessible materials. The Pacific Vision Instruction Project (Pacific VIP), an OSEP personnel preparation grant, is another regional project with the outcome of developing personnel in the area of vision education and orientation and mobility for providing educational services for children with visual impairments. These OSEP-funded grants, to name a few, have had significant impact on FSM’s personnel capacity to provide appropriate services for children with disabilities. In 2017, the College of the Marshall Islands partnered with University of Hawaii at Manoa Center on Disabilities Studies to deliver a bachelor's degree training program on Deaf Education and Severe Disabilities. This project is titled Navigating Student Success in the Pacific (NSSP) and 14 FSM scholars enrolled and 13 completed in Spring 2021 with 1 on Dean's List and 6 on Honor's List.</w:t>
      </w:r>
      <w:r w:rsidRPr="00781112">
        <w:rPr>
          <w:rFonts w:cs="Arial"/>
          <w:color w:val="000000" w:themeColor="text1"/>
          <w:szCs w:val="16"/>
        </w:rPr>
        <w:br/>
      </w:r>
      <w:r w:rsidRPr="00781112">
        <w:rPr>
          <w:rFonts w:cs="Arial"/>
          <w:color w:val="000000" w:themeColor="text1"/>
          <w:szCs w:val="16"/>
        </w:rPr>
        <w:br/>
        <w:t>NDOE's two new personnel development projects funded by US DOE OSEP, titled Certificate in Educational Leadership, Policy, and Practice (CELPP) and CURRENT, rolled out in 2020 and 2021, respectively, are intended to improve the skills of teachers and education leaders to better improved results for children with disabilities throughout the FSM school system.</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w:t>
      </w:r>
      <w:r w:rsidRPr="00781112">
        <w:rPr>
          <w:rFonts w:cs="Arial"/>
          <w:color w:val="000000" w:themeColor="text1"/>
          <w:szCs w:val="16"/>
        </w:rPr>
        <w:lastRenderedPageBreak/>
        <w:t xml:space="preserve">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391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There are State Advisory Councils in all four states. In one LEA (Kosrae State), the Interagency Council is the council that play the same role of the Advisory Council. The AC in each LEA work closely with the Special Education program in representing parents and their respective communities in planning and advising the program in delivery of services. The AC officers and members are included in the LEA exercises to develop annual Local Performance Plans (LPP) and Local Systemic Improvement Plan (LSIP) which also required the signature of the Chairman or a designated representative on the final plan which include both the LPP and the LSIP. In virtual meetings leading up the final FSM FFY 2020 APR, LEA AC members have been involved in the calls with NDOE and consultants from Guam CEDDERS and SAI in analyzing and setting targets for the SEA as well as each LEA. The AC Chairman also signs the proposed budget for the LEA for the upcoming fiscal year.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ongoing activities related to onsite technical assistance and community meetings with parents and other stakeholders during onsite verification and monitoring and public hearings were implemented to increase capacity of diverse groups of parents to support the development of implementation activities to improve outcomes of CWD. The parent survey conducted annually as part of the APR Indicator 8 requirement continues to be a source for NDOE to gauge the level of participation and engagement of parents in the process. In addition, the 2 newly funded personnel development projects by OSEP, the Certificate in Educational Leadership, Policy, and Practice (CELPP) and Project CURRENT, incorporates training modules on family/parent engagement to ensure future special education administrators have the skills, knowledge, and competencies to increase the capacity of diverse parent groups to support planning and delivery of meaningful services for children with disabilities.</w:t>
      </w:r>
    </w:p>
    <w:p w14:paraId="6210CD83" w14:textId="77777777" w:rsidR="00F72E24" w:rsidRPr="00781112" w:rsidRDefault="00F72E24" w:rsidP="00F72E24">
      <w:pPr>
        <w:rPr>
          <w:b/>
          <w:color w:val="000000" w:themeColor="text1"/>
        </w:rPr>
      </w:pPr>
      <w:r w:rsidRPr="00781112">
        <w:rPr>
          <w:b/>
          <w:color w:val="000000" w:themeColor="text1"/>
        </w:rPr>
        <w:lastRenderedPageBreak/>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mechanisms that exist to support soliciting public input in the process of APR and SSIP are the Continuous Improvement Monitoring System (CIMS), requiring SEA to conduct one annual onsite verification and monitoring of each LEA and to conduct two off-site monitoring in one year. A focused-onsite verification and monitoring visit may be conducted based on the unique need of a state that has been monitored. Each LEA include AC members in their onsite monitoring to ensure they are aware and can help to confirm services being provided to students, among many other things. Based on the outcomes of the monitoring reports, including the offsite monitoring reports, each LEA, including the parent representatives in the monitoring activities, each LEA will develop its LPP/LSIP. The LEA LPP/LSIP are presented at the APR/SSIP National Leadership meetings scheduled to continue the same process but at the national level, looking at all LEA performances, challenges, success, and establishing the national targets for the following cycle.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Following the requirements of OSEP, the final FFY 2020 APR/SSIP will be made available to the public after both reports are determined final by OSEP. Electronic copies of the FFY 2020 APR/SSIP will be send to LEA Directors of Education, Special Education Coordinators, and Advisory Council Chairperson. The reports will then be posted on the NDOE website and the DSS website.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final copy of the approved APR/SSIP will be posted no later than 120 days following FSM's submission of its FFY 2020 APR at www.national.doe.fm (NDOE website) and www.fsmsped.org (DSS website: https://www.fsmsped.org/resources/1/7).</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OSEP notes that FSM submitted verification that the attachment(s) complies with Section 508 of the Rehabilitation Act of 1973, as amended (Section 508). However, one or more of the Indicator 17 attachments included in the FSM’s FFY 2019 SPP/APR submission are not in compliance with Section 508 and will not be posted on the U.S. Department of Education’s IDEA website. Therefore, FSM must make the attachment(s) available to the public as soon as practicable, but no later than 120 days after the date of the determination letter.</w:t>
      </w:r>
      <w:r w:rsidRPr="00781112">
        <w:rPr>
          <w:rFonts w:cs="Arial"/>
          <w:color w:val="000000" w:themeColor="text1"/>
          <w:szCs w:val="16"/>
        </w:rPr>
        <w:br/>
      </w:r>
      <w:r w:rsidRPr="00781112">
        <w:rPr>
          <w:rFonts w:cs="Arial"/>
          <w:color w:val="000000" w:themeColor="text1"/>
          <w:szCs w:val="16"/>
        </w:rPr>
        <w:br/>
        <w:t>The FSM's IDEA Part B determination for both 2020 and 2021 is Needs Assistance. In the FSM's 2021 determination letter, the Department advised FSM of available sources of technical assistance, including OSEP-funded technical assistance centers, and required FSM to work with appropriate entities. The Department directed FSM to determine the results elements and/or compliance indicators, and improvement strategies, on which it will focus its use of available technical assistance, in order to improve its performance. FSM must report, with its FFY 2020 SPP/APR submission, due February 1, 2022, on: (1) the technical assistance sources from which FSM received assistance; and (2) the actions FSM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FSM's FFY 2019 SPP/APR and Indicator 17 SSIP Phase III Year 5 report were sent to the four LEAs within the 120 days required after the date of the determination letter. Electronic copies of the FFY 2019 SSP/APR and the Indicator 17 SSIP included as a 508 compliant attachment were also sent to the four LEAs, as well as being posted on https://www.fsmsped.org/resources/1/7 (SPP/APR) and https://www.fsmsped.org/resources/1/9 (FFY 2019 SSIP Phase III Year 5, 508 Compliant). </w:t>
      </w:r>
      <w:r w:rsidRPr="00781112">
        <w:rPr>
          <w:rFonts w:cs="Arial"/>
          <w:color w:val="000000" w:themeColor="text1"/>
          <w:szCs w:val="16"/>
        </w:rPr>
        <w:br/>
      </w:r>
      <w:r w:rsidRPr="00781112">
        <w:rPr>
          <w:rFonts w:cs="Arial"/>
          <w:color w:val="000000" w:themeColor="text1"/>
          <w:szCs w:val="16"/>
        </w:rPr>
        <w:br/>
        <w:t xml:space="preserve">In reviewing its performances on the Results and Compliance indicators, FSM as the SEA, involved stakeholders from the LEA Leadership Team, which included parents, Advisory Council members, and service providers. FSM prioritized the review of results indicators with zero performance.  As a result: </w:t>
      </w:r>
      <w:r w:rsidRPr="00781112">
        <w:rPr>
          <w:rFonts w:cs="Arial"/>
          <w:color w:val="000000" w:themeColor="text1"/>
          <w:szCs w:val="16"/>
        </w:rPr>
        <w:br/>
      </w:r>
      <w:r w:rsidRPr="00781112">
        <w:rPr>
          <w:rFonts w:cs="Arial"/>
          <w:color w:val="000000" w:themeColor="text1"/>
          <w:szCs w:val="16"/>
        </w:rPr>
        <w:br/>
        <w:t>(1) Technical assistance sources from which FSM received assistance included:</w:t>
      </w:r>
      <w:r w:rsidRPr="00781112">
        <w:rPr>
          <w:rFonts w:cs="Arial"/>
          <w:color w:val="000000" w:themeColor="text1"/>
          <w:szCs w:val="16"/>
        </w:rPr>
        <w:br/>
      </w:r>
      <w:r w:rsidRPr="00781112">
        <w:rPr>
          <w:rFonts w:cs="Arial"/>
          <w:color w:val="000000" w:themeColor="text1"/>
          <w:szCs w:val="16"/>
        </w:rPr>
        <w:br/>
        <w:t xml:space="preserve">OSEP-funded centers such as NCSI, NTACT, DaSy, and Westat. FSM also continued to work with consultants from Guam CEDDERS, Sigma Associates, Inc., and NCEO to provide direct technical assistance and trainings to the LEA on improvement activities related to results indicators, such as the SSIP and assessment.  </w:t>
      </w:r>
      <w:r w:rsidRPr="00781112">
        <w:rPr>
          <w:rFonts w:cs="Arial"/>
          <w:color w:val="000000" w:themeColor="text1"/>
          <w:szCs w:val="16"/>
        </w:rPr>
        <w:br/>
      </w:r>
      <w:r w:rsidRPr="00781112">
        <w:rPr>
          <w:rFonts w:cs="Arial"/>
          <w:color w:val="000000" w:themeColor="text1"/>
          <w:szCs w:val="16"/>
        </w:rPr>
        <w:br/>
        <w:t>(2) Actions FSM took as a result of the technical assistance sources included:</w:t>
      </w:r>
      <w:r w:rsidRPr="00781112">
        <w:rPr>
          <w:rFonts w:cs="Arial"/>
          <w:color w:val="000000" w:themeColor="text1"/>
          <w:szCs w:val="16"/>
        </w:rPr>
        <w:br/>
      </w:r>
      <w:r w:rsidRPr="00781112">
        <w:rPr>
          <w:rFonts w:cs="Arial"/>
          <w:color w:val="000000" w:themeColor="text1"/>
          <w:szCs w:val="16"/>
        </w:rPr>
        <w:br/>
        <w:t>FSM supported each LEA with increasing local personnel capacity for improving educational results of children with disabilities.  In addition, FSM NDOE DSS partnered with the College of the Marshall Islands (CMI) and the University of Hawaii Manoa-Center on Disability Studies (UH Manoa CDS) and certified 13 FSM scholars with a baccalaureate degree in Severe Disabilities and Deaf Education. The project was funded by OSEP and was titled Navigating Student Success in the Pacific (NSSP).</w:t>
      </w:r>
      <w:r w:rsidRPr="00781112">
        <w:rPr>
          <w:rFonts w:cs="Arial"/>
          <w:color w:val="000000" w:themeColor="text1"/>
          <w:szCs w:val="16"/>
        </w:rPr>
        <w:br/>
      </w:r>
      <w:r w:rsidRPr="00781112">
        <w:rPr>
          <w:rFonts w:cs="Arial"/>
          <w:color w:val="000000" w:themeColor="text1"/>
          <w:szCs w:val="16"/>
        </w:rPr>
        <w:br/>
        <w:t>FSM NDOE DSS has also partnered with UH Manoa CDS and MCH LEND programs, San Francisco State University, and Nika Project to virtually train 8 special education scholars in the areas of related services, with an emphasis on autism, to support the needs of parents and communities and the growing population of infants and young children identified with autism spectrum disorders (ASD). This project is titled Collaborating Across the Pacific (CAP) Academy Advanced Certification Program beginning Fall 2021 to Spring 2022.</w:t>
      </w:r>
      <w:r w:rsidRPr="00781112">
        <w:rPr>
          <w:rFonts w:cs="Arial"/>
          <w:color w:val="000000" w:themeColor="text1"/>
          <w:szCs w:val="16"/>
        </w:rPr>
        <w:br/>
      </w:r>
      <w:r w:rsidRPr="00781112">
        <w:rPr>
          <w:rFonts w:cs="Arial"/>
          <w:color w:val="000000" w:themeColor="text1"/>
          <w:szCs w:val="16"/>
        </w:rPr>
        <w:br/>
        <w:t>FSM’s access to OSEP-funded centers and other collaborative partnerships has supported FSM NDOE’s commitment to provide technical assistance and training opportunities to the FSM states/LEAs to improve educational results for children with disabilities.</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FSM's determinations for both 2020 and 2021 were Needs Assistance.  Pursuant to section 616(e)(1) of the IDEA and 34 C.F.R. § 300.604(a), OSEP's June 24, 2021 determination letter informed the FSM that it must report with its FFY 2020 SPP/APR submission, due February 1, 2022, on: (1) the technical assistance sources from which the FSM received assistance; and (2) the actions the FSM took as a result of that technical assistance. The FSM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FSM's IDEA Part B determination for both 2021 and 2022 is Needs Assistance. In FSM's 2022 determination letter, the Department advised the FSM of available sources of technical assistance, including OSEP-funded technical assistance centers, and required the FSM to work with appropriate entities. The Department directed the FSM to determine the results elements and/or compliance indicators, and improvement strategies, on which it will focus its use of available technical assistance, in order to improve its performance. The FMS must report, with its FFY 2021 SPP/APR submission, due February 1, 2023, on: (1) the technical assistance sources from which the  FSM received assistance; and (2) the actions the FSM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33.08%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6982A73B" w14:textId="50B9EF02" w:rsidR="007F24E2" w:rsidRPr="00781112" w:rsidRDefault="007F24E2" w:rsidP="00E0321D">
            <w:pPr>
              <w:jc w:val="center"/>
              <w:rPr>
                <w:rFonts w:cs="Arial"/>
                <w:color w:val="000000" w:themeColor="text1"/>
                <w:szCs w:val="16"/>
              </w:rPr>
            </w:pP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34.00%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34.00%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68.85%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73.85%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33.08%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34.78%</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39.81%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50.00%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65.00%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67.00%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67.00%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xml:space="preserve">•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w:t>
      </w:r>
      <w:r w:rsidRPr="00781112">
        <w:rPr>
          <w:rFonts w:cs="Arial"/>
          <w:color w:val="000000" w:themeColor="text1"/>
          <w:szCs w:val="16"/>
        </w:rPr>
        <w:lastRenderedPageBreak/>
        <w:t>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23</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39.81%</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59.02%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“Graduation with a high school diploma” is defined in the FSM as the completion of required course credits during high school, with each FSM State establishing the required total number of course credits to complete. The following are the graduation requirements for high school credits for each state: Chuuk = 22 credits; Kosrae = 28 credits; Pohnpei = 23 credits; Yap = 22credits for Yap High and 24 credits for Yap Outer Island and Yap Neighboring Island Central High Schools. These requirements are consistent for students with and without disabilities.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lastRenderedPageBreak/>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FSM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40082D51" w:rsidR="00907A35" w:rsidRPr="00781112" w:rsidRDefault="00907A35" w:rsidP="004369B2">
      <w:pPr>
        <w:rPr>
          <w:b/>
          <w:color w:val="000000" w:themeColor="text1"/>
        </w:rPr>
      </w:pPr>
      <w:r w:rsidRPr="00781112">
        <w:rPr>
          <w:b/>
          <w:color w:val="000000" w:themeColor="text1"/>
        </w:rPr>
        <w:t>Historical Data</w:t>
      </w:r>
      <w:r w:rsidR="009570F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37.70%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2.90%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20.33%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4.14%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14.62%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11.83%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10.47%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37.70%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35.00%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35.00%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33.00%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28.00%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w:t>
      </w:r>
      <w:r w:rsidRPr="00781112">
        <w:rPr>
          <w:rFonts w:cs="Arial"/>
          <w:color w:val="000000" w:themeColor="text1"/>
          <w:szCs w:val="16"/>
        </w:rPr>
        <w:lastRenderedPageBreak/>
        <w:t>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23</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10.47%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37.70%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37.70%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FSM’s drop-out definition is consistent for youth with IEPs and youth without IEPs.  Each FSM State Department of Education has policies and procedures in place for counting those youth with IEPs and youth without IEPs who dropped 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definition of 'drop-out' in the FSM school systems for all youth is excessive unexcused absences or self-withdrawal, consistent with the IDEA 618 definition of a drop-out.  Each FSM State establishes procedures for self-withdrawal and determination of drop-out based on excessive unexcused absences: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Chuuk State: 15 cumulative unexcused absences in the school year.</w:t>
      </w:r>
      <w:r w:rsidRPr="00781112">
        <w:rPr>
          <w:rFonts w:cs="Arial"/>
          <w:color w:val="000000" w:themeColor="text1"/>
          <w:szCs w:val="16"/>
          <w:shd w:val="clear" w:color="auto" w:fill="FFFFFF"/>
        </w:rPr>
        <w:br/>
        <w:t>Kosrae State: 8 cumulative unexcused absences in the school year.</w:t>
      </w:r>
      <w:r w:rsidRPr="00781112">
        <w:rPr>
          <w:rFonts w:cs="Arial"/>
          <w:color w:val="000000" w:themeColor="text1"/>
          <w:szCs w:val="16"/>
          <w:shd w:val="clear" w:color="auto" w:fill="FFFFFF"/>
        </w:rPr>
        <w:br/>
        <w:t>Pohnpei State: 25 cumulative unexcused absences in the school year.</w:t>
      </w:r>
      <w:r w:rsidRPr="00781112">
        <w:rPr>
          <w:rFonts w:cs="Arial"/>
          <w:color w:val="000000" w:themeColor="text1"/>
          <w:szCs w:val="16"/>
          <w:shd w:val="clear" w:color="auto" w:fill="FFFFFF"/>
        </w:rPr>
        <w:br/>
        <w:t>Yap State: 20 consecutive unexcused absences in the school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FSM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FSM provided targets for FFYs 2020 through 2025 for this indicator, and OSEP accepts those targets.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61.78%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79.56%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48.80%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60.25%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79.56%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48.80%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6</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61.78%</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65.00%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75.00%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79.56%</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48.80%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50.00%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55.00%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60.25%</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75.00%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79.56%</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48.80%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50.00%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55.00%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60.00%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70.00%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6</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lastRenderedPageBreak/>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157</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125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104</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161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125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6</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157</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61.78%</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61.78%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109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79.56%</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79.56%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125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48.80%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48.80%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161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60.25%</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60.25%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109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79.56%</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79.56%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125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48.80%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48.80%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FSM has not publicly made available assessment results for students without disabilities.  FSM therefore reports assessment results for students with disabilities through its annual APR Indicator 3, which can be located on the following website: https://www.fsmsped.org/resources/1/7.</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FSM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FSM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FSM did not provide a Web link demonstrating that the FSM reported publicly on the participation of children with disabilities on statewide assessments with the same frequency and in the same detail as it reports on the assessments of nondisabled children, as required by 34 C.F.R. § 300.160(f). Specifically, the FSM has not reported the number of children with disabilities participating in regular assessments, and the number of those children who were provided accommodations (that did not result in an invalid score) in order to participate in those assessments at the FSM or island state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FSM's 2022 determination letter, the FSM must provide to OSEP a Web link that demonstrates that it has reported, for FFY 2020, to the public, on the statewide assessments of children with disabilities in accordance with 34 C.F.R. § 300.160(f). In addition, OSEP reminds the FSM that in the FFY 2021 SPP/APR, the FSM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23785988" w:rsidR="00E87854" w:rsidRPr="00BD743E"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72789324" w:rsidR="00E87854" w:rsidRPr="00BD743E" w:rsidRDefault="00BD743E" w:rsidP="00BD743E">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17B5F4DA" w:rsidR="00E87854"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36D2FC98" w:rsidR="00E87854"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ECE88E0" w:rsidR="00E87854"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1D23E22E" w:rsidR="00E87854"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BD743E" w:rsidRPr="00781112" w14:paraId="6D8B6989" w14:textId="160D0375" w:rsidTr="009C3DB7">
        <w:tc>
          <w:tcPr>
            <w:tcW w:w="555" w:type="pct"/>
            <w:shd w:val="clear" w:color="auto" w:fill="auto"/>
            <w:vAlign w:val="center"/>
          </w:tcPr>
          <w:p w14:paraId="1B70FAC0" w14:textId="0849CE9C"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BD743E" w:rsidRPr="00781112" w:rsidDel="00DB0A73" w:rsidRDefault="00BD743E" w:rsidP="00BD743E">
            <w:pPr>
              <w:jc w:val="center"/>
              <w:rPr>
                <w:rFonts w:cs="Arial"/>
                <w:color w:val="000000" w:themeColor="text1"/>
                <w:szCs w:val="16"/>
              </w:rPr>
            </w:pPr>
            <w:r w:rsidRPr="00781112">
              <w:rPr>
                <w:rFonts w:cs="Arial"/>
                <w:color w:val="000000" w:themeColor="text1"/>
                <w:szCs w:val="16"/>
              </w:rPr>
              <w:t>Grade 6</w:t>
            </w:r>
          </w:p>
        </w:tc>
        <w:tc>
          <w:tcPr>
            <w:tcW w:w="556" w:type="pct"/>
            <w:shd w:val="clear" w:color="auto" w:fill="auto"/>
          </w:tcPr>
          <w:p w14:paraId="1794FDC8" w14:textId="00288BEB" w:rsidR="00BD743E" w:rsidRPr="00781112" w:rsidRDefault="00BD743E" w:rsidP="00BD743E">
            <w:pPr>
              <w:jc w:val="center"/>
              <w:rPr>
                <w:rFonts w:cs="Arial"/>
                <w:color w:val="000000" w:themeColor="text1"/>
                <w:szCs w:val="16"/>
              </w:rPr>
            </w:pPr>
            <w:r w:rsidRPr="002621F0">
              <w:rPr>
                <w:rFonts w:cs="Arial"/>
                <w:color w:val="000000" w:themeColor="text1"/>
                <w:szCs w:val="16"/>
              </w:rPr>
              <w:t>*</w:t>
            </w:r>
            <w:r w:rsidRPr="002621F0">
              <w:rPr>
                <w:rStyle w:val="FootnoteReference"/>
                <w:rFonts w:cs="Arial"/>
                <w:color w:val="000000" w:themeColor="text1"/>
                <w:szCs w:val="16"/>
              </w:rPr>
              <w:footnoteReference w:customMarkFollows="1" w:id="9"/>
              <w:t>1</w:t>
            </w:r>
          </w:p>
        </w:tc>
        <w:tc>
          <w:tcPr>
            <w:tcW w:w="556" w:type="pct"/>
            <w:vAlign w:val="center"/>
          </w:tcPr>
          <w:p w14:paraId="609A7D0F" w14:textId="138D9671"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3DF1FAFA" w14:textId="4C333171"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77B3DA55" w14:textId="44F9C6DA"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59DDD0B3" w14:textId="64292362"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0C4A4D97" w14:textId="38824368"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6BD665D1" w14:textId="5FDF63E7" w:rsidTr="009C3DB7">
        <w:tc>
          <w:tcPr>
            <w:tcW w:w="555" w:type="pct"/>
            <w:shd w:val="clear" w:color="auto" w:fill="auto"/>
            <w:vAlign w:val="center"/>
          </w:tcPr>
          <w:p w14:paraId="2A84087F" w14:textId="4E8F4953"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BD743E" w:rsidRPr="00781112" w:rsidDel="00DB0A73" w:rsidRDefault="00BD743E" w:rsidP="00BD743E">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28ABA82B" w:rsidR="00BD743E" w:rsidRPr="00781112" w:rsidRDefault="00BD743E" w:rsidP="00BD743E">
            <w:pPr>
              <w:jc w:val="center"/>
              <w:rPr>
                <w:rFonts w:cs="Arial"/>
                <w:color w:val="000000" w:themeColor="text1"/>
                <w:szCs w:val="16"/>
              </w:rPr>
            </w:pPr>
            <w:r w:rsidRPr="002621F0">
              <w:rPr>
                <w:rFonts w:cs="Arial"/>
                <w:color w:val="000000" w:themeColor="text1"/>
                <w:szCs w:val="16"/>
              </w:rPr>
              <w:t>*</w:t>
            </w:r>
            <w:r w:rsidRPr="002621F0">
              <w:rPr>
                <w:rStyle w:val="FootnoteReference"/>
                <w:rFonts w:cs="Arial"/>
                <w:color w:val="000000" w:themeColor="text1"/>
                <w:szCs w:val="16"/>
              </w:rPr>
              <w:footnoteReference w:customMarkFollows="1" w:id="10"/>
              <w:t>1</w:t>
            </w:r>
          </w:p>
        </w:tc>
        <w:tc>
          <w:tcPr>
            <w:tcW w:w="556" w:type="pct"/>
            <w:vAlign w:val="center"/>
          </w:tcPr>
          <w:p w14:paraId="08D72C36" w14:textId="2621CBFF"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0E9FAA2" w14:textId="0E1508C1"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55ED1028" w14:textId="05411637"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3D7C28F8" w14:textId="2CE26657"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1808780D" w14:textId="3285A0E2"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7A08D372" w14:textId="5FBBCE88" w:rsidTr="009C3DB7">
        <w:tc>
          <w:tcPr>
            <w:tcW w:w="555" w:type="pct"/>
            <w:shd w:val="clear" w:color="auto" w:fill="auto"/>
            <w:vAlign w:val="center"/>
          </w:tcPr>
          <w:p w14:paraId="3C8DF435" w14:textId="69FCCDF1"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BD743E" w:rsidRPr="00781112" w:rsidDel="00DB0A73" w:rsidRDefault="00BD743E" w:rsidP="00BD743E">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07A71322" w:rsidR="00BD743E" w:rsidRPr="00781112" w:rsidRDefault="00BD743E" w:rsidP="00BD743E">
            <w:pPr>
              <w:jc w:val="center"/>
              <w:rPr>
                <w:rFonts w:cs="Arial"/>
                <w:color w:val="000000" w:themeColor="text1"/>
                <w:szCs w:val="16"/>
              </w:rPr>
            </w:pPr>
            <w:r w:rsidRPr="002621F0">
              <w:rPr>
                <w:rFonts w:cs="Arial"/>
                <w:color w:val="000000" w:themeColor="text1"/>
                <w:szCs w:val="16"/>
              </w:rPr>
              <w:t>*</w:t>
            </w:r>
            <w:r w:rsidRPr="002621F0">
              <w:rPr>
                <w:rStyle w:val="FootnoteReference"/>
                <w:rFonts w:cs="Arial"/>
                <w:color w:val="000000" w:themeColor="text1"/>
                <w:szCs w:val="16"/>
              </w:rPr>
              <w:footnoteReference w:customMarkFollows="1" w:id="11"/>
              <w:t>1</w:t>
            </w:r>
          </w:p>
        </w:tc>
        <w:tc>
          <w:tcPr>
            <w:tcW w:w="556" w:type="pct"/>
            <w:vAlign w:val="center"/>
          </w:tcPr>
          <w:p w14:paraId="6F53672D" w14:textId="674E45B1"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1E839895" w14:textId="3633076A"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4501470" w14:textId="22292C16"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0CF7FF79" w14:textId="48B4AF2C"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42EF1AD6" w14:textId="1D4F7F5D"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734BCCC4" w14:textId="02B757A8" w:rsidTr="009C3DB7">
        <w:tc>
          <w:tcPr>
            <w:tcW w:w="555" w:type="pct"/>
            <w:shd w:val="clear" w:color="auto" w:fill="auto"/>
            <w:vAlign w:val="center"/>
          </w:tcPr>
          <w:p w14:paraId="20286AC8" w14:textId="018C9C4D"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BD743E" w:rsidRPr="00781112" w:rsidDel="00DB0A73" w:rsidRDefault="00BD743E" w:rsidP="00BD743E">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245B8753" w:rsidR="00BD743E" w:rsidRPr="00781112" w:rsidRDefault="00BD743E" w:rsidP="00BD743E">
            <w:pPr>
              <w:jc w:val="center"/>
              <w:rPr>
                <w:rFonts w:cs="Arial"/>
                <w:color w:val="000000" w:themeColor="text1"/>
                <w:szCs w:val="16"/>
              </w:rPr>
            </w:pPr>
            <w:r w:rsidRPr="002621F0">
              <w:rPr>
                <w:rFonts w:cs="Arial"/>
                <w:color w:val="000000" w:themeColor="text1"/>
                <w:szCs w:val="16"/>
              </w:rPr>
              <w:t>*</w:t>
            </w:r>
            <w:r w:rsidRPr="002621F0">
              <w:rPr>
                <w:rStyle w:val="FootnoteReference"/>
                <w:rFonts w:cs="Arial"/>
                <w:color w:val="000000" w:themeColor="text1"/>
                <w:szCs w:val="16"/>
              </w:rPr>
              <w:footnoteReference w:customMarkFollows="1" w:id="12"/>
              <w:t>1</w:t>
            </w:r>
          </w:p>
        </w:tc>
        <w:tc>
          <w:tcPr>
            <w:tcW w:w="556" w:type="pct"/>
            <w:vAlign w:val="center"/>
          </w:tcPr>
          <w:p w14:paraId="2ADA59C0" w14:textId="7F027C54"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3258519" w14:textId="524B5DC2"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4B2BD04F" w14:textId="59A32E65"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2E366D74" w14:textId="47D73C6E"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4EAA6E8B" w14:textId="65538945"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26043383" w14:textId="3D057A6F" w:rsidTr="009C3DB7">
        <w:tc>
          <w:tcPr>
            <w:tcW w:w="555" w:type="pct"/>
            <w:shd w:val="clear" w:color="auto" w:fill="auto"/>
            <w:vAlign w:val="center"/>
          </w:tcPr>
          <w:p w14:paraId="2BCD3006" w14:textId="785241B2"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BD743E" w:rsidRPr="00781112" w:rsidDel="00DB0A73" w:rsidRDefault="00BD743E" w:rsidP="00BD743E">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073CBF40" w:rsidR="00BD743E" w:rsidRPr="00781112" w:rsidRDefault="00BD743E" w:rsidP="00BD743E">
            <w:pPr>
              <w:jc w:val="center"/>
              <w:rPr>
                <w:rFonts w:cs="Arial"/>
                <w:color w:val="000000" w:themeColor="text1"/>
                <w:szCs w:val="16"/>
              </w:rPr>
            </w:pPr>
            <w:r w:rsidRPr="002621F0">
              <w:rPr>
                <w:rFonts w:cs="Arial"/>
                <w:color w:val="000000" w:themeColor="text1"/>
                <w:szCs w:val="16"/>
              </w:rPr>
              <w:t>*</w:t>
            </w:r>
            <w:r w:rsidRPr="002621F0">
              <w:rPr>
                <w:rStyle w:val="FootnoteReference"/>
                <w:rFonts w:cs="Arial"/>
                <w:color w:val="000000" w:themeColor="text1"/>
                <w:szCs w:val="16"/>
              </w:rPr>
              <w:footnoteReference w:customMarkFollows="1" w:id="13"/>
              <w:t>1</w:t>
            </w:r>
          </w:p>
        </w:tc>
        <w:tc>
          <w:tcPr>
            <w:tcW w:w="556" w:type="pct"/>
            <w:vAlign w:val="center"/>
          </w:tcPr>
          <w:p w14:paraId="558D49D9" w14:textId="56776B71"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529C7F25" w14:textId="45E82B2D"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0CD7F429" w14:textId="3C743F76"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32C7804D" w14:textId="4585EF77"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1636C34D" w14:textId="4A778D79"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169D5323" w14:textId="1CB4A506" w:rsidTr="009C3DB7">
        <w:tc>
          <w:tcPr>
            <w:tcW w:w="555" w:type="pct"/>
            <w:shd w:val="clear" w:color="auto" w:fill="auto"/>
            <w:vAlign w:val="center"/>
          </w:tcPr>
          <w:p w14:paraId="21DAE194" w14:textId="06AF539C"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BD743E" w:rsidRPr="00781112" w:rsidDel="00DB0A73" w:rsidRDefault="00BD743E" w:rsidP="00BD743E">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535435A1" w:rsidR="00BD743E" w:rsidRPr="00781112" w:rsidRDefault="00BD743E" w:rsidP="00BD743E">
            <w:pPr>
              <w:jc w:val="center"/>
              <w:rPr>
                <w:rFonts w:cs="Arial"/>
                <w:color w:val="000000" w:themeColor="text1"/>
                <w:szCs w:val="16"/>
              </w:rPr>
            </w:pPr>
            <w:r w:rsidRPr="002621F0">
              <w:rPr>
                <w:rFonts w:cs="Arial"/>
                <w:color w:val="000000" w:themeColor="text1"/>
                <w:szCs w:val="16"/>
              </w:rPr>
              <w:t>*</w:t>
            </w:r>
            <w:r w:rsidRPr="002621F0">
              <w:rPr>
                <w:rStyle w:val="FootnoteReference"/>
                <w:rFonts w:cs="Arial"/>
                <w:color w:val="000000" w:themeColor="text1"/>
                <w:szCs w:val="16"/>
              </w:rPr>
              <w:footnoteReference w:customMarkFollows="1" w:id="14"/>
              <w:t>1</w:t>
            </w:r>
          </w:p>
        </w:tc>
        <w:tc>
          <w:tcPr>
            <w:tcW w:w="556" w:type="pct"/>
            <w:vAlign w:val="center"/>
          </w:tcPr>
          <w:p w14:paraId="5424FF66" w14:textId="7AB6DE06"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552DC3D3" w14:textId="79B2C0C8"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4ECE9215" w14:textId="1D6B1BD9"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6E3EC3AC" w14:textId="066F1EBD"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53" w:type="pct"/>
            <w:vAlign w:val="center"/>
          </w:tcPr>
          <w:p w14:paraId="592B887B" w14:textId="09CB9AAC"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6</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w:t>
            </w:r>
            <w:r w:rsidRPr="00781112">
              <w:rPr>
                <w:rFonts w:cs="Arial"/>
                <w:szCs w:val="16"/>
                <w:shd w:val="clear" w:color="auto" w:fill="FFFFFF"/>
              </w:rPr>
              <w:lastRenderedPageBreak/>
              <w:t>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lastRenderedPageBreak/>
              <w:t>96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0D0EC4D6" w:rsidR="003B0C91" w:rsidRPr="00781112" w:rsidRDefault="008D00BE" w:rsidP="008D00B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1292" w:type="pct"/>
            <w:shd w:val="clear" w:color="auto" w:fill="auto"/>
            <w:vAlign w:val="center"/>
          </w:tcPr>
          <w:p w14:paraId="74B7B6E9" w14:textId="355A4B32" w:rsidR="003B0C91" w:rsidRPr="008D00BE" w:rsidRDefault="008D00BE" w:rsidP="008D00BE">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c>
          <w:tcPr>
            <w:tcW w:w="1292" w:type="pct"/>
            <w:shd w:val="clear" w:color="auto" w:fill="auto"/>
            <w:vAlign w:val="center"/>
          </w:tcPr>
          <w:p w14:paraId="46F10147" w14:textId="12F96586" w:rsidR="003B0C91"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0C2B274A" w:rsidR="003B0C91"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1292" w:type="pct"/>
            <w:shd w:val="clear" w:color="auto" w:fill="auto"/>
            <w:vAlign w:val="center"/>
          </w:tcPr>
          <w:p w14:paraId="47F69679" w14:textId="696EF322" w:rsidR="003B0C91"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1292" w:type="pct"/>
            <w:shd w:val="clear" w:color="auto" w:fill="auto"/>
            <w:vAlign w:val="center"/>
          </w:tcPr>
          <w:p w14:paraId="59F768C9" w14:textId="233656CC" w:rsidR="003B0C91"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93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747B881B" w:rsidR="00EB6900"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1292" w:type="pct"/>
            <w:shd w:val="clear" w:color="auto" w:fill="auto"/>
            <w:vAlign w:val="center"/>
          </w:tcPr>
          <w:p w14:paraId="0501C27C" w14:textId="02292830" w:rsidR="00EB6900"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1292" w:type="pct"/>
            <w:shd w:val="clear" w:color="auto" w:fill="auto"/>
            <w:vAlign w:val="center"/>
          </w:tcPr>
          <w:p w14:paraId="2F8ECC6A" w14:textId="3B585266" w:rsidR="00EB6900"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6842307B" w:rsidR="00EB6900"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1292" w:type="pct"/>
            <w:shd w:val="clear" w:color="auto" w:fill="auto"/>
            <w:vAlign w:val="center"/>
          </w:tcPr>
          <w:p w14:paraId="3148F449" w14:textId="4FC2B0F7" w:rsidR="00EB6900"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1292" w:type="pct"/>
            <w:shd w:val="clear" w:color="auto" w:fill="auto"/>
            <w:vAlign w:val="center"/>
          </w:tcPr>
          <w:p w14:paraId="56D05BB3" w14:textId="6E3FF748" w:rsidR="00EB6900" w:rsidRPr="00781112" w:rsidRDefault="008D00BE"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BD743E" w:rsidRPr="00781112" w14:paraId="7760B96D" w14:textId="1E1E2305" w:rsidTr="00057E46">
        <w:tc>
          <w:tcPr>
            <w:tcW w:w="198" w:type="pct"/>
            <w:shd w:val="clear" w:color="auto" w:fill="auto"/>
            <w:vAlign w:val="center"/>
          </w:tcPr>
          <w:p w14:paraId="6F54F4BD" w14:textId="3AB2A2E6"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6</w:t>
            </w:r>
          </w:p>
        </w:tc>
        <w:tc>
          <w:tcPr>
            <w:tcW w:w="939" w:type="pct"/>
            <w:shd w:val="clear" w:color="auto" w:fill="auto"/>
            <w:vAlign w:val="center"/>
          </w:tcPr>
          <w:p w14:paraId="0D75EC1C" w14:textId="37A379E1"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939" w:type="pct"/>
            <w:shd w:val="clear" w:color="auto" w:fill="auto"/>
            <w:vAlign w:val="center"/>
          </w:tcPr>
          <w:p w14:paraId="7E6A021B" w14:textId="57963DE4" w:rsidR="00BD743E" w:rsidRPr="00781112" w:rsidRDefault="00BD743E" w:rsidP="00BD743E">
            <w:pPr>
              <w:jc w:val="center"/>
              <w:rPr>
                <w:rFonts w:cs="Arial"/>
                <w:color w:val="000000" w:themeColor="text1"/>
                <w:szCs w:val="16"/>
              </w:rPr>
            </w:pPr>
            <w:r w:rsidRPr="00781112">
              <w:rPr>
                <w:rFonts w:cs="Arial"/>
                <w:color w:val="000000" w:themeColor="text1"/>
                <w:szCs w:val="16"/>
              </w:rPr>
              <w:t>96</w:t>
            </w:r>
          </w:p>
        </w:tc>
        <w:tc>
          <w:tcPr>
            <w:tcW w:w="503" w:type="pct"/>
            <w:shd w:val="clear" w:color="auto" w:fill="auto"/>
            <w:vAlign w:val="center"/>
          </w:tcPr>
          <w:p w14:paraId="69FD37B5" w14:textId="09B40B87" w:rsidR="00BD743E" w:rsidRPr="00781112" w:rsidRDefault="00BD743E" w:rsidP="00BD743E">
            <w:pPr>
              <w:jc w:val="center"/>
              <w:rPr>
                <w:rFonts w:cs="Arial"/>
                <w:color w:val="000000" w:themeColor="text1"/>
                <w:szCs w:val="16"/>
              </w:rPr>
            </w:pPr>
          </w:p>
        </w:tc>
        <w:tc>
          <w:tcPr>
            <w:tcW w:w="503" w:type="pct"/>
            <w:shd w:val="clear" w:color="auto" w:fill="auto"/>
          </w:tcPr>
          <w:p w14:paraId="482B7D09" w14:textId="3564E403" w:rsidR="00BD743E" w:rsidRPr="00781112" w:rsidRDefault="00BD743E" w:rsidP="00BD743E">
            <w:pPr>
              <w:jc w:val="center"/>
              <w:rPr>
                <w:rFonts w:cs="Arial"/>
                <w:color w:val="000000" w:themeColor="text1"/>
                <w:szCs w:val="16"/>
              </w:rPr>
            </w:pPr>
            <w:r w:rsidRPr="00587E0F">
              <w:rPr>
                <w:rFonts w:cs="Arial"/>
                <w:color w:val="000000" w:themeColor="text1"/>
                <w:szCs w:val="16"/>
              </w:rPr>
              <w:t>*</w:t>
            </w:r>
            <w:r w:rsidRPr="00587E0F">
              <w:rPr>
                <w:rStyle w:val="FootnoteReference"/>
                <w:rFonts w:cs="Arial"/>
                <w:color w:val="000000" w:themeColor="text1"/>
                <w:szCs w:val="16"/>
              </w:rPr>
              <w:footnoteReference w:customMarkFollows="1" w:id="28"/>
              <w:t>1</w:t>
            </w:r>
          </w:p>
        </w:tc>
        <w:tc>
          <w:tcPr>
            <w:tcW w:w="503" w:type="pct"/>
            <w:shd w:val="clear" w:color="auto" w:fill="auto"/>
            <w:vAlign w:val="center"/>
          </w:tcPr>
          <w:p w14:paraId="120D94C1" w14:textId="647869AB"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3" w:type="pct"/>
            <w:shd w:val="clear" w:color="auto" w:fill="auto"/>
            <w:vAlign w:val="center"/>
          </w:tcPr>
          <w:p w14:paraId="4C985877" w14:textId="6C415586"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7A5387EE" w14:textId="77777777" w:rsidTr="00057E46">
        <w:tc>
          <w:tcPr>
            <w:tcW w:w="198" w:type="pct"/>
            <w:shd w:val="clear" w:color="auto" w:fill="auto"/>
            <w:vAlign w:val="center"/>
          </w:tcPr>
          <w:p w14:paraId="729AFDF4" w14:textId="72203283"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3CFEE17"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939" w:type="pct"/>
            <w:shd w:val="clear" w:color="auto" w:fill="auto"/>
            <w:vAlign w:val="center"/>
          </w:tcPr>
          <w:p w14:paraId="7FFA4863" w14:textId="2B0AF130" w:rsidR="00BD743E" w:rsidRPr="00781112" w:rsidRDefault="00BD743E" w:rsidP="00BD743E">
            <w:pPr>
              <w:jc w:val="center"/>
              <w:rPr>
                <w:rFonts w:cs="Arial"/>
                <w:color w:val="000000" w:themeColor="text1"/>
                <w:szCs w:val="16"/>
              </w:rPr>
            </w:pPr>
            <w:r w:rsidRPr="00781112">
              <w:rPr>
                <w:rFonts w:cs="Arial"/>
                <w:color w:val="000000" w:themeColor="text1"/>
                <w:szCs w:val="16"/>
              </w:rPr>
              <w:t>105</w:t>
            </w:r>
          </w:p>
        </w:tc>
        <w:tc>
          <w:tcPr>
            <w:tcW w:w="503" w:type="pct"/>
            <w:shd w:val="clear" w:color="auto" w:fill="auto"/>
            <w:vAlign w:val="center"/>
          </w:tcPr>
          <w:p w14:paraId="3FB80D14" w14:textId="17D00589" w:rsidR="00BD743E" w:rsidRPr="00781112" w:rsidRDefault="00BD743E" w:rsidP="00BD743E">
            <w:pPr>
              <w:jc w:val="center"/>
              <w:rPr>
                <w:rFonts w:cs="Arial"/>
                <w:color w:val="000000" w:themeColor="text1"/>
                <w:szCs w:val="16"/>
              </w:rPr>
            </w:pPr>
          </w:p>
        </w:tc>
        <w:tc>
          <w:tcPr>
            <w:tcW w:w="503" w:type="pct"/>
            <w:shd w:val="clear" w:color="auto" w:fill="auto"/>
          </w:tcPr>
          <w:p w14:paraId="12DA8FB6" w14:textId="0E500A06" w:rsidR="00BD743E" w:rsidRPr="00781112" w:rsidRDefault="00BD743E" w:rsidP="00BD743E">
            <w:pPr>
              <w:jc w:val="center"/>
              <w:rPr>
                <w:rFonts w:cs="Arial"/>
                <w:color w:val="000000" w:themeColor="text1"/>
                <w:szCs w:val="16"/>
              </w:rPr>
            </w:pPr>
            <w:r w:rsidRPr="00587E0F">
              <w:rPr>
                <w:rFonts w:cs="Arial"/>
                <w:color w:val="000000" w:themeColor="text1"/>
                <w:szCs w:val="16"/>
              </w:rPr>
              <w:t>*</w:t>
            </w:r>
            <w:r w:rsidRPr="00587E0F">
              <w:rPr>
                <w:rStyle w:val="FootnoteReference"/>
                <w:rFonts w:cs="Arial"/>
                <w:color w:val="000000" w:themeColor="text1"/>
                <w:szCs w:val="16"/>
              </w:rPr>
              <w:footnoteReference w:customMarkFollows="1" w:id="31"/>
              <w:t>1</w:t>
            </w:r>
          </w:p>
        </w:tc>
        <w:tc>
          <w:tcPr>
            <w:tcW w:w="503" w:type="pct"/>
            <w:shd w:val="clear" w:color="auto" w:fill="auto"/>
            <w:vAlign w:val="center"/>
          </w:tcPr>
          <w:p w14:paraId="65C7EB9E" w14:textId="595A7EAD"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3" w:type="pct"/>
            <w:shd w:val="clear" w:color="auto" w:fill="auto"/>
            <w:vAlign w:val="center"/>
          </w:tcPr>
          <w:p w14:paraId="41A6F692" w14:textId="65CC6347"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26B346DD" w14:textId="77777777" w:rsidTr="00057E46">
        <w:tc>
          <w:tcPr>
            <w:tcW w:w="198" w:type="pct"/>
            <w:shd w:val="clear" w:color="auto" w:fill="auto"/>
            <w:vAlign w:val="center"/>
          </w:tcPr>
          <w:p w14:paraId="2B13C665" w14:textId="583EB28A"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11" w:type="pct"/>
            <w:shd w:val="clear" w:color="auto" w:fill="auto"/>
            <w:vAlign w:val="center"/>
          </w:tcPr>
          <w:p w14:paraId="6D97D346" w14:textId="75AC25C8"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7154891"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939" w:type="pct"/>
            <w:shd w:val="clear" w:color="auto" w:fill="auto"/>
            <w:vAlign w:val="center"/>
          </w:tcPr>
          <w:p w14:paraId="3E4BF8E7" w14:textId="17E7C017" w:rsidR="00BD743E" w:rsidRPr="00781112" w:rsidRDefault="00BD743E" w:rsidP="00BD743E">
            <w:pPr>
              <w:jc w:val="center"/>
              <w:rPr>
                <w:rFonts w:cs="Arial"/>
                <w:color w:val="000000" w:themeColor="text1"/>
                <w:szCs w:val="16"/>
              </w:rPr>
            </w:pPr>
            <w:r w:rsidRPr="00781112">
              <w:rPr>
                <w:rFonts w:cs="Arial"/>
                <w:color w:val="000000" w:themeColor="text1"/>
                <w:szCs w:val="16"/>
              </w:rPr>
              <w:t>60</w:t>
            </w:r>
          </w:p>
        </w:tc>
        <w:tc>
          <w:tcPr>
            <w:tcW w:w="503" w:type="pct"/>
            <w:shd w:val="clear" w:color="auto" w:fill="auto"/>
            <w:vAlign w:val="center"/>
          </w:tcPr>
          <w:p w14:paraId="039885F2" w14:textId="68486387" w:rsidR="00BD743E" w:rsidRPr="00781112" w:rsidRDefault="00BD743E" w:rsidP="00BD743E">
            <w:pPr>
              <w:jc w:val="center"/>
              <w:rPr>
                <w:rFonts w:cs="Arial"/>
                <w:color w:val="000000" w:themeColor="text1"/>
                <w:szCs w:val="16"/>
              </w:rPr>
            </w:pPr>
          </w:p>
        </w:tc>
        <w:tc>
          <w:tcPr>
            <w:tcW w:w="503" w:type="pct"/>
            <w:shd w:val="clear" w:color="auto" w:fill="auto"/>
          </w:tcPr>
          <w:p w14:paraId="0D574818" w14:textId="7E57F68A" w:rsidR="00BD743E" w:rsidRPr="00781112" w:rsidRDefault="00BD743E" w:rsidP="00BD743E">
            <w:pPr>
              <w:jc w:val="center"/>
              <w:rPr>
                <w:rFonts w:cs="Arial"/>
                <w:color w:val="000000" w:themeColor="text1"/>
                <w:szCs w:val="16"/>
              </w:rPr>
            </w:pPr>
            <w:r w:rsidRPr="00AF646B">
              <w:rPr>
                <w:rFonts w:cs="Arial"/>
                <w:color w:val="000000" w:themeColor="text1"/>
                <w:szCs w:val="16"/>
              </w:rPr>
              <w:t>*</w:t>
            </w:r>
            <w:r w:rsidRPr="00AF646B">
              <w:rPr>
                <w:rStyle w:val="FootnoteReference"/>
                <w:rFonts w:cs="Arial"/>
                <w:color w:val="000000" w:themeColor="text1"/>
                <w:szCs w:val="16"/>
              </w:rPr>
              <w:footnoteReference w:customMarkFollows="1" w:id="34"/>
              <w:t>1</w:t>
            </w:r>
          </w:p>
        </w:tc>
        <w:tc>
          <w:tcPr>
            <w:tcW w:w="503" w:type="pct"/>
            <w:shd w:val="clear" w:color="auto" w:fill="auto"/>
            <w:vAlign w:val="center"/>
          </w:tcPr>
          <w:p w14:paraId="68757684" w14:textId="4691F756"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c>
          <w:tcPr>
            <w:tcW w:w="503" w:type="pct"/>
            <w:shd w:val="clear" w:color="auto" w:fill="auto"/>
            <w:vAlign w:val="center"/>
          </w:tcPr>
          <w:p w14:paraId="7D508FD3" w14:textId="5052E8AD"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BD743E" w:rsidRPr="00781112" w14:paraId="14220C43" w14:textId="77777777" w:rsidTr="004C1C58">
        <w:trPr>
          <w:jc w:val="center"/>
        </w:trPr>
        <w:tc>
          <w:tcPr>
            <w:tcW w:w="223" w:type="pct"/>
            <w:shd w:val="clear" w:color="auto" w:fill="auto"/>
            <w:vAlign w:val="center"/>
          </w:tcPr>
          <w:p w14:paraId="16A9CDD2" w14:textId="5DBA3D3A" w:rsidR="00BD743E" w:rsidRPr="00781112" w:rsidRDefault="00BD743E" w:rsidP="00BD743E">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6BFCAF4C"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896" w:type="pct"/>
            <w:shd w:val="clear" w:color="auto" w:fill="auto"/>
            <w:vAlign w:val="center"/>
          </w:tcPr>
          <w:p w14:paraId="2611648C" w14:textId="77D930AD" w:rsidR="00BD743E" w:rsidRPr="00781112" w:rsidRDefault="00BD743E" w:rsidP="00BD743E">
            <w:pPr>
              <w:jc w:val="center"/>
              <w:rPr>
                <w:rFonts w:cs="Arial"/>
                <w:color w:val="000000" w:themeColor="text1"/>
                <w:szCs w:val="16"/>
              </w:rPr>
            </w:pPr>
            <w:r w:rsidRPr="00242D8A">
              <w:rPr>
                <w:rFonts w:cs="Arial"/>
                <w:color w:val="000000" w:themeColor="text1"/>
                <w:szCs w:val="16"/>
              </w:rPr>
              <w:t>93</w:t>
            </w:r>
          </w:p>
        </w:tc>
        <w:tc>
          <w:tcPr>
            <w:tcW w:w="500" w:type="pct"/>
            <w:shd w:val="clear" w:color="auto" w:fill="auto"/>
            <w:vAlign w:val="center"/>
          </w:tcPr>
          <w:p w14:paraId="044B076F" w14:textId="2D73EFD2" w:rsidR="00BD743E" w:rsidRPr="00781112" w:rsidRDefault="00BD743E" w:rsidP="00BD743E">
            <w:pPr>
              <w:jc w:val="center"/>
              <w:rPr>
                <w:rFonts w:cs="Arial"/>
                <w:color w:val="000000" w:themeColor="text1"/>
                <w:szCs w:val="16"/>
              </w:rPr>
            </w:pPr>
          </w:p>
        </w:tc>
        <w:tc>
          <w:tcPr>
            <w:tcW w:w="500" w:type="pct"/>
            <w:shd w:val="clear" w:color="auto" w:fill="auto"/>
          </w:tcPr>
          <w:p w14:paraId="4D68E61F" w14:textId="6858CD88" w:rsidR="00BD743E" w:rsidRPr="00781112" w:rsidRDefault="00BD743E" w:rsidP="00BD743E">
            <w:pPr>
              <w:jc w:val="center"/>
              <w:rPr>
                <w:rFonts w:cs="Arial"/>
                <w:color w:val="000000" w:themeColor="text1"/>
                <w:szCs w:val="16"/>
              </w:rPr>
            </w:pPr>
            <w:r w:rsidRPr="00AF646B">
              <w:rPr>
                <w:rFonts w:cs="Arial"/>
                <w:color w:val="000000" w:themeColor="text1"/>
                <w:szCs w:val="16"/>
              </w:rPr>
              <w:t>*</w:t>
            </w:r>
            <w:r w:rsidRPr="00AF646B">
              <w:rPr>
                <w:rStyle w:val="FootnoteReference"/>
                <w:rFonts w:cs="Arial"/>
                <w:color w:val="000000" w:themeColor="text1"/>
                <w:szCs w:val="16"/>
              </w:rPr>
              <w:footnoteReference w:customMarkFollows="1" w:id="37"/>
              <w:t>1</w:t>
            </w:r>
          </w:p>
        </w:tc>
        <w:tc>
          <w:tcPr>
            <w:tcW w:w="500" w:type="pct"/>
            <w:shd w:val="clear" w:color="auto" w:fill="auto"/>
            <w:vAlign w:val="center"/>
          </w:tcPr>
          <w:p w14:paraId="4C5100F6" w14:textId="743A5C41"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c>
          <w:tcPr>
            <w:tcW w:w="500" w:type="pct"/>
            <w:shd w:val="clear" w:color="auto" w:fill="auto"/>
            <w:vAlign w:val="center"/>
          </w:tcPr>
          <w:p w14:paraId="5A9EC511" w14:textId="6D6B7DF8"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33C5CE6C" w14:textId="77777777" w:rsidTr="004C1C58">
        <w:trPr>
          <w:jc w:val="center"/>
        </w:trPr>
        <w:tc>
          <w:tcPr>
            <w:tcW w:w="223" w:type="pct"/>
            <w:shd w:val="clear" w:color="auto" w:fill="auto"/>
            <w:vAlign w:val="center"/>
          </w:tcPr>
          <w:p w14:paraId="17123B1B" w14:textId="50BB2C71" w:rsidR="00BD743E" w:rsidRPr="00781112" w:rsidRDefault="00BD743E" w:rsidP="00BD743E">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316D6838"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896" w:type="pct"/>
            <w:shd w:val="clear" w:color="auto" w:fill="auto"/>
            <w:vAlign w:val="center"/>
          </w:tcPr>
          <w:p w14:paraId="048616C6" w14:textId="622D5B53" w:rsidR="00BD743E" w:rsidRPr="00781112" w:rsidRDefault="00BD743E" w:rsidP="00BD743E">
            <w:pPr>
              <w:jc w:val="center"/>
              <w:rPr>
                <w:rFonts w:cs="Arial"/>
                <w:color w:val="000000" w:themeColor="text1"/>
                <w:szCs w:val="16"/>
              </w:rPr>
            </w:pPr>
            <w:r w:rsidRPr="00242D8A">
              <w:rPr>
                <w:rFonts w:cs="Arial"/>
                <w:color w:val="000000" w:themeColor="text1"/>
                <w:szCs w:val="16"/>
              </w:rPr>
              <w:t>105</w:t>
            </w:r>
          </w:p>
        </w:tc>
        <w:tc>
          <w:tcPr>
            <w:tcW w:w="500" w:type="pct"/>
            <w:shd w:val="clear" w:color="auto" w:fill="auto"/>
            <w:vAlign w:val="center"/>
          </w:tcPr>
          <w:p w14:paraId="272455FD" w14:textId="25614537" w:rsidR="00BD743E" w:rsidRPr="00781112" w:rsidRDefault="00BD743E" w:rsidP="00BD743E">
            <w:pPr>
              <w:jc w:val="center"/>
              <w:rPr>
                <w:rFonts w:cs="Arial"/>
                <w:color w:val="000000" w:themeColor="text1"/>
                <w:szCs w:val="16"/>
              </w:rPr>
            </w:pPr>
          </w:p>
        </w:tc>
        <w:tc>
          <w:tcPr>
            <w:tcW w:w="500" w:type="pct"/>
            <w:shd w:val="clear" w:color="auto" w:fill="auto"/>
          </w:tcPr>
          <w:p w14:paraId="38039D42" w14:textId="4DDE4629" w:rsidR="00BD743E" w:rsidRPr="00781112" w:rsidRDefault="00BD743E" w:rsidP="00BD743E">
            <w:pPr>
              <w:jc w:val="center"/>
              <w:rPr>
                <w:rFonts w:cs="Arial"/>
                <w:color w:val="000000" w:themeColor="text1"/>
                <w:szCs w:val="16"/>
              </w:rPr>
            </w:pPr>
            <w:r w:rsidRPr="00AF646B">
              <w:rPr>
                <w:rFonts w:cs="Arial"/>
                <w:color w:val="000000" w:themeColor="text1"/>
                <w:szCs w:val="16"/>
              </w:rPr>
              <w:t>*</w:t>
            </w:r>
            <w:r w:rsidRPr="00AF646B">
              <w:rPr>
                <w:rStyle w:val="FootnoteReference"/>
                <w:rFonts w:cs="Arial"/>
                <w:color w:val="000000" w:themeColor="text1"/>
                <w:szCs w:val="16"/>
              </w:rPr>
              <w:footnoteReference w:customMarkFollows="1" w:id="40"/>
              <w:t>1</w:t>
            </w:r>
          </w:p>
        </w:tc>
        <w:tc>
          <w:tcPr>
            <w:tcW w:w="500" w:type="pct"/>
            <w:shd w:val="clear" w:color="auto" w:fill="auto"/>
            <w:vAlign w:val="center"/>
          </w:tcPr>
          <w:p w14:paraId="7DB4B85A" w14:textId="67C54928"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c>
          <w:tcPr>
            <w:tcW w:w="500" w:type="pct"/>
            <w:shd w:val="clear" w:color="auto" w:fill="auto"/>
            <w:vAlign w:val="center"/>
          </w:tcPr>
          <w:p w14:paraId="19114A8F" w14:textId="4F4B3C10"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573A5711" w14:textId="77777777" w:rsidTr="004C1C58">
        <w:trPr>
          <w:jc w:val="center"/>
        </w:trPr>
        <w:tc>
          <w:tcPr>
            <w:tcW w:w="223" w:type="pct"/>
            <w:shd w:val="clear" w:color="auto" w:fill="auto"/>
            <w:vAlign w:val="center"/>
          </w:tcPr>
          <w:p w14:paraId="3C25BE15" w14:textId="77777777"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33CD188B"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c>
          <w:tcPr>
            <w:tcW w:w="896" w:type="pct"/>
            <w:shd w:val="clear" w:color="auto" w:fill="auto"/>
            <w:vAlign w:val="center"/>
          </w:tcPr>
          <w:p w14:paraId="2A4E8BA5" w14:textId="01157060" w:rsidR="00BD743E" w:rsidRPr="00781112" w:rsidRDefault="00BD743E" w:rsidP="00BD743E">
            <w:pPr>
              <w:jc w:val="center"/>
              <w:rPr>
                <w:rFonts w:cs="Arial"/>
                <w:color w:val="000000" w:themeColor="text1"/>
                <w:szCs w:val="16"/>
              </w:rPr>
            </w:pPr>
            <w:r w:rsidRPr="00242D8A">
              <w:rPr>
                <w:rFonts w:cs="Arial"/>
                <w:color w:val="000000" w:themeColor="text1"/>
                <w:szCs w:val="16"/>
              </w:rPr>
              <w:t>60</w:t>
            </w:r>
          </w:p>
        </w:tc>
        <w:tc>
          <w:tcPr>
            <w:tcW w:w="500" w:type="pct"/>
            <w:shd w:val="clear" w:color="auto" w:fill="auto"/>
            <w:vAlign w:val="center"/>
          </w:tcPr>
          <w:p w14:paraId="2250005A" w14:textId="360EA34B" w:rsidR="00BD743E" w:rsidRPr="00781112" w:rsidRDefault="00BD743E" w:rsidP="00BD743E">
            <w:pPr>
              <w:jc w:val="center"/>
              <w:rPr>
                <w:rFonts w:cs="Arial"/>
                <w:color w:val="000000" w:themeColor="text1"/>
                <w:szCs w:val="16"/>
              </w:rPr>
            </w:pPr>
          </w:p>
        </w:tc>
        <w:tc>
          <w:tcPr>
            <w:tcW w:w="500" w:type="pct"/>
            <w:shd w:val="clear" w:color="auto" w:fill="auto"/>
          </w:tcPr>
          <w:p w14:paraId="722A3424" w14:textId="735F7F7E" w:rsidR="00BD743E" w:rsidRPr="00781112" w:rsidRDefault="00BD743E" w:rsidP="00BD743E">
            <w:pPr>
              <w:jc w:val="center"/>
              <w:rPr>
                <w:rFonts w:cs="Arial"/>
                <w:color w:val="000000" w:themeColor="text1"/>
                <w:szCs w:val="16"/>
              </w:rPr>
            </w:pPr>
            <w:r w:rsidRPr="00AF646B">
              <w:rPr>
                <w:rFonts w:cs="Arial"/>
                <w:color w:val="000000" w:themeColor="text1"/>
                <w:szCs w:val="16"/>
              </w:rPr>
              <w:t>*</w:t>
            </w:r>
            <w:r w:rsidRPr="00AF646B">
              <w:rPr>
                <w:rStyle w:val="FootnoteReference"/>
                <w:rFonts w:cs="Arial"/>
                <w:color w:val="000000" w:themeColor="text1"/>
                <w:szCs w:val="16"/>
              </w:rPr>
              <w:footnoteReference w:customMarkFollows="1" w:id="43"/>
              <w:t>1</w:t>
            </w:r>
          </w:p>
        </w:tc>
        <w:tc>
          <w:tcPr>
            <w:tcW w:w="500" w:type="pct"/>
            <w:shd w:val="clear" w:color="auto" w:fill="auto"/>
            <w:vAlign w:val="center"/>
          </w:tcPr>
          <w:p w14:paraId="581F32CD" w14:textId="745E9584"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c>
          <w:tcPr>
            <w:tcW w:w="500" w:type="pct"/>
            <w:shd w:val="clear" w:color="auto" w:fill="auto"/>
            <w:vAlign w:val="center"/>
          </w:tcPr>
          <w:p w14:paraId="3FECC7B3" w14:textId="2C921A8F"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FSM has not publicly made available assessment results for students without disabilities.  FSM therefore reports assessment results for students with disabilities through its annual APR Indicator 3, which can be located on the following website: https://www.fsmsped.org/resources/1/7.</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FSM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FSM provided targets for FFYs 2020 through 2025 for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FSM did not provide a Web link demonstrating that the FSM reported publicly on the performance of children with disabilities on statewide assessments with the same frequency and in the same detail as it reports on the assessments of nondisabled children, as required by 34 C.F.R. § 300.160(f). Specifically, the FSM has not reported, compared with the achievement of all children, including children with disabilities, the performance results of children with disabilities on regular assessments at the FSM or island state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FSM must provide to OSEP a Web link that demonstrates that it has reported, for FFY 2020, to the public, on the statewide assessments of children with disabilities in accordance with 34 C.F.R. § 300.160(f). In addition, OSEP reminds the FSM that in the FFY 2021 SPP/APR, the FSM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4DC938EB" w:rsidR="00537221" w:rsidRPr="00BD743E"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4FB1CC69" w:rsidR="00537221" w:rsidRPr="00BD743E" w:rsidRDefault="00BD743E" w:rsidP="00BD743E">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3936F1A" w:rsidR="00537221"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288C66DE" w:rsidR="00537221"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8"/>
              <w:t>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7881FF66" w:rsidR="00537221"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9"/>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6A7D4279" w:rsidR="00537221" w:rsidRPr="00781112" w:rsidRDefault="00BD743E"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0"/>
              <w:t>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BD743E" w:rsidRPr="00781112" w14:paraId="24016D03" w14:textId="0FC0BA7B" w:rsidTr="00DE0175">
        <w:tc>
          <w:tcPr>
            <w:tcW w:w="377" w:type="pct"/>
            <w:shd w:val="clear" w:color="auto" w:fill="auto"/>
            <w:vAlign w:val="center"/>
          </w:tcPr>
          <w:p w14:paraId="6AD78348" w14:textId="77777777"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6</w:t>
            </w:r>
          </w:p>
        </w:tc>
        <w:tc>
          <w:tcPr>
            <w:tcW w:w="582" w:type="pct"/>
            <w:shd w:val="clear" w:color="auto" w:fill="auto"/>
          </w:tcPr>
          <w:p w14:paraId="3451F312" w14:textId="49BF411C" w:rsidR="00BD743E" w:rsidRPr="00781112" w:rsidRDefault="00BD743E" w:rsidP="00BD743E">
            <w:pPr>
              <w:jc w:val="center"/>
              <w:rPr>
                <w:rFonts w:cs="Arial"/>
                <w:color w:val="000000" w:themeColor="text1"/>
                <w:szCs w:val="16"/>
              </w:rPr>
            </w:pPr>
            <w:r w:rsidRPr="00B90901">
              <w:rPr>
                <w:rFonts w:cs="Arial"/>
                <w:color w:val="000000" w:themeColor="text1"/>
                <w:szCs w:val="16"/>
              </w:rPr>
              <w:t>*</w:t>
            </w:r>
            <w:r w:rsidRPr="00B90901">
              <w:rPr>
                <w:rStyle w:val="FootnoteReference"/>
                <w:rFonts w:cs="Arial"/>
                <w:color w:val="000000" w:themeColor="text1"/>
                <w:szCs w:val="16"/>
              </w:rPr>
              <w:footnoteReference w:customMarkFollows="1" w:id="51"/>
              <w:t>1</w:t>
            </w:r>
          </w:p>
        </w:tc>
        <w:tc>
          <w:tcPr>
            <w:tcW w:w="582" w:type="pct"/>
            <w:vAlign w:val="center"/>
          </w:tcPr>
          <w:p w14:paraId="1A23D563" w14:textId="56F68959"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6BBDE651" w14:textId="47B65FE0"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5A275577" w14:textId="6DCA94CB"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3206928B" w14:textId="11EAF098"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85" w:type="pct"/>
            <w:vAlign w:val="center"/>
          </w:tcPr>
          <w:p w14:paraId="6FBEC16B" w14:textId="37B5556C"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4229AE62" w14:textId="33381C2A" w:rsidTr="00DE0175">
        <w:tc>
          <w:tcPr>
            <w:tcW w:w="377" w:type="pct"/>
            <w:shd w:val="clear" w:color="auto" w:fill="auto"/>
            <w:vAlign w:val="center"/>
          </w:tcPr>
          <w:p w14:paraId="65BFCE1A" w14:textId="0D697A5F"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1D5B4183" w14:textId="52FD3863" w:rsidR="00BD743E" w:rsidRPr="00781112" w:rsidRDefault="00BD743E" w:rsidP="00BD743E">
            <w:pPr>
              <w:jc w:val="center"/>
              <w:rPr>
                <w:rFonts w:cs="Arial"/>
                <w:color w:val="000000" w:themeColor="text1"/>
                <w:szCs w:val="16"/>
              </w:rPr>
            </w:pPr>
            <w:r w:rsidRPr="00B90901">
              <w:rPr>
                <w:rFonts w:cs="Arial"/>
                <w:color w:val="000000" w:themeColor="text1"/>
                <w:szCs w:val="16"/>
              </w:rPr>
              <w:t>*</w:t>
            </w:r>
            <w:r w:rsidRPr="00B90901">
              <w:rPr>
                <w:rStyle w:val="FootnoteReference"/>
                <w:rFonts w:cs="Arial"/>
                <w:color w:val="000000" w:themeColor="text1"/>
                <w:szCs w:val="16"/>
              </w:rPr>
              <w:footnoteReference w:customMarkFollows="1" w:id="52"/>
              <w:t>1</w:t>
            </w:r>
          </w:p>
        </w:tc>
        <w:tc>
          <w:tcPr>
            <w:tcW w:w="582" w:type="pct"/>
            <w:vAlign w:val="center"/>
          </w:tcPr>
          <w:p w14:paraId="200F306C" w14:textId="40F15380"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01C155DC" w14:textId="32FC3C15"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31A2EE92" w14:textId="183FF0A7"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52A72D95" w14:textId="51822CAD"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85" w:type="pct"/>
            <w:vAlign w:val="center"/>
          </w:tcPr>
          <w:p w14:paraId="0A9D3561" w14:textId="4D0FA131"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53D446D4" w14:textId="31EA6E11" w:rsidTr="00DE0175">
        <w:tc>
          <w:tcPr>
            <w:tcW w:w="377" w:type="pct"/>
            <w:shd w:val="clear" w:color="auto" w:fill="auto"/>
            <w:vAlign w:val="center"/>
          </w:tcPr>
          <w:p w14:paraId="5413BB65" w14:textId="22884284"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15E06C5A" w:rsidR="00BD743E" w:rsidRPr="00781112" w:rsidRDefault="00BD743E" w:rsidP="00BD743E">
            <w:pPr>
              <w:jc w:val="center"/>
              <w:rPr>
                <w:rFonts w:cs="Arial"/>
                <w:color w:val="000000" w:themeColor="text1"/>
                <w:szCs w:val="16"/>
              </w:rPr>
            </w:pPr>
            <w:r w:rsidRPr="00B90901">
              <w:rPr>
                <w:rFonts w:cs="Arial"/>
                <w:color w:val="000000" w:themeColor="text1"/>
                <w:szCs w:val="16"/>
              </w:rPr>
              <w:t>*</w:t>
            </w:r>
            <w:r w:rsidRPr="00B90901">
              <w:rPr>
                <w:rStyle w:val="FootnoteReference"/>
                <w:rFonts w:cs="Arial"/>
                <w:color w:val="000000" w:themeColor="text1"/>
                <w:szCs w:val="16"/>
              </w:rPr>
              <w:footnoteReference w:customMarkFollows="1" w:id="53"/>
              <w:t>1</w:t>
            </w:r>
          </w:p>
        </w:tc>
        <w:tc>
          <w:tcPr>
            <w:tcW w:w="582" w:type="pct"/>
            <w:vAlign w:val="center"/>
          </w:tcPr>
          <w:p w14:paraId="3305DD14" w14:textId="4DBBF69C"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02FF2601" w14:textId="545909AE"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607B9906" w14:textId="6058F884"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00AA5B51" w14:textId="2B22FFA4"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85" w:type="pct"/>
            <w:vAlign w:val="center"/>
          </w:tcPr>
          <w:p w14:paraId="098D4CBC" w14:textId="1DF737D1"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4D7E1CB4" w14:textId="31C0C80F" w:rsidTr="00DE0175">
        <w:tc>
          <w:tcPr>
            <w:tcW w:w="377" w:type="pct"/>
            <w:shd w:val="clear" w:color="auto" w:fill="auto"/>
            <w:vAlign w:val="center"/>
          </w:tcPr>
          <w:p w14:paraId="3E17FC71" w14:textId="77777777"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5B4F37F7" w14:textId="755AEE0D" w:rsidR="00BD743E" w:rsidRPr="00781112" w:rsidRDefault="00BD743E" w:rsidP="00BD743E">
            <w:pPr>
              <w:jc w:val="center"/>
              <w:rPr>
                <w:rFonts w:cs="Arial"/>
                <w:color w:val="000000" w:themeColor="text1"/>
                <w:szCs w:val="16"/>
              </w:rPr>
            </w:pPr>
            <w:r w:rsidRPr="00B90901">
              <w:rPr>
                <w:rFonts w:cs="Arial"/>
                <w:color w:val="000000" w:themeColor="text1"/>
                <w:szCs w:val="16"/>
              </w:rPr>
              <w:t>*</w:t>
            </w:r>
            <w:r w:rsidRPr="00B90901">
              <w:rPr>
                <w:rStyle w:val="FootnoteReference"/>
                <w:rFonts w:cs="Arial"/>
                <w:color w:val="000000" w:themeColor="text1"/>
                <w:szCs w:val="16"/>
              </w:rPr>
              <w:footnoteReference w:customMarkFollows="1" w:id="54"/>
              <w:t>1</w:t>
            </w:r>
          </w:p>
        </w:tc>
        <w:tc>
          <w:tcPr>
            <w:tcW w:w="582" w:type="pct"/>
            <w:vAlign w:val="center"/>
          </w:tcPr>
          <w:p w14:paraId="5BCC413B" w14:textId="09A05E02"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45EF5FCE" w14:textId="00D7D29B"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68AE213E" w14:textId="4ECF4085"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7B3E2D7F" w14:textId="73124E34"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85" w:type="pct"/>
            <w:vAlign w:val="center"/>
          </w:tcPr>
          <w:p w14:paraId="4BC7B620" w14:textId="19BD9C5D"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6A0B25C6" w14:textId="3CA923D5" w:rsidTr="00DE0175">
        <w:tc>
          <w:tcPr>
            <w:tcW w:w="377" w:type="pct"/>
            <w:shd w:val="clear" w:color="auto" w:fill="auto"/>
            <w:vAlign w:val="center"/>
          </w:tcPr>
          <w:p w14:paraId="7A201508" w14:textId="57E216ED"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4671DF75" w14:textId="4D3A0C08" w:rsidR="00BD743E" w:rsidRPr="00781112" w:rsidRDefault="00BD743E" w:rsidP="00BD743E">
            <w:pPr>
              <w:jc w:val="center"/>
              <w:rPr>
                <w:rFonts w:cs="Arial"/>
                <w:color w:val="000000" w:themeColor="text1"/>
                <w:szCs w:val="16"/>
              </w:rPr>
            </w:pPr>
            <w:r w:rsidRPr="00B90901">
              <w:rPr>
                <w:rFonts w:cs="Arial"/>
                <w:color w:val="000000" w:themeColor="text1"/>
                <w:szCs w:val="16"/>
              </w:rPr>
              <w:t>*</w:t>
            </w:r>
            <w:r w:rsidRPr="00B90901">
              <w:rPr>
                <w:rStyle w:val="FootnoteReference"/>
                <w:rFonts w:cs="Arial"/>
                <w:color w:val="000000" w:themeColor="text1"/>
                <w:szCs w:val="16"/>
              </w:rPr>
              <w:footnoteReference w:customMarkFollows="1" w:id="55"/>
              <w:t>1</w:t>
            </w:r>
          </w:p>
        </w:tc>
        <w:tc>
          <w:tcPr>
            <w:tcW w:w="582" w:type="pct"/>
            <w:vAlign w:val="center"/>
          </w:tcPr>
          <w:p w14:paraId="0BF63C58" w14:textId="72F24C80"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0075BBBD" w14:textId="7AFABF25"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0162408E" w14:textId="763A5CFC"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31533AB0" w14:textId="168489BE"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85" w:type="pct"/>
            <w:vAlign w:val="center"/>
          </w:tcPr>
          <w:p w14:paraId="3FD08822" w14:textId="00C4AF34"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r w:rsidR="00BD743E" w:rsidRPr="00781112" w14:paraId="72653908" w14:textId="04D938F0" w:rsidTr="00DE0175">
        <w:tc>
          <w:tcPr>
            <w:tcW w:w="377" w:type="pct"/>
            <w:shd w:val="clear" w:color="auto" w:fill="auto"/>
            <w:vAlign w:val="center"/>
          </w:tcPr>
          <w:p w14:paraId="48B507DA" w14:textId="179672F1"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BD743E" w:rsidRPr="00781112" w:rsidRDefault="00BD743E" w:rsidP="00BD743E">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2CB0D9F" w14:textId="28E600FA" w:rsidR="00BD743E" w:rsidRPr="00781112" w:rsidRDefault="00BD743E" w:rsidP="00BD743E">
            <w:pPr>
              <w:jc w:val="center"/>
              <w:rPr>
                <w:rFonts w:cs="Arial"/>
                <w:color w:val="000000" w:themeColor="text1"/>
                <w:szCs w:val="16"/>
              </w:rPr>
            </w:pPr>
            <w:r w:rsidRPr="00B90901">
              <w:rPr>
                <w:rFonts w:cs="Arial"/>
                <w:color w:val="000000" w:themeColor="text1"/>
                <w:szCs w:val="16"/>
              </w:rPr>
              <w:t>*</w:t>
            </w:r>
            <w:r w:rsidRPr="00B90901">
              <w:rPr>
                <w:rStyle w:val="FootnoteReference"/>
                <w:rFonts w:cs="Arial"/>
                <w:color w:val="000000" w:themeColor="text1"/>
                <w:szCs w:val="16"/>
              </w:rPr>
              <w:footnoteReference w:customMarkFollows="1" w:id="56"/>
              <w:t>1</w:t>
            </w:r>
          </w:p>
        </w:tc>
        <w:tc>
          <w:tcPr>
            <w:tcW w:w="582" w:type="pct"/>
            <w:vAlign w:val="center"/>
          </w:tcPr>
          <w:p w14:paraId="72012D7E" w14:textId="10B8E7BA"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323B3F79" w14:textId="5FA94A39" w:rsidR="00BD743E" w:rsidRPr="00781112" w:rsidRDefault="00BD743E" w:rsidP="00BD743E">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4A1DD032" w14:textId="1316ECD4" w:rsidR="00BD743E" w:rsidRPr="00781112" w:rsidRDefault="00BD743E" w:rsidP="00BD743E">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74C8F676" w14:textId="54D72167" w:rsidR="00BD743E" w:rsidRPr="00781112" w:rsidRDefault="00BD743E" w:rsidP="00BD743E">
            <w:pPr>
              <w:jc w:val="center"/>
              <w:rPr>
                <w:rFonts w:cs="Arial"/>
                <w:color w:val="000000" w:themeColor="text1"/>
                <w:szCs w:val="16"/>
              </w:rPr>
            </w:pPr>
            <w:r w:rsidRPr="00781112">
              <w:rPr>
                <w:rFonts w:cs="Arial"/>
                <w:color w:val="000000" w:themeColor="text1"/>
                <w:szCs w:val="16"/>
              </w:rPr>
              <w:t>30.00%</w:t>
            </w:r>
          </w:p>
        </w:tc>
        <w:tc>
          <w:tcPr>
            <w:tcW w:w="585" w:type="pct"/>
            <w:vAlign w:val="center"/>
          </w:tcPr>
          <w:p w14:paraId="1C6A0417" w14:textId="5A5D31CA" w:rsidR="00BD743E" w:rsidRPr="00781112" w:rsidRDefault="00BD743E" w:rsidP="00BD743E">
            <w:pPr>
              <w:jc w:val="center"/>
              <w:rPr>
                <w:rFonts w:cs="Arial"/>
                <w:color w:val="000000" w:themeColor="text1"/>
                <w:szCs w:val="16"/>
              </w:rPr>
            </w:pPr>
            <w:r w:rsidRPr="00781112">
              <w:rPr>
                <w:rFonts w:cs="Arial"/>
                <w:color w:val="000000" w:themeColor="text1"/>
                <w:szCs w:val="16"/>
              </w:rPr>
              <w:t>50.00%</w:t>
            </w:r>
          </w:p>
        </w:tc>
      </w:tr>
    </w:tbl>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6</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lastRenderedPageBreak/>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DBA4E5C" w:rsidR="005A486A" w:rsidRPr="00EA1A76" w:rsidRDefault="00EA1A76" w:rsidP="00EA1A7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c>
          <w:tcPr>
            <w:tcW w:w="2700" w:type="dxa"/>
            <w:shd w:val="clear" w:color="auto" w:fill="auto"/>
            <w:vAlign w:val="center"/>
          </w:tcPr>
          <w:p w14:paraId="47E25E0D" w14:textId="16ADE189" w:rsidR="005A486A" w:rsidRPr="00EA1A76" w:rsidRDefault="00EA1A76" w:rsidP="00EA1A76">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2700" w:type="dxa"/>
            <w:shd w:val="clear" w:color="auto" w:fill="auto"/>
            <w:vAlign w:val="center"/>
          </w:tcPr>
          <w:p w14:paraId="523F025F" w14:textId="5EFEA20D" w:rsidR="005A486A" w:rsidRPr="00EA1A76" w:rsidRDefault="00EA1A76" w:rsidP="00EA1A76">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64CF6D5" w:rsidR="00660173" w:rsidRPr="00781112" w:rsidRDefault="00EA1A76"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c>
          <w:tcPr>
            <w:tcW w:w="2700" w:type="dxa"/>
            <w:shd w:val="clear" w:color="auto" w:fill="auto"/>
            <w:vAlign w:val="center"/>
          </w:tcPr>
          <w:p w14:paraId="6F4311F8" w14:textId="6303A208" w:rsidR="00660173" w:rsidRPr="00781112" w:rsidRDefault="00EA1A76"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c>
          <w:tcPr>
            <w:tcW w:w="2700" w:type="dxa"/>
            <w:shd w:val="clear" w:color="auto" w:fill="auto"/>
            <w:vAlign w:val="center"/>
          </w:tcPr>
          <w:p w14:paraId="7B154B01" w14:textId="01DF2DD2" w:rsidR="00660173" w:rsidRPr="00781112" w:rsidRDefault="00EA1A76" w:rsidP="00360DD6">
            <w:pPr>
              <w:jc w:val="center"/>
              <w:rPr>
                <w:b/>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2"/>
              <w:t>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C5757B" w:rsidRPr="00781112" w14:paraId="73241F59" w14:textId="77777777" w:rsidTr="00BD743E">
        <w:trPr>
          <w:tblHeader/>
        </w:trPr>
        <w:tc>
          <w:tcPr>
            <w:tcW w:w="323"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6"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41"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87"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589"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BD743E" w:rsidRPr="00781112" w14:paraId="318B8AAD" w14:textId="77777777" w:rsidTr="00BD743E">
        <w:tc>
          <w:tcPr>
            <w:tcW w:w="323" w:type="pct"/>
            <w:shd w:val="clear" w:color="auto" w:fill="auto"/>
            <w:vAlign w:val="center"/>
          </w:tcPr>
          <w:p w14:paraId="4BD3A1A0" w14:textId="77777777"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6</w:t>
            </w:r>
          </w:p>
        </w:tc>
        <w:tc>
          <w:tcPr>
            <w:tcW w:w="577" w:type="pct"/>
            <w:shd w:val="clear" w:color="auto" w:fill="auto"/>
          </w:tcPr>
          <w:p w14:paraId="10EC608D" w14:textId="227D3829" w:rsidR="00BD743E" w:rsidRPr="00EA1A76" w:rsidRDefault="00BD743E" w:rsidP="00BD743E">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c>
          <w:tcPr>
            <w:tcW w:w="636" w:type="pct"/>
            <w:shd w:val="clear" w:color="auto" w:fill="auto"/>
          </w:tcPr>
          <w:p w14:paraId="5740CA80" w14:textId="7FBF02A9" w:rsidR="00BD743E" w:rsidRPr="00781112" w:rsidRDefault="00BD743E" w:rsidP="00BD743E">
            <w:pPr>
              <w:jc w:val="center"/>
              <w:rPr>
                <w:rFonts w:cs="Arial"/>
                <w:color w:val="000000" w:themeColor="text1"/>
                <w:szCs w:val="16"/>
              </w:rPr>
            </w:pPr>
            <w:r>
              <w:rPr>
                <w:rFonts w:cs="Arial"/>
                <w:color w:val="000000"/>
                <w:szCs w:val="16"/>
              </w:rPr>
              <w:t>1</w:t>
            </w:r>
          </w:p>
        </w:tc>
        <w:tc>
          <w:tcPr>
            <w:tcW w:w="528" w:type="pct"/>
            <w:shd w:val="clear" w:color="auto" w:fill="auto"/>
          </w:tcPr>
          <w:p w14:paraId="6BA58310" w14:textId="391F367C" w:rsidR="00BD743E" w:rsidRPr="00781112" w:rsidRDefault="00BD743E" w:rsidP="00BD743E">
            <w:pPr>
              <w:jc w:val="center"/>
              <w:rPr>
                <w:rFonts w:cs="Arial"/>
                <w:color w:val="000000" w:themeColor="text1"/>
                <w:szCs w:val="16"/>
              </w:rPr>
            </w:pPr>
          </w:p>
        </w:tc>
        <w:tc>
          <w:tcPr>
            <w:tcW w:w="741" w:type="pct"/>
            <w:shd w:val="clear" w:color="auto" w:fill="auto"/>
          </w:tcPr>
          <w:p w14:paraId="47A1F29A" w14:textId="3270DEFD" w:rsidR="00BD743E" w:rsidRPr="00781112" w:rsidRDefault="00BD743E" w:rsidP="00BD743E">
            <w:pPr>
              <w:jc w:val="center"/>
              <w:rPr>
                <w:rFonts w:cs="Arial"/>
                <w:color w:val="000000" w:themeColor="text1"/>
                <w:szCs w:val="16"/>
              </w:rPr>
            </w:pPr>
            <w:r w:rsidRPr="0080540A">
              <w:rPr>
                <w:rFonts w:cs="Arial"/>
                <w:color w:val="000000" w:themeColor="text1"/>
                <w:szCs w:val="16"/>
              </w:rPr>
              <w:t>*</w:t>
            </w:r>
            <w:r w:rsidRPr="0080540A">
              <w:rPr>
                <w:rStyle w:val="FootnoteReference"/>
                <w:rFonts w:cs="Arial"/>
                <w:color w:val="000000" w:themeColor="text1"/>
                <w:szCs w:val="16"/>
              </w:rPr>
              <w:footnoteReference w:customMarkFollows="1" w:id="64"/>
              <w:t>1</w:t>
            </w:r>
          </w:p>
        </w:tc>
        <w:tc>
          <w:tcPr>
            <w:tcW w:w="487" w:type="pct"/>
            <w:shd w:val="clear" w:color="auto" w:fill="auto"/>
          </w:tcPr>
          <w:p w14:paraId="2AE4C61A" w14:textId="32786FB3"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c>
          <w:tcPr>
            <w:tcW w:w="589" w:type="pct"/>
            <w:shd w:val="clear" w:color="auto" w:fill="auto"/>
          </w:tcPr>
          <w:p w14:paraId="2590AA37" w14:textId="2B2E3DAE"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39DEC07F" w14:textId="70B28667"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52B173E5" w14:textId="77777777" w:rsidTr="00BD743E">
        <w:tc>
          <w:tcPr>
            <w:tcW w:w="323" w:type="pct"/>
            <w:shd w:val="clear" w:color="auto" w:fill="auto"/>
            <w:vAlign w:val="center"/>
          </w:tcPr>
          <w:p w14:paraId="5153CDB6" w14:textId="77777777"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39277211"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6"/>
              <w:t>1</w:t>
            </w:r>
          </w:p>
        </w:tc>
        <w:tc>
          <w:tcPr>
            <w:tcW w:w="636" w:type="pct"/>
            <w:shd w:val="clear" w:color="auto" w:fill="auto"/>
          </w:tcPr>
          <w:p w14:paraId="1BCB466D" w14:textId="5DD60E0B" w:rsidR="00BD743E" w:rsidRPr="00781112" w:rsidRDefault="00BD743E" w:rsidP="00BD743E">
            <w:pPr>
              <w:jc w:val="center"/>
              <w:rPr>
                <w:rFonts w:cs="Arial"/>
                <w:color w:val="000000" w:themeColor="text1"/>
                <w:szCs w:val="16"/>
              </w:rPr>
            </w:pPr>
            <w:r>
              <w:rPr>
                <w:rFonts w:cs="Arial"/>
                <w:color w:val="000000"/>
                <w:szCs w:val="16"/>
              </w:rPr>
              <w:t>4</w:t>
            </w:r>
          </w:p>
        </w:tc>
        <w:tc>
          <w:tcPr>
            <w:tcW w:w="528" w:type="pct"/>
            <w:shd w:val="clear" w:color="auto" w:fill="auto"/>
          </w:tcPr>
          <w:p w14:paraId="60597E0A" w14:textId="4D673C7B" w:rsidR="00BD743E" w:rsidRPr="00781112" w:rsidRDefault="00BD743E" w:rsidP="00BD743E">
            <w:pPr>
              <w:jc w:val="center"/>
              <w:rPr>
                <w:rFonts w:cs="Arial"/>
                <w:color w:val="000000" w:themeColor="text1"/>
                <w:szCs w:val="16"/>
              </w:rPr>
            </w:pPr>
          </w:p>
        </w:tc>
        <w:tc>
          <w:tcPr>
            <w:tcW w:w="741" w:type="pct"/>
            <w:shd w:val="clear" w:color="auto" w:fill="auto"/>
          </w:tcPr>
          <w:p w14:paraId="6445398C" w14:textId="77E4629E" w:rsidR="00BD743E" w:rsidRPr="00781112" w:rsidRDefault="00BD743E" w:rsidP="00BD743E">
            <w:pPr>
              <w:jc w:val="center"/>
              <w:rPr>
                <w:rFonts w:cs="Arial"/>
                <w:color w:val="000000" w:themeColor="text1"/>
                <w:szCs w:val="16"/>
              </w:rPr>
            </w:pPr>
            <w:r w:rsidRPr="0080540A">
              <w:rPr>
                <w:rFonts w:cs="Arial"/>
                <w:color w:val="000000" w:themeColor="text1"/>
                <w:szCs w:val="16"/>
              </w:rPr>
              <w:t>*</w:t>
            </w:r>
            <w:r w:rsidRPr="0080540A">
              <w:rPr>
                <w:rStyle w:val="FootnoteReference"/>
                <w:rFonts w:cs="Arial"/>
                <w:color w:val="000000" w:themeColor="text1"/>
                <w:szCs w:val="16"/>
              </w:rPr>
              <w:footnoteReference w:customMarkFollows="1" w:id="67"/>
              <w:t>1</w:t>
            </w:r>
          </w:p>
        </w:tc>
        <w:tc>
          <w:tcPr>
            <w:tcW w:w="487" w:type="pct"/>
            <w:shd w:val="clear" w:color="auto" w:fill="auto"/>
          </w:tcPr>
          <w:p w14:paraId="4EBD899F" w14:textId="4CF8034F"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8"/>
              <w:t>1</w:t>
            </w:r>
          </w:p>
        </w:tc>
        <w:tc>
          <w:tcPr>
            <w:tcW w:w="589" w:type="pct"/>
            <w:shd w:val="clear" w:color="auto" w:fill="auto"/>
          </w:tcPr>
          <w:p w14:paraId="585589D4" w14:textId="6C3ED8A0"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64956786" w14:textId="4047CECE"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3EA2EA1E" w14:textId="77777777" w:rsidTr="00BD743E">
        <w:tc>
          <w:tcPr>
            <w:tcW w:w="323" w:type="pct"/>
            <w:shd w:val="clear" w:color="auto" w:fill="auto"/>
            <w:vAlign w:val="center"/>
          </w:tcPr>
          <w:p w14:paraId="7CB7E776" w14:textId="77777777"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207C1651"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9"/>
              <w:t>1</w:t>
            </w:r>
          </w:p>
        </w:tc>
        <w:tc>
          <w:tcPr>
            <w:tcW w:w="636" w:type="pct"/>
            <w:shd w:val="clear" w:color="auto" w:fill="auto"/>
          </w:tcPr>
          <w:p w14:paraId="0F212AA6" w14:textId="77E5B78D" w:rsidR="00BD743E" w:rsidRPr="00781112" w:rsidRDefault="00BD743E" w:rsidP="00BD743E">
            <w:pPr>
              <w:jc w:val="center"/>
              <w:rPr>
                <w:rFonts w:cs="Arial"/>
                <w:color w:val="000000" w:themeColor="text1"/>
                <w:szCs w:val="16"/>
              </w:rPr>
            </w:pPr>
            <w:r>
              <w:rPr>
                <w:rFonts w:cs="Arial"/>
                <w:color w:val="000000"/>
                <w:szCs w:val="16"/>
              </w:rPr>
              <w:t>1</w:t>
            </w:r>
          </w:p>
        </w:tc>
        <w:tc>
          <w:tcPr>
            <w:tcW w:w="528" w:type="pct"/>
            <w:shd w:val="clear" w:color="auto" w:fill="auto"/>
          </w:tcPr>
          <w:p w14:paraId="066DE90A" w14:textId="5EE6838D" w:rsidR="00BD743E" w:rsidRPr="00781112" w:rsidRDefault="00BD743E" w:rsidP="00BD743E">
            <w:pPr>
              <w:jc w:val="center"/>
              <w:rPr>
                <w:rFonts w:cs="Arial"/>
                <w:color w:val="000000" w:themeColor="text1"/>
                <w:szCs w:val="16"/>
              </w:rPr>
            </w:pPr>
          </w:p>
        </w:tc>
        <w:tc>
          <w:tcPr>
            <w:tcW w:w="741" w:type="pct"/>
            <w:shd w:val="clear" w:color="auto" w:fill="auto"/>
          </w:tcPr>
          <w:p w14:paraId="4191EA17" w14:textId="63E067BA" w:rsidR="00BD743E" w:rsidRPr="00781112" w:rsidRDefault="00BD743E" w:rsidP="00BD743E">
            <w:pPr>
              <w:jc w:val="center"/>
              <w:rPr>
                <w:rFonts w:cs="Arial"/>
                <w:color w:val="000000" w:themeColor="text1"/>
                <w:szCs w:val="16"/>
              </w:rPr>
            </w:pPr>
            <w:r w:rsidRPr="0080540A">
              <w:rPr>
                <w:rFonts w:cs="Arial"/>
                <w:color w:val="000000" w:themeColor="text1"/>
                <w:szCs w:val="16"/>
              </w:rPr>
              <w:t>*</w:t>
            </w:r>
            <w:r w:rsidRPr="0080540A">
              <w:rPr>
                <w:rStyle w:val="FootnoteReference"/>
                <w:rFonts w:cs="Arial"/>
                <w:color w:val="000000" w:themeColor="text1"/>
                <w:szCs w:val="16"/>
              </w:rPr>
              <w:footnoteReference w:customMarkFollows="1" w:id="70"/>
              <w:t>1</w:t>
            </w:r>
          </w:p>
        </w:tc>
        <w:tc>
          <w:tcPr>
            <w:tcW w:w="487" w:type="pct"/>
            <w:shd w:val="clear" w:color="auto" w:fill="auto"/>
          </w:tcPr>
          <w:p w14:paraId="15CE5CCF" w14:textId="42D7ACE0"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1"/>
              <w:t>1</w:t>
            </w:r>
          </w:p>
        </w:tc>
        <w:tc>
          <w:tcPr>
            <w:tcW w:w="589" w:type="pct"/>
            <w:shd w:val="clear" w:color="auto" w:fill="auto"/>
          </w:tcPr>
          <w:p w14:paraId="28CB2C9E" w14:textId="4F0EF91A"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74" w:type="pct"/>
            <w:shd w:val="clear" w:color="auto" w:fill="auto"/>
          </w:tcPr>
          <w:p w14:paraId="157B84D0" w14:textId="0B58E631"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7D755C" w:rsidRPr="00781112" w14:paraId="2361B602" w14:textId="77777777" w:rsidTr="00BD743E">
        <w:trPr>
          <w:tblHeader/>
        </w:trPr>
        <w:tc>
          <w:tcPr>
            <w:tcW w:w="323"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50"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5"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39"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87"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589"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BD743E" w:rsidRPr="00781112" w14:paraId="08D65837" w14:textId="77777777" w:rsidTr="00BD743E">
        <w:tc>
          <w:tcPr>
            <w:tcW w:w="323" w:type="pct"/>
            <w:shd w:val="clear" w:color="auto" w:fill="auto"/>
            <w:vAlign w:val="center"/>
          </w:tcPr>
          <w:p w14:paraId="76903C3F" w14:textId="77777777" w:rsidR="00BD743E" w:rsidRPr="00781112" w:rsidRDefault="00BD743E" w:rsidP="00BD743E">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7B992290"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2"/>
              <w:t>1</w:t>
            </w:r>
          </w:p>
        </w:tc>
        <w:tc>
          <w:tcPr>
            <w:tcW w:w="635" w:type="pct"/>
            <w:shd w:val="clear" w:color="auto" w:fill="auto"/>
          </w:tcPr>
          <w:p w14:paraId="1C6085EF" w14:textId="508775F3" w:rsidR="00BD743E" w:rsidRPr="00781112" w:rsidRDefault="00BD743E" w:rsidP="00BD743E">
            <w:pPr>
              <w:jc w:val="center"/>
              <w:rPr>
                <w:rFonts w:cs="Arial"/>
                <w:color w:val="000000" w:themeColor="text1"/>
                <w:szCs w:val="16"/>
              </w:rPr>
            </w:pPr>
            <w:r>
              <w:rPr>
                <w:rFonts w:cs="Arial"/>
                <w:color w:val="000000"/>
                <w:szCs w:val="16"/>
              </w:rPr>
              <w:t>4</w:t>
            </w:r>
          </w:p>
        </w:tc>
        <w:tc>
          <w:tcPr>
            <w:tcW w:w="528" w:type="pct"/>
            <w:shd w:val="clear" w:color="auto" w:fill="auto"/>
            <w:vAlign w:val="center"/>
          </w:tcPr>
          <w:p w14:paraId="3DFEF3CC" w14:textId="273D8D28" w:rsidR="00BD743E" w:rsidRPr="00781112" w:rsidRDefault="00BD743E" w:rsidP="00BD743E">
            <w:pPr>
              <w:jc w:val="center"/>
              <w:rPr>
                <w:rFonts w:cs="Arial"/>
                <w:color w:val="000000" w:themeColor="text1"/>
                <w:szCs w:val="16"/>
              </w:rPr>
            </w:pPr>
          </w:p>
        </w:tc>
        <w:tc>
          <w:tcPr>
            <w:tcW w:w="739" w:type="pct"/>
            <w:shd w:val="clear" w:color="auto" w:fill="auto"/>
          </w:tcPr>
          <w:p w14:paraId="78DBA801" w14:textId="28AD7AE0" w:rsidR="00BD743E" w:rsidRPr="00781112" w:rsidRDefault="00BD743E" w:rsidP="00BD743E">
            <w:pPr>
              <w:jc w:val="center"/>
              <w:rPr>
                <w:rFonts w:cs="Arial"/>
                <w:color w:val="000000" w:themeColor="text1"/>
                <w:szCs w:val="16"/>
              </w:rPr>
            </w:pPr>
            <w:r w:rsidRPr="003B4EEC">
              <w:rPr>
                <w:rFonts w:cs="Arial"/>
                <w:color w:val="000000" w:themeColor="text1"/>
                <w:szCs w:val="16"/>
              </w:rPr>
              <w:t>*</w:t>
            </w:r>
            <w:r w:rsidRPr="003B4EEC">
              <w:rPr>
                <w:rStyle w:val="FootnoteReference"/>
                <w:rFonts w:cs="Arial"/>
                <w:color w:val="000000" w:themeColor="text1"/>
                <w:szCs w:val="16"/>
              </w:rPr>
              <w:footnoteReference w:customMarkFollows="1" w:id="73"/>
              <w:t>1</w:t>
            </w:r>
          </w:p>
        </w:tc>
        <w:tc>
          <w:tcPr>
            <w:tcW w:w="487" w:type="pct"/>
            <w:shd w:val="clear" w:color="auto" w:fill="auto"/>
            <w:vAlign w:val="center"/>
          </w:tcPr>
          <w:p w14:paraId="1DC938D5" w14:textId="14657C03"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4"/>
              <w:t>1</w:t>
            </w:r>
          </w:p>
        </w:tc>
        <w:tc>
          <w:tcPr>
            <w:tcW w:w="589" w:type="pct"/>
            <w:shd w:val="clear" w:color="auto" w:fill="auto"/>
            <w:vAlign w:val="center"/>
          </w:tcPr>
          <w:p w14:paraId="4B9610A1" w14:textId="71C9791E"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5708D4BE" w14:textId="328B6097"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5E0D5724" w14:textId="77777777" w:rsidTr="00BD743E">
        <w:tc>
          <w:tcPr>
            <w:tcW w:w="323" w:type="pct"/>
            <w:shd w:val="clear" w:color="auto" w:fill="auto"/>
            <w:vAlign w:val="center"/>
          </w:tcPr>
          <w:p w14:paraId="2202EBA2" w14:textId="77777777" w:rsidR="00BD743E" w:rsidRPr="00781112" w:rsidRDefault="00BD743E" w:rsidP="00BD743E">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674DEA36"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c>
          <w:tcPr>
            <w:tcW w:w="635" w:type="pct"/>
            <w:shd w:val="clear" w:color="auto" w:fill="auto"/>
          </w:tcPr>
          <w:p w14:paraId="25BE3991" w14:textId="52B3E29B" w:rsidR="00BD743E" w:rsidRPr="00781112" w:rsidRDefault="00BD743E" w:rsidP="00BD743E">
            <w:pPr>
              <w:jc w:val="center"/>
              <w:rPr>
                <w:rFonts w:cs="Arial"/>
                <w:color w:val="000000" w:themeColor="text1"/>
                <w:szCs w:val="16"/>
              </w:rPr>
            </w:pPr>
            <w:r>
              <w:rPr>
                <w:rFonts w:cs="Arial"/>
                <w:color w:val="000000"/>
                <w:szCs w:val="16"/>
              </w:rPr>
              <w:t>4</w:t>
            </w:r>
          </w:p>
        </w:tc>
        <w:tc>
          <w:tcPr>
            <w:tcW w:w="528" w:type="pct"/>
            <w:shd w:val="clear" w:color="auto" w:fill="auto"/>
            <w:vAlign w:val="center"/>
          </w:tcPr>
          <w:p w14:paraId="0DB348C5" w14:textId="2F8A4588" w:rsidR="00BD743E" w:rsidRPr="00781112" w:rsidRDefault="00BD743E" w:rsidP="00BD743E">
            <w:pPr>
              <w:jc w:val="center"/>
              <w:rPr>
                <w:rFonts w:cs="Arial"/>
                <w:color w:val="000000" w:themeColor="text1"/>
                <w:szCs w:val="16"/>
              </w:rPr>
            </w:pPr>
          </w:p>
        </w:tc>
        <w:tc>
          <w:tcPr>
            <w:tcW w:w="739" w:type="pct"/>
            <w:shd w:val="clear" w:color="auto" w:fill="auto"/>
          </w:tcPr>
          <w:p w14:paraId="31FB5FEB" w14:textId="64A72C7C" w:rsidR="00BD743E" w:rsidRPr="00781112" w:rsidRDefault="00BD743E" w:rsidP="00BD743E">
            <w:pPr>
              <w:jc w:val="center"/>
              <w:rPr>
                <w:rFonts w:cs="Arial"/>
                <w:color w:val="000000" w:themeColor="text1"/>
                <w:szCs w:val="16"/>
              </w:rPr>
            </w:pPr>
            <w:r w:rsidRPr="003B4EEC">
              <w:rPr>
                <w:rFonts w:cs="Arial"/>
                <w:color w:val="000000" w:themeColor="text1"/>
                <w:szCs w:val="16"/>
              </w:rPr>
              <w:t>*</w:t>
            </w:r>
            <w:r w:rsidRPr="003B4EEC">
              <w:rPr>
                <w:rStyle w:val="FootnoteReference"/>
                <w:rFonts w:cs="Arial"/>
                <w:color w:val="000000" w:themeColor="text1"/>
                <w:szCs w:val="16"/>
              </w:rPr>
              <w:footnoteReference w:customMarkFollows="1" w:id="76"/>
              <w:t>1</w:t>
            </w:r>
          </w:p>
        </w:tc>
        <w:tc>
          <w:tcPr>
            <w:tcW w:w="487" w:type="pct"/>
            <w:shd w:val="clear" w:color="auto" w:fill="auto"/>
          </w:tcPr>
          <w:p w14:paraId="139B969C" w14:textId="67167216" w:rsidR="00BD743E" w:rsidRPr="00781112" w:rsidRDefault="00BD743E" w:rsidP="00BD743E">
            <w:pPr>
              <w:jc w:val="center"/>
              <w:rPr>
                <w:rFonts w:cs="Arial"/>
                <w:color w:val="000000" w:themeColor="text1"/>
                <w:szCs w:val="16"/>
              </w:rPr>
            </w:pPr>
            <w:r w:rsidRPr="00B74E94">
              <w:rPr>
                <w:rFonts w:cs="Arial"/>
                <w:color w:val="000000" w:themeColor="text1"/>
                <w:szCs w:val="16"/>
              </w:rPr>
              <w:t>*</w:t>
            </w:r>
            <w:r w:rsidRPr="00B74E94">
              <w:rPr>
                <w:rStyle w:val="FootnoteReference"/>
                <w:rFonts w:cs="Arial"/>
                <w:color w:val="000000" w:themeColor="text1"/>
                <w:szCs w:val="16"/>
              </w:rPr>
              <w:footnoteReference w:customMarkFollows="1" w:id="77"/>
              <w:t>1</w:t>
            </w:r>
          </w:p>
        </w:tc>
        <w:tc>
          <w:tcPr>
            <w:tcW w:w="589" w:type="pct"/>
            <w:shd w:val="clear" w:color="auto" w:fill="auto"/>
            <w:vAlign w:val="center"/>
          </w:tcPr>
          <w:p w14:paraId="52EDA926" w14:textId="7B797DBA"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027F05C7" w14:textId="42C60C06"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r w:rsidR="00BD743E" w:rsidRPr="00781112" w14:paraId="6F15E001" w14:textId="77777777" w:rsidTr="00BD743E">
        <w:tc>
          <w:tcPr>
            <w:tcW w:w="323" w:type="pct"/>
            <w:shd w:val="clear" w:color="auto" w:fill="auto"/>
            <w:vAlign w:val="center"/>
          </w:tcPr>
          <w:p w14:paraId="40D4F498" w14:textId="77777777" w:rsidR="00BD743E" w:rsidRPr="00781112" w:rsidRDefault="00BD743E" w:rsidP="00BD743E">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BD743E" w:rsidRPr="00781112" w:rsidDel="00DE5045" w:rsidRDefault="00BD743E" w:rsidP="00BD743E">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5CF16660" w:rsidR="00BD743E"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c>
          <w:tcPr>
            <w:tcW w:w="635" w:type="pct"/>
            <w:shd w:val="clear" w:color="auto" w:fill="auto"/>
          </w:tcPr>
          <w:p w14:paraId="6C88DEC2" w14:textId="2C61C34F" w:rsidR="00BD743E" w:rsidRPr="00781112" w:rsidRDefault="00BD743E" w:rsidP="00BD743E">
            <w:pPr>
              <w:jc w:val="center"/>
              <w:rPr>
                <w:rFonts w:cs="Arial"/>
                <w:color w:val="000000" w:themeColor="text1"/>
                <w:szCs w:val="16"/>
              </w:rPr>
            </w:pPr>
            <w:r>
              <w:rPr>
                <w:rFonts w:cs="Arial"/>
                <w:color w:val="000000"/>
                <w:szCs w:val="16"/>
              </w:rPr>
              <w:t>1</w:t>
            </w:r>
          </w:p>
        </w:tc>
        <w:tc>
          <w:tcPr>
            <w:tcW w:w="528" w:type="pct"/>
            <w:shd w:val="clear" w:color="auto" w:fill="auto"/>
            <w:vAlign w:val="center"/>
          </w:tcPr>
          <w:p w14:paraId="59D699CF" w14:textId="460A79FA" w:rsidR="00BD743E" w:rsidRPr="00781112" w:rsidRDefault="00BD743E" w:rsidP="00BD743E">
            <w:pPr>
              <w:jc w:val="center"/>
              <w:rPr>
                <w:rFonts w:cs="Arial"/>
                <w:color w:val="000000" w:themeColor="text1"/>
                <w:szCs w:val="16"/>
              </w:rPr>
            </w:pPr>
          </w:p>
        </w:tc>
        <w:tc>
          <w:tcPr>
            <w:tcW w:w="739" w:type="pct"/>
            <w:shd w:val="clear" w:color="auto" w:fill="auto"/>
          </w:tcPr>
          <w:p w14:paraId="18D7723E" w14:textId="3AA89153" w:rsidR="00BD743E" w:rsidRPr="00781112" w:rsidRDefault="00BD743E" w:rsidP="00BD743E">
            <w:pPr>
              <w:jc w:val="center"/>
              <w:rPr>
                <w:rFonts w:cs="Arial"/>
                <w:color w:val="000000" w:themeColor="text1"/>
                <w:szCs w:val="16"/>
              </w:rPr>
            </w:pPr>
            <w:r w:rsidRPr="003B4EEC">
              <w:rPr>
                <w:rFonts w:cs="Arial"/>
                <w:color w:val="000000" w:themeColor="text1"/>
                <w:szCs w:val="16"/>
              </w:rPr>
              <w:t>*</w:t>
            </w:r>
            <w:r w:rsidRPr="003B4EEC">
              <w:rPr>
                <w:rStyle w:val="FootnoteReference"/>
                <w:rFonts w:cs="Arial"/>
                <w:color w:val="000000" w:themeColor="text1"/>
                <w:szCs w:val="16"/>
              </w:rPr>
              <w:footnoteReference w:customMarkFollows="1" w:id="79"/>
              <w:t>1</w:t>
            </w:r>
          </w:p>
        </w:tc>
        <w:tc>
          <w:tcPr>
            <w:tcW w:w="487" w:type="pct"/>
            <w:shd w:val="clear" w:color="auto" w:fill="auto"/>
          </w:tcPr>
          <w:p w14:paraId="1C467869" w14:textId="5CDCD35D" w:rsidR="00BD743E" w:rsidRPr="00781112" w:rsidRDefault="00BD743E" w:rsidP="00BD743E">
            <w:pPr>
              <w:jc w:val="center"/>
              <w:rPr>
                <w:rFonts w:cs="Arial"/>
                <w:color w:val="000000" w:themeColor="text1"/>
                <w:szCs w:val="16"/>
              </w:rPr>
            </w:pPr>
            <w:r w:rsidRPr="00B74E94">
              <w:rPr>
                <w:rFonts w:cs="Arial"/>
                <w:color w:val="000000" w:themeColor="text1"/>
                <w:szCs w:val="16"/>
              </w:rPr>
              <w:t>*</w:t>
            </w:r>
            <w:r w:rsidRPr="00B74E94">
              <w:rPr>
                <w:rStyle w:val="FootnoteReference"/>
                <w:rFonts w:cs="Arial"/>
                <w:color w:val="000000" w:themeColor="text1"/>
                <w:szCs w:val="16"/>
              </w:rPr>
              <w:footnoteReference w:customMarkFollows="1" w:id="80"/>
              <w:t>1</w:t>
            </w:r>
          </w:p>
        </w:tc>
        <w:tc>
          <w:tcPr>
            <w:tcW w:w="589" w:type="pct"/>
            <w:shd w:val="clear" w:color="auto" w:fill="auto"/>
            <w:vAlign w:val="center"/>
          </w:tcPr>
          <w:p w14:paraId="56861D59" w14:textId="0856E80D"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220CAED" w14:textId="6484F1AC" w:rsidR="00BD743E" w:rsidRPr="00781112" w:rsidRDefault="00BD743E" w:rsidP="00BD743E">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FSM has not publicly made available assessment results for students without disabilities.  FSM therefore reports assessment results for students with disabilities through its annual APR Indicator 3, which can be located on the following website: https://www.fsmsped.org/resources/1/7.</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FSM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FSM provided targets for FFYs 2020 through 2025 for this indicator, and OSEP accepts those targets.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FSM did not provide a Web link demonstrating that the FSM reported publicly on the performance of children with disabilities on statewide assessments with the same frequency and in the same detail as it reports on the assessments of nondisabled children, as required by 34 C.F.R. § 300.160(f). Specifically, the FSM has not reported, compared with the achievement of all children, including children with disabilities, the performance results of children with disabilities on alternate assessments based on alternate academic achievement standards, at the FSM or island state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FSM's 2022 determination letter, the FSM must provide to OSEP a Web link that demonstrates that it has reported, for FFY 2020, to the public, on the statewide assessments of children with disabilities in accordance with 34 C.F.R. § 300.160(f). In addition, OSEP reminds the FSM that in the FFY 2021 SPP/APR, the FSM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163DC3" w:rsidRPr="00781112" w14:paraId="70B05A32" w14:textId="77777777" w:rsidTr="00360DD6">
        <w:trPr>
          <w:trHeight w:val="368"/>
        </w:trPr>
        <w:tc>
          <w:tcPr>
            <w:tcW w:w="736" w:type="pct"/>
            <w:vAlign w:val="center"/>
          </w:tcPr>
          <w:p w14:paraId="1E1400E1" w14:textId="77777777" w:rsidR="00163DC3" w:rsidRPr="00781112" w:rsidRDefault="00163DC3" w:rsidP="00163DC3">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163DC3" w:rsidRPr="00781112" w:rsidRDefault="00163DC3" w:rsidP="00163DC3">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6B1B3326" w14:textId="475D3617" w:rsidR="00163DC3" w:rsidRPr="00781112" w:rsidRDefault="00163DC3" w:rsidP="00163DC3">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18D3D4FA" w:rsidR="00163DC3" w:rsidRPr="00781112" w:rsidRDefault="007106E8" w:rsidP="00163DC3">
            <w:pPr>
              <w:spacing w:before="0" w:after="0"/>
              <w:jc w:val="center"/>
              <w:rPr>
                <w:color w:val="000000" w:themeColor="text1"/>
              </w:rPr>
            </w:pPr>
            <w:r>
              <w:rPr>
                <w:color w:val="000000" w:themeColor="text1"/>
              </w:rPr>
              <w:t>47.32</w:t>
            </w:r>
          </w:p>
        </w:tc>
      </w:tr>
      <w:tr w:rsidR="00163DC3" w:rsidRPr="00781112" w14:paraId="7DB1C775" w14:textId="77777777" w:rsidTr="00360DD6">
        <w:trPr>
          <w:trHeight w:val="368"/>
        </w:trPr>
        <w:tc>
          <w:tcPr>
            <w:tcW w:w="736" w:type="pct"/>
            <w:vAlign w:val="center"/>
          </w:tcPr>
          <w:p w14:paraId="38812700" w14:textId="77777777" w:rsidR="00163DC3" w:rsidRPr="00781112" w:rsidRDefault="00163DC3" w:rsidP="00163DC3">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163DC3" w:rsidRPr="00781112" w:rsidRDefault="00163DC3" w:rsidP="00163DC3">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4D49C8CF" w:rsidR="00163DC3" w:rsidRPr="00781112" w:rsidRDefault="007106E8" w:rsidP="00163DC3">
            <w:pPr>
              <w:spacing w:before="0" w:after="0"/>
              <w:jc w:val="center"/>
              <w:rPr>
                <w:rFonts w:cs="Arial"/>
                <w:color w:val="000000" w:themeColor="text1"/>
                <w:szCs w:val="16"/>
              </w:rPr>
            </w:pPr>
            <w:r>
              <w:rPr>
                <w:rFonts w:cs="Arial"/>
                <w:color w:val="000000" w:themeColor="text1"/>
                <w:szCs w:val="16"/>
              </w:rPr>
              <w:t>44.99</w:t>
            </w:r>
          </w:p>
        </w:tc>
      </w:tr>
      <w:tr w:rsidR="00163DC3" w:rsidRPr="00781112" w14:paraId="468C5707" w14:textId="77777777" w:rsidTr="00360DD6">
        <w:trPr>
          <w:trHeight w:val="368"/>
        </w:trPr>
        <w:tc>
          <w:tcPr>
            <w:tcW w:w="736" w:type="pct"/>
            <w:vAlign w:val="center"/>
          </w:tcPr>
          <w:p w14:paraId="283DD3EF" w14:textId="77777777" w:rsidR="00163DC3" w:rsidRPr="00781112" w:rsidRDefault="00163DC3" w:rsidP="00163DC3">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163DC3" w:rsidRPr="00781112" w:rsidRDefault="00163DC3" w:rsidP="00163DC3">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163DC3" w:rsidRPr="00781112" w:rsidRDefault="00163DC3" w:rsidP="00163DC3">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7E7E3802" w:rsidR="00163DC3" w:rsidRPr="00781112" w:rsidRDefault="007106E8" w:rsidP="00163DC3">
            <w:pPr>
              <w:spacing w:before="0" w:after="0"/>
              <w:jc w:val="center"/>
              <w:rPr>
                <w:rFonts w:cs="Arial"/>
                <w:color w:val="000000" w:themeColor="text1"/>
                <w:szCs w:val="16"/>
              </w:rPr>
            </w:pPr>
            <w:r>
              <w:rPr>
                <w:rFonts w:cs="Arial"/>
                <w:color w:val="000000" w:themeColor="text1"/>
                <w:szCs w:val="16"/>
              </w:rPr>
              <w:t>55.99</w:t>
            </w:r>
          </w:p>
        </w:tc>
      </w:tr>
      <w:tr w:rsidR="00163DC3" w:rsidRPr="00781112" w14:paraId="40BEF17A" w14:textId="77777777" w:rsidTr="00360DD6">
        <w:trPr>
          <w:trHeight w:val="368"/>
        </w:trPr>
        <w:tc>
          <w:tcPr>
            <w:tcW w:w="736" w:type="pct"/>
            <w:vAlign w:val="center"/>
          </w:tcPr>
          <w:p w14:paraId="10F38B33" w14:textId="77777777" w:rsidR="00163DC3" w:rsidRPr="00781112" w:rsidRDefault="00163DC3" w:rsidP="00163DC3">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163DC3" w:rsidRPr="00781112" w:rsidRDefault="00163DC3" w:rsidP="00163DC3">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469EBF98" w:rsidR="00163DC3" w:rsidRPr="00781112" w:rsidRDefault="007106E8" w:rsidP="00163DC3">
            <w:pPr>
              <w:spacing w:before="0" w:after="0"/>
              <w:jc w:val="center"/>
              <w:rPr>
                <w:rFonts w:cs="Arial"/>
                <w:color w:val="000000" w:themeColor="text1"/>
                <w:szCs w:val="16"/>
              </w:rPr>
            </w:pPr>
            <w:r>
              <w:rPr>
                <w:rFonts w:cs="Arial"/>
                <w:color w:val="000000" w:themeColor="text1"/>
                <w:szCs w:val="16"/>
              </w:rPr>
              <w:t>40.98</w:t>
            </w:r>
          </w:p>
        </w:tc>
      </w:tr>
      <w:tr w:rsidR="00163DC3" w:rsidRPr="00781112" w14:paraId="58025947" w14:textId="77777777" w:rsidTr="00360DD6">
        <w:trPr>
          <w:trHeight w:val="368"/>
        </w:trPr>
        <w:tc>
          <w:tcPr>
            <w:tcW w:w="736" w:type="pct"/>
            <w:vAlign w:val="center"/>
          </w:tcPr>
          <w:p w14:paraId="78429F0C" w14:textId="77777777" w:rsidR="00163DC3" w:rsidRPr="00781112" w:rsidRDefault="00163DC3" w:rsidP="00163DC3">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163DC3" w:rsidRPr="00781112" w:rsidRDefault="00163DC3" w:rsidP="00163DC3">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163DC3" w:rsidRPr="00781112" w:rsidRDefault="00163DC3" w:rsidP="00163DC3">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FBC9804" w:rsidR="00163DC3" w:rsidRPr="00781112" w:rsidRDefault="004E0552" w:rsidP="00163DC3">
            <w:pPr>
              <w:spacing w:before="0" w:after="0"/>
              <w:jc w:val="center"/>
              <w:rPr>
                <w:rFonts w:cs="Arial"/>
                <w:color w:val="000000" w:themeColor="text1"/>
                <w:szCs w:val="16"/>
              </w:rPr>
            </w:pPr>
            <w:r>
              <w:rPr>
                <w:rFonts w:cs="Arial"/>
                <w:color w:val="000000" w:themeColor="text1"/>
                <w:szCs w:val="16"/>
              </w:rPr>
              <w:t>38.22</w:t>
            </w:r>
          </w:p>
        </w:tc>
      </w:tr>
      <w:tr w:rsidR="00163DC3" w:rsidRPr="00781112" w14:paraId="760D00F1" w14:textId="77777777" w:rsidTr="00360DD6">
        <w:trPr>
          <w:trHeight w:val="368"/>
        </w:trPr>
        <w:tc>
          <w:tcPr>
            <w:tcW w:w="736" w:type="pct"/>
            <w:vAlign w:val="center"/>
          </w:tcPr>
          <w:p w14:paraId="6D27E968" w14:textId="77777777" w:rsidR="00163DC3" w:rsidRPr="00781112" w:rsidRDefault="00163DC3" w:rsidP="00163DC3">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163DC3" w:rsidRPr="00781112" w:rsidRDefault="00163DC3" w:rsidP="00163DC3">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163DC3" w:rsidRPr="00781112" w:rsidRDefault="00163DC3" w:rsidP="00163DC3">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16B7EBFF" w:rsidR="00163DC3" w:rsidRPr="00781112" w:rsidRDefault="004E0552" w:rsidP="00163DC3">
            <w:pPr>
              <w:spacing w:before="0" w:after="0"/>
              <w:jc w:val="center"/>
              <w:rPr>
                <w:rFonts w:cs="Arial"/>
                <w:color w:val="000000" w:themeColor="text1"/>
                <w:szCs w:val="16"/>
              </w:rPr>
            </w:pPr>
            <w:r>
              <w:rPr>
                <w:rFonts w:cs="Arial"/>
                <w:color w:val="000000" w:themeColor="text1"/>
                <w:szCs w:val="16"/>
              </w:rPr>
              <w:t>26.91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4E0552" w:rsidRPr="00781112" w14:paraId="506F660C" w14:textId="77777777" w:rsidTr="00E95FBF">
        <w:tc>
          <w:tcPr>
            <w:tcW w:w="415" w:type="pct"/>
            <w:shd w:val="clear" w:color="auto" w:fill="auto"/>
            <w:vAlign w:val="center"/>
          </w:tcPr>
          <w:p w14:paraId="5CF55C17"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4E0552" w:rsidRPr="00781112" w:rsidDel="00DB0A73" w:rsidRDefault="004E0552" w:rsidP="004E0552">
            <w:pPr>
              <w:jc w:val="center"/>
              <w:rPr>
                <w:rFonts w:cs="Arial"/>
                <w:color w:val="000000" w:themeColor="text1"/>
                <w:szCs w:val="16"/>
              </w:rPr>
            </w:pPr>
            <w:r w:rsidRPr="00781112">
              <w:rPr>
                <w:rFonts w:cs="Arial"/>
                <w:color w:val="000000" w:themeColor="text1"/>
                <w:szCs w:val="16"/>
              </w:rPr>
              <w:t>Grade 6</w:t>
            </w:r>
          </w:p>
        </w:tc>
        <w:tc>
          <w:tcPr>
            <w:tcW w:w="618" w:type="pct"/>
            <w:shd w:val="clear" w:color="auto" w:fill="auto"/>
            <w:vAlign w:val="center"/>
          </w:tcPr>
          <w:p w14:paraId="6E665D01" w14:textId="19D6C4CF" w:rsidR="004E0552" w:rsidRPr="00781112" w:rsidRDefault="004E0552" w:rsidP="004E0552">
            <w:pPr>
              <w:jc w:val="center"/>
              <w:rPr>
                <w:rFonts w:cs="Arial"/>
                <w:color w:val="000000" w:themeColor="text1"/>
                <w:szCs w:val="16"/>
              </w:rPr>
            </w:pPr>
            <w:r>
              <w:rPr>
                <w:color w:val="000000" w:themeColor="text1"/>
              </w:rPr>
              <w:t>47.32</w:t>
            </w:r>
          </w:p>
        </w:tc>
        <w:tc>
          <w:tcPr>
            <w:tcW w:w="618" w:type="pct"/>
            <w:vAlign w:val="center"/>
          </w:tcPr>
          <w:p w14:paraId="680AEBF8" w14:textId="435AE40D" w:rsidR="004E0552" w:rsidRPr="00781112" w:rsidRDefault="004E0552" w:rsidP="004E0552">
            <w:pPr>
              <w:jc w:val="center"/>
              <w:rPr>
                <w:rFonts w:cs="Arial"/>
                <w:color w:val="000000" w:themeColor="text1"/>
                <w:szCs w:val="16"/>
              </w:rPr>
            </w:pPr>
            <w:r w:rsidRPr="00781112">
              <w:rPr>
                <w:rFonts w:cs="Arial"/>
                <w:color w:val="000000" w:themeColor="text1"/>
                <w:szCs w:val="16"/>
              </w:rPr>
              <w:t>47.00</w:t>
            </w:r>
            <w:r w:rsidRPr="00781112">
              <w:t xml:space="preserve"> </w:t>
            </w:r>
          </w:p>
        </w:tc>
        <w:tc>
          <w:tcPr>
            <w:tcW w:w="618" w:type="pct"/>
            <w:vAlign w:val="center"/>
          </w:tcPr>
          <w:p w14:paraId="060B65A2" w14:textId="3C5E7042" w:rsidR="004E0552" w:rsidRPr="00781112" w:rsidRDefault="004E0552" w:rsidP="004E0552">
            <w:pPr>
              <w:jc w:val="center"/>
              <w:rPr>
                <w:rFonts w:cs="Arial"/>
                <w:color w:val="000000" w:themeColor="text1"/>
                <w:szCs w:val="16"/>
              </w:rPr>
            </w:pPr>
            <w:r w:rsidRPr="00781112">
              <w:rPr>
                <w:rFonts w:cs="Arial"/>
                <w:color w:val="000000" w:themeColor="text1"/>
                <w:szCs w:val="16"/>
              </w:rPr>
              <w:t>47.00</w:t>
            </w:r>
          </w:p>
        </w:tc>
        <w:tc>
          <w:tcPr>
            <w:tcW w:w="618" w:type="pct"/>
            <w:vAlign w:val="center"/>
          </w:tcPr>
          <w:p w14:paraId="7E46B7D6" w14:textId="00FC807B" w:rsidR="004E0552" w:rsidRPr="00781112" w:rsidRDefault="004E0552" w:rsidP="004E0552">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A079196" w14:textId="4665429A" w:rsidR="004E0552" w:rsidRPr="00781112" w:rsidRDefault="004E0552" w:rsidP="004E0552">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0F6929A5" w14:textId="0FD4F063" w:rsidR="004E0552" w:rsidRPr="00781112" w:rsidRDefault="004E0552" w:rsidP="004E0552">
            <w:pPr>
              <w:jc w:val="center"/>
              <w:rPr>
                <w:rFonts w:cs="Arial"/>
                <w:color w:val="000000" w:themeColor="text1"/>
                <w:szCs w:val="16"/>
              </w:rPr>
            </w:pPr>
            <w:r w:rsidRPr="00781112">
              <w:rPr>
                <w:rFonts w:cs="Arial"/>
                <w:color w:val="000000" w:themeColor="text1"/>
                <w:szCs w:val="16"/>
              </w:rPr>
              <w:t>20.00</w:t>
            </w:r>
          </w:p>
        </w:tc>
      </w:tr>
      <w:tr w:rsidR="004E0552" w:rsidRPr="00781112" w14:paraId="109FA148" w14:textId="77777777" w:rsidTr="00E95FBF">
        <w:tc>
          <w:tcPr>
            <w:tcW w:w="415" w:type="pct"/>
            <w:shd w:val="clear" w:color="auto" w:fill="auto"/>
            <w:vAlign w:val="center"/>
          </w:tcPr>
          <w:p w14:paraId="5CAAC2A8"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4E0552" w:rsidRPr="00781112" w:rsidDel="00DB0A73" w:rsidRDefault="004E0552" w:rsidP="004E0552">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0F27926F" w:rsidR="004E0552" w:rsidRPr="00781112" w:rsidRDefault="004E0552" w:rsidP="004E0552">
            <w:pPr>
              <w:jc w:val="center"/>
              <w:rPr>
                <w:rFonts w:cs="Arial"/>
                <w:color w:val="000000" w:themeColor="text1"/>
                <w:szCs w:val="16"/>
              </w:rPr>
            </w:pPr>
            <w:r>
              <w:rPr>
                <w:rFonts w:cs="Arial"/>
                <w:color w:val="000000" w:themeColor="text1"/>
                <w:szCs w:val="16"/>
              </w:rPr>
              <w:t>44.99</w:t>
            </w:r>
          </w:p>
        </w:tc>
        <w:tc>
          <w:tcPr>
            <w:tcW w:w="618" w:type="pct"/>
            <w:vAlign w:val="center"/>
          </w:tcPr>
          <w:p w14:paraId="5D544F8D" w14:textId="7D5BE3EF" w:rsidR="004E0552" w:rsidRPr="00781112" w:rsidRDefault="004E0552" w:rsidP="004E0552">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067CAD2B" w14:textId="5DA2AE3C" w:rsidR="004E0552" w:rsidRPr="00781112" w:rsidRDefault="004E0552" w:rsidP="004E0552">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780BEF08" w14:textId="2245CB58" w:rsidR="004E0552" w:rsidRPr="00781112" w:rsidRDefault="004E0552" w:rsidP="004E0552">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CDE10BF" w14:textId="33273B74" w:rsidR="004E0552" w:rsidRPr="00781112" w:rsidRDefault="004E0552" w:rsidP="004E0552">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6E355F8D" w14:textId="15BCA2D6" w:rsidR="004E0552" w:rsidRPr="00781112" w:rsidRDefault="004E0552" w:rsidP="004E0552">
            <w:pPr>
              <w:jc w:val="center"/>
              <w:rPr>
                <w:rFonts w:cs="Arial"/>
                <w:color w:val="000000" w:themeColor="text1"/>
                <w:szCs w:val="16"/>
              </w:rPr>
            </w:pPr>
            <w:r w:rsidRPr="00781112">
              <w:rPr>
                <w:rFonts w:cs="Arial"/>
                <w:color w:val="000000" w:themeColor="text1"/>
                <w:szCs w:val="16"/>
              </w:rPr>
              <w:t>20.00</w:t>
            </w:r>
          </w:p>
        </w:tc>
      </w:tr>
      <w:tr w:rsidR="004E0552" w:rsidRPr="00781112" w14:paraId="736D24EA" w14:textId="77777777" w:rsidTr="00E95FBF">
        <w:tc>
          <w:tcPr>
            <w:tcW w:w="415" w:type="pct"/>
            <w:shd w:val="clear" w:color="auto" w:fill="auto"/>
            <w:vAlign w:val="center"/>
          </w:tcPr>
          <w:p w14:paraId="56FB00C6"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4E0552" w:rsidRPr="00781112" w:rsidDel="00DB0A73" w:rsidRDefault="004E0552" w:rsidP="004E0552">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588121D6" w:rsidR="004E0552" w:rsidRPr="00781112" w:rsidRDefault="004E0552" w:rsidP="004E0552">
            <w:pPr>
              <w:jc w:val="center"/>
              <w:rPr>
                <w:rFonts w:cs="Arial"/>
                <w:color w:val="000000" w:themeColor="text1"/>
                <w:szCs w:val="16"/>
              </w:rPr>
            </w:pPr>
            <w:r>
              <w:rPr>
                <w:rFonts w:cs="Arial"/>
                <w:color w:val="000000" w:themeColor="text1"/>
                <w:szCs w:val="16"/>
              </w:rPr>
              <w:t>55.99</w:t>
            </w:r>
          </w:p>
        </w:tc>
        <w:tc>
          <w:tcPr>
            <w:tcW w:w="618" w:type="pct"/>
            <w:vAlign w:val="center"/>
          </w:tcPr>
          <w:p w14:paraId="12D9F716" w14:textId="7A56543C" w:rsidR="004E0552" w:rsidRPr="00781112" w:rsidRDefault="004E0552" w:rsidP="004E0552">
            <w:pPr>
              <w:jc w:val="center"/>
              <w:rPr>
                <w:rFonts w:cs="Arial"/>
                <w:color w:val="000000" w:themeColor="text1"/>
                <w:szCs w:val="16"/>
              </w:rPr>
            </w:pPr>
            <w:r w:rsidRPr="00781112">
              <w:rPr>
                <w:rFonts w:cs="Arial"/>
                <w:color w:val="000000" w:themeColor="text1"/>
                <w:szCs w:val="16"/>
              </w:rPr>
              <w:t>55.00</w:t>
            </w:r>
          </w:p>
        </w:tc>
        <w:tc>
          <w:tcPr>
            <w:tcW w:w="618" w:type="pct"/>
            <w:vAlign w:val="center"/>
          </w:tcPr>
          <w:p w14:paraId="4EE8CD33" w14:textId="2A4DD9F9" w:rsidR="004E0552" w:rsidRPr="00781112" w:rsidRDefault="004E0552" w:rsidP="004E0552">
            <w:pPr>
              <w:jc w:val="center"/>
              <w:rPr>
                <w:rFonts w:cs="Arial"/>
                <w:color w:val="000000" w:themeColor="text1"/>
                <w:szCs w:val="16"/>
              </w:rPr>
            </w:pPr>
            <w:r w:rsidRPr="00781112">
              <w:rPr>
                <w:rFonts w:cs="Arial"/>
                <w:color w:val="000000" w:themeColor="text1"/>
                <w:szCs w:val="16"/>
              </w:rPr>
              <w:t>55.00</w:t>
            </w:r>
          </w:p>
        </w:tc>
        <w:tc>
          <w:tcPr>
            <w:tcW w:w="618" w:type="pct"/>
            <w:vAlign w:val="center"/>
          </w:tcPr>
          <w:p w14:paraId="5414FEEF" w14:textId="05CDB931" w:rsidR="004E0552" w:rsidRPr="00781112" w:rsidRDefault="004E0552" w:rsidP="004E0552">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4484F5C2" w14:textId="609E66AA" w:rsidR="004E0552" w:rsidRPr="00781112" w:rsidRDefault="004E0552" w:rsidP="004E0552">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3BD4F2A3" w14:textId="11A34A06" w:rsidR="004E0552" w:rsidRPr="00781112" w:rsidRDefault="004E0552" w:rsidP="004E0552">
            <w:pPr>
              <w:jc w:val="center"/>
              <w:rPr>
                <w:rFonts w:cs="Arial"/>
                <w:color w:val="000000" w:themeColor="text1"/>
                <w:szCs w:val="16"/>
              </w:rPr>
            </w:pPr>
            <w:r w:rsidRPr="00781112">
              <w:rPr>
                <w:rFonts w:cs="Arial"/>
                <w:color w:val="000000" w:themeColor="text1"/>
                <w:szCs w:val="16"/>
              </w:rPr>
              <w:t>25.00</w:t>
            </w:r>
          </w:p>
        </w:tc>
      </w:tr>
      <w:tr w:rsidR="004E0552" w:rsidRPr="00781112" w14:paraId="311AB0DD" w14:textId="77777777" w:rsidTr="00E95FBF">
        <w:tc>
          <w:tcPr>
            <w:tcW w:w="415" w:type="pct"/>
            <w:shd w:val="clear" w:color="auto" w:fill="auto"/>
            <w:vAlign w:val="center"/>
          </w:tcPr>
          <w:p w14:paraId="3D2E0CB6"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4E0552" w:rsidRPr="00781112" w:rsidDel="00DB0A73" w:rsidRDefault="004E0552" w:rsidP="004E0552">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181EE1E8" w:rsidR="004E0552" w:rsidRPr="00781112" w:rsidRDefault="004E0552" w:rsidP="004E0552">
            <w:pPr>
              <w:jc w:val="center"/>
              <w:rPr>
                <w:rFonts w:cs="Arial"/>
                <w:color w:val="000000" w:themeColor="text1"/>
                <w:szCs w:val="16"/>
              </w:rPr>
            </w:pPr>
            <w:r>
              <w:rPr>
                <w:rFonts w:cs="Arial"/>
                <w:color w:val="000000" w:themeColor="text1"/>
                <w:szCs w:val="16"/>
              </w:rPr>
              <w:t>40.98</w:t>
            </w:r>
          </w:p>
        </w:tc>
        <w:tc>
          <w:tcPr>
            <w:tcW w:w="618" w:type="pct"/>
            <w:vAlign w:val="center"/>
          </w:tcPr>
          <w:p w14:paraId="7E46501E" w14:textId="6CB1A41D" w:rsidR="004E0552" w:rsidRPr="00781112" w:rsidRDefault="004E0552" w:rsidP="004E0552">
            <w:pPr>
              <w:jc w:val="center"/>
              <w:rPr>
                <w:rFonts w:cs="Arial"/>
                <w:color w:val="000000" w:themeColor="text1"/>
                <w:szCs w:val="16"/>
              </w:rPr>
            </w:pPr>
            <w:r w:rsidRPr="00781112">
              <w:rPr>
                <w:rFonts w:cs="Arial"/>
                <w:color w:val="000000" w:themeColor="text1"/>
                <w:szCs w:val="16"/>
              </w:rPr>
              <w:t>47.00</w:t>
            </w:r>
          </w:p>
        </w:tc>
        <w:tc>
          <w:tcPr>
            <w:tcW w:w="618" w:type="pct"/>
            <w:vAlign w:val="center"/>
          </w:tcPr>
          <w:p w14:paraId="6A7C9997" w14:textId="58A4736A" w:rsidR="004E0552" w:rsidRPr="00781112" w:rsidRDefault="004E0552" w:rsidP="004E0552">
            <w:pPr>
              <w:jc w:val="center"/>
              <w:rPr>
                <w:rFonts w:cs="Arial"/>
                <w:color w:val="000000" w:themeColor="text1"/>
                <w:szCs w:val="16"/>
              </w:rPr>
            </w:pPr>
            <w:r w:rsidRPr="00781112">
              <w:rPr>
                <w:rFonts w:cs="Arial"/>
                <w:color w:val="000000" w:themeColor="text1"/>
                <w:szCs w:val="16"/>
              </w:rPr>
              <w:t>47.00</w:t>
            </w:r>
          </w:p>
        </w:tc>
        <w:tc>
          <w:tcPr>
            <w:tcW w:w="618" w:type="pct"/>
            <w:vAlign w:val="center"/>
          </w:tcPr>
          <w:p w14:paraId="491D1816" w14:textId="09E4A313" w:rsidR="004E0552" w:rsidRPr="00781112" w:rsidRDefault="004E0552" w:rsidP="004E0552">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C31E2D9" w14:textId="6B280022" w:rsidR="004E0552" w:rsidRPr="00781112" w:rsidRDefault="004E0552" w:rsidP="004E0552">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20D89D63" w14:textId="498D5E44" w:rsidR="004E0552" w:rsidRPr="00781112" w:rsidRDefault="004E0552" w:rsidP="004E0552">
            <w:pPr>
              <w:jc w:val="center"/>
              <w:rPr>
                <w:rFonts w:cs="Arial"/>
                <w:color w:val="000000" w:themeColor="text1"/>
                <w:szCs w:val="16"/>
              </w:rPr>
            </w:pPr>
            <w:r w:rsidRPr="00781112">
              <w:rPr>
                <w:rFonts w:cs="Arial"/>
                <w:color w:val="000000" w:themeColor="text1"/>
                <w:szCs w:val="16"/>
              </w:rPr>
              <w:t>20.00</w:t>
            </w:r>
          </w:p>
        </w:tc>
      </w:tr>
      <w:tr w:rsidR="004E0552" w:rsidRPr="00781112" w14:paraId="1F14A6A0" w14:textId="77777777" w:rsidTr="00E95FBF">
        <w:tc>
          <w:tcPr>
            <w:tcW w:w="415" w:type="pct"/>
            <w:shd w:val="clear" w:color="auto" w:fill="auto"/>
            <w:vAlign w:val="center"/>
          </w:tcPr>
          <w:p w14:paraId="67FFD637"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4E0552" w:rsidRPr="00781112" w:rsidDel="00DB0A73" w:rsidRDefault="004E0552" w:rsidP="004E0552">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30EC0E9" w:rsidR="004E0552" w:rsidRPr="00781112" w:rsidRDefault="004E0552" w:rsidP="004E0552">
            <w:pPr>
              <w:jc w:val="center"/>
              <w:rPr>
                <w:rFonts w:cs="Arial"/>
                <w:color w:val="000000" w:themeColor="text1"/>
                <w:szCs w:val="16"/>
              </w:rPr>
            </w:pPr>
            <w:r>
              <w:rPr>
                <w:rFonts w:cs="Arial"/>
                <w:color w:val="000000" w:themeColor="text1"/>
                <w:szCs w:val="16"/>
              </w:rPr>
              <w:t>38.22</w:t>
            </w:r>
          </w:p>
        </w:tc>
        <w:tc>
          <w:tcPr>
            <w:tcW w:w="618" w:type="pct"/>
            <w:vAlign w:val="center"/>
          </w:tcPr>
          <w:p w14:paraId="627C9FA2" w14:textId="428379CE" w:rsidR="004E0552" w:rsidRPr="00781112" w:rsidRDefault="004E0552" w:rsidP="004E0552">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6204E3FD" w14:textId="081B5532" w:rsidR="004E0552" w:rsidRPr="00781112" w:rsidRDefault="004E0552" w:rsidP="004E0552">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70AB4E74" w14:textId="67486BA0" w:rsidR="004E0552" w:rsidRPr="00781112" w:rsidRDefault="004E0552" w:rsidP="004E0552">
            <w:pPr>
              <w:jc w:val="center"/>
              <w:rPr>
                <w:rFonts w:cs="Arial"/>
                <w:color w:val="000000" w:themeColor="text1"/>
                <w:szCs w:val="16"/>
              </w:rPr>
            </w:pPr>
            <w:r w:rsidRPr="00781112">
              <w:rPr>
                <w:rFonts w:cs="Arial"/>
                <w:color w:val="000000" w:themeColor="text1"/>
                <w:szCs w:val="16"/>
              </w:rPr>
              <w:t>40.00</w:t>
            </w:r>
          </w:p>
        </w:tc>
        <w:tc>
          <w:tcPr>
            <w:tcW w:w="618" w:type="pct"/>
            <w:vAlign w:val="center"/>
          </w:tcPr>
          <w:p w14:paraId="76EDA768" w14:textId="58627E7B" w:rsidR="004E0552" w:rsidRPr="00781112" w:rsidRDefault="004E0552" w:rsidP="004E0552">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163C36F2" w14:textId="38E4F837" w:rsidR="004E0552" w:rsidRPr="00781112" w:rsidRDefault="004E0552" w:rsidP="004E0552">
            <w:pPr>
              <w:jc w:val="center"/>
              <w:rPr>
                <w:rFonts w:cs="Arial"/>
                <w:color w:val="000000" w:themeColor="text1"/>
                <w:szCs w:val="16"/>
              </w:rPr>
            </w:pPr>
            <w:r w:rsidRPr="00781112">
              <w:rPr>
                <w:rFonts w:cs="Arial"/>
                <w:color w:val="000000" w:themeColor="text1"/>
                <w:szCs w:val="16"/>
              </w:rPr>
              <w:t>20.00</w:t>
            </w:r>
          </w:p>
        </w:tc>
      </w:tr>
      <w:tr w:rsidR="004E0552" w:rsidRPr="00781112" w14:paraId="60CD7006" w14:textId="77777777" w:rsidTr="00E95FBF">
        <w:tc>
          <w:tcPr>
            <w:tcW w:w="415" w:type="pct"/>
            <w:shd w:val="clear" w:color="auto" w:fill="auto"/>
            <w:vAlign w:val="center"/>
          </w:tcPr>
          <w:p w14:paraId="76491141"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4E0552" w:rsidRPr="00781112" w:rsidRDefault="004E0552" w:rsidP="004E0552">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4E0552" w:rsidRPr="00781112" w:rsidDel="00DB0A73" w:rsidRDefault="004E0552" w:rsidP="004E0552">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37041E7D" w:rsidR="004E0552" w:rsidRPr="00781112" w:rsidRDefault="004E0552" w:rsidP="004E0552">
            <w:pPr>
              <w:jc w:val="center"/>
              <w:rPr>
                <w:rFonts w:cs="Arial"/>
                <w:color w:val="000000" w:themeColor="text1"/>
                <w:szCs w:val="16"/>
              </w:rPr>
            </w:pPr>
            <w:r>
              <w:rPr>
                <w:rFonts w:cs="Arial"/>
                <w:color w:val="000000" w:themeColor="text1"/>
                <w:szCs w:val="16"/>
              </w:rPr>
              <w:t>26.91</w:t>
            </w:r>
          </w:p>
        </w:tc>
        <w:tc>
          <w:tcPr>
            <w:tcW w:w="618" w:type="pct"/>
            <w:vAlign w:val="center"/>
          </w:tcPr>
          <w:p w14:paraId="294118D4" w14:textId="54195603" w:rsidR="004E0552" w:rsidRPr="00781112" w:rsidRDefault="004E0552" w:rsidP="004E0552">
            <w:pPr>
              <w:jc w:val="center"/>
              <w:rPr>
                <w:rFonts w:cs="Arial"/>
                <w:color w:val="000000" w:themeColor="text1"/>
                <w:szCs w:val="16"/>
              </w:rPr>
            </w:pPr>
            <w:r w:rsidRPr="00781112">
              <w:rPr>
                <w:rFonts w:cs="Arial"/>
                <w:color w:val="000000" w:themeColor="text1"/>
                <w:szCs w:val="16"/>
              </w:rPr>
              <w:t>55.00</w:t>
            </w:r>
          </w:p>
        </w:tc>
        <w:tc>
          <w:tcPr>
            <w:tcW w:w="618" w:type="pct"/>
            <w:vAlign w:val="center"/>
          </w:tcPr>
          <w:p w14:paraId="41623CC8" w14:textId="4F75F535" w:rsidR="004E0552" w:rsidRPr="00781112" w:rsidRDefault="004E0552" w:rsidP="004E0552">
            <w:pPr>
              <w:jc w:val="center"/>
              <w:rPr>
                <w:rFonts w:cs="Arial"/>
                <w:color w:val="000000" w:themeColor="text1"/>
                <w:szCs w:val="16"/>
              </w:rPr>
            </w:pPr>
            <w:r w:rsidRPr="00781112">
              <w:rPr>
                <w:rFonts w:cs="Arial"/>
                <w:color w:val="000000" w:themeColor="text1"/>
                <w:szCs w:val="16"/>
              </w:rPr>
              <w:t>55.00</w:t>
            </w:r>
          </w:p>
        </w:tc>
        <w:tc>
          <w:tcPr>
            <w:tcW w:w="618" w:type="pct"/>
            <w:vAlign w:val="center"/>
          </w:tcPr>
          <w:p w14:paraId="70C28E3C" w14:textId="4F91601C" w:rsidR="004E0552" w:rsidRPr="00781112" w:rsidRDefault="004E0552" w:rsidP="004E0552">
            <w:pPr>
              <w:jc w:val="center"/>
              <w:rPr>
                <w:rFonts w:cs="Arial"/>
                <w:color w:val="000000" w:themeColor="text1"/>
                <w:szCs w:val="16"/>
              </w:rPr>
            </w:pPr>
            <w:r w:rsidRPr="00781112">
              <w:rPr>
                <w:rFonts w:cs="Arial"/>
                <w:color w:val="000000" w:themeColor="text1"/>
                <w:szCs w:val="16"/>
              </w:rPr>
              <w:t>45.00</w:t>
            </w:r>
          </w:p>
        </w:tc>
        <w:tc>
          <w:tcPr>
            <w:tcW w:w="618" w:type="pct"/>
            <w:vAlign w:val="center"/>
          </w:tcPr>
          <w:p w14:paraId="72D77BDF" w14:textId="662A73D4" w:rsidR="004E0552" w:rsidRPr="00781112" w:rsidRDefault="004E0552" w:rsidP="004E0552">
            <w:pPr>
              <w:jc w:val="center"/>
              <w:rPr>
                <w:rFonts w:cs="Arial"/>
                <w:color w:val="000000" w:themeColor="text1"/>
                <w:szCs w:val="16"/>
              </w:rPr>
            </w:pPr>
            <w:r w:rsidRPr="00781112">
              <w:rPr>
                <w:rFonts w:cs="Arial"/>
                <w:color w:val="000000" w:themeColor="text1"/>
                <w:szCs w:val="16"/>
              </w:rPr>
              <w:t>35.00</w:t>
            </w:r>
          </w:p>
        </w:tc>
        <w:tc>
          <w:tcPr>
            <w:tcW w:w="618" w:type="pct"/>
            <w:vAlign w:val="center"/>
          </w:tcPr>
          <w:p w14:paraId="4FB7FF64" w14:textId="767C83EF" w:rsidR="004E0552" w:rsidRPr="00781112" w:rsidRDefault="004E0552" w:rsidP="004E0552">
            <w:pPr>
              <w:jc w:val="center"/>
              <w:rPr>
                <w:rFonts w:cs="Arial"/>
                <w:color w:val="000000" w:themeColor="text1"/>
                <w:szCs w:val="16"/>
              </w:rPr>
            </w:pPr>
            <w:r w:rsidRPr="00781112">
              <w:rPr>
                <w:rFonts w:cs="Arial"/>
                <w:color w:val="000000" w:themeColor="text1"/>
                <w:szCs w:val="16"/>
              </w:rPr>
              <w:t>25.00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6</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1,663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1,467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1,236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96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lastRenderedPageBreak/>
              <w:t>c. All students in regular assessment with no accommodations scored at or above proficient against grade level</w:t>
            </w:r>
          </w:p>
        </w:tc>
        <w:tc>
          <w:tcPr>
            <w:tcW w:w="1083" w:type="pct"/>
            <w:shd w:val="clear" w:color="auto" w:fill="auto"/>
            <w:vAlign w:val="center"/>
          </w:tcPr>
          <w:p w14:paraId="6E23C4D0" w14:textId="64BF8D66" w:rsidR="002D3EE6" w:rsidRPr="00781112" w:rsidRDefault="0047275B" w:rsidP="0047275B">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c>
          <w:tcPr>
            <w:tcW w:w="1084" w:type="pct"/>
            <w:shd w:val="clear" w:color="auto" w:fill="auto"/>
            <w:vAlign w:val="center"/>
          </w:tcPr>
          <w:p w14:paraId="6D42641C" w14:textId="1B814991" w:rsidR="002D3EE6" w:rsidRPr="0047275B" w:rsidRDefault="0047275B" w:rsidP="0047275B">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2"/>
              <w:t>1</w:t>
            </w:r>
          </w:p>
        </w:tc>
        <w:tc>
          <w:tcPr>
            <w:tcW w:w="1084" w:type="pct"/>
            <w:shd w:val="clear" w:color="auto" w:fill="auto"/>
            <w:vAlign w:val="center"/>
          </w:tcPr>
          <w:p w14:paraId="27076C73" w14:textId="77B71148"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3"/>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1C1EB08C"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4"/>
              <w:t>1</w:t>
            </w:r>
          </w:p>
        </w:tc>
        <w:tc>
          <w:tcPr>
            <w:tcW w:w="1084" w:type="pct"/>
            <w:shd w:val="clear" w:color="auto" w:fill="auto"/>
            <w:vAlign w:val="center"/>
          </w:tcPr>
          <w:p w14:paraId="5FB5C795" w14:textId="5701222F"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5"/>
              <w:t>1</w:t>
            </w:r>
          </w:p>
        </w:tc>
        <w:tc>
          <w:tcPr>
            <w:tcW w:w="1084" w:type="pct"/>
            <w:shd w:val="clear" w:color="auto" w:fill="auto"/>
            <w:vAlign w:val="center"/>
          </w:tcPr>
          <w:p w14:paraId="5BB68E9F" w14:textId="6DF2AC75"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6"/>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51E37A19" w:rsidR="002D3EE6" w:rsidRPr="00781112" w:rsidRDefault="0047275B" w:rsidP="002D3EE6">
            <w:pPr>
              <w:jc w:val="center"/>
              <w:rPr>
                <w:rFonts w:cs="Arial"/>
                <w:color w:val="000000" w:themeColor="text1"/>
                <w:szCs w:val="16"/>
              </w:rPr>
            </w:pPr>
            <w:bookmarkStart w:id="17" w:name="_Hlk110251414"/>
            <w:r w:rsidRPr="00B979A2">
              <w:rPr>
                <w:rFonts w:cs="Arial"/>
                <w:color w:val="000000" w:themeColor="text1"/>
                <w:szCs w:val="16"/>
              </w:rPr>
              <w:t>*</w:t>
            </w:r>
            <w:r w:rsidRPr="00B979A2">
              <w:rPr>
                <w:rStyle w:val="FootnoteReference"/>
                <w:rFonts w:cs="Arial"/>
                <w:color w:val="000000" w:themeColor="text1"/>
                <w:szCs w:val="16"/>
              </w:rPr>
              <w:footnoteReference w:customMarkFollows="1" w:id="87"/>
              <w:t>1</w:t>
            </w:r>
            <w:bookmarkEnd w:id="17"/>
          </w:p>
        </w:tc>
        <w:tc>
          <w:tcPr>
            <w:tcW w:w="1084" w:type="pct"/>
            <w:shd w:val="clear" w:color="auto" w:fill="auto"/>
            <w:vAlign w:val="center"/>
          </w:tcPr>
          <w:p w14:paraId="7D7B8A72" w14:textId="30405A65"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8"/>
              <w:t>1</w:t>
            </w:r>
          </w:p>
        </w:tc>
        <w:tc>
          <w:tcPr>
            <w:tcW w:w="1084" w:type="pct"/>
            <w:shd w:val="clear" w:color="auto" w:fill="auto"/>
            <w:vAlign w:val="center"/>
          </w:tcPr>
          <w:p w14:paraId="077B2856" w14:textId="4F1AAFB3"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9"/>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7AC9BD5F"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0"/>
              <w:t>1</w:t>
            </w:r>
          </w:p>
        </w:tc>
        <w:tc>
          <w:tcPr>
            <w:tcW w:w="1084" w:type="pct"/>
            <w:shd w:val="clear" w:color="auto" w:fill="auto"/>
            <w:vAlign w:val="center"/>
          </w:tcPr>
          <w:p w14:paraId="0E65D7AB" w14:textId="786E116F"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1"/>
              <w:t>1</w:t>
            </w:r>
          </w:p>
        </w:tc>
        <w:tc>
          <w:tcPr>
            <w:tcW w:w="1084" w:type="pct"/>
            <w:shd w:val="clear" w:color="auto" w:fill="auto"/>
            <w:vAlign w:val="center"/>
          </w:tcPr>
          <w:p w14:paraId="740F6FA5" w14:textId="12648424" w:rsidR="002D3EE6" w:rsidRPr="00781112" w:rsidRDefault="0047275B"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2"/>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1,769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1,463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2,460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93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468E2C57"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3"/>
              <w:t>1</w:t>
            </w:r>
          </w:p>
        </w:tc>
        <w:tc>
          <w:tcPr>
            <w:tcW w:w="1083" w:type="pct"/>
            <w:shd w:val="clear" w:color="auto" w:fill="auto"/>
            <w:vAlign w:val="center"/>
          </w:tcPr>
          <w:p w14:paraId="7CCA2E3B" w14:textId="1848B303"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4"/>
              <w:t>1</w:t>
            </w:r>
          </w:p>
        </w:tc>
        <w:tc>
          <w:tcPr>
            <w:tcW w:w="1084" w:type="pct"/>
            <w:shd w:val="clear" w:color="auto" w:fill="auto"/>
            <w:vAlign w:val="center"/>
          </w:tcPr>
          <w:p w14:paraId="735C7B5A" w14:textId="02BA67B2"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5"/>
              <w:t>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0A52BCF2"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6"/>
              <w:t>1</w:t>
            </w:r>
          </w:p>
        </w:tc>
        <w:tc>
          <w:tcPr>
            <w:tcW w:w="1083" w:type="pct"/>
            <w:shd w:val="clear" w:color="auto" w:fill="auto"/>
            <w:vAlign w:val="center"/>
          </w:tcPr>
          <w:p w14:paraId="3CDBB055" w14:textId="38A64A19"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7"/>
              <w:t>1</w:t>
            </w:r>
          </w:p>
        </w:tc>
        <w:tc>
          <w:tcPr>
            <w:tcW w:w="1084" w:type="pct"/>
            <w:shd w:val="clear" w:color="auto" w:fill="auto"/>
            <w:vAlign w:val="center"/>
          </w:tcPr>
          <w:p w14:paraId="53087BDA" w14:textId="3321A9E4"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8"/>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3B86A775"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9"/>
              <w:t>1</w:t>
            </w:r>
          </w:p>
        </w:tc>
        <w:tc>
          <w:tcPr>
            <w:tcW w:w="1083" w:type="pct"/>
            <w:shd w:val="clear" w:color="auto" w:fill="auto"/>
            <w:vAlign w:val="center"/>
          </w:tcPr>
          <w:p w14:paraId="0A64567E" w14:textId="04068089"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0"/>
              <w:t>1</w:t>
            </w:r>
          </w:p>
        </w:tc>
        <w:tc>
          <w:tcPr>
            <w:tcW w:w="1084" w:type="pct"/>
            <w:shd w:val="clear" w:color="auto" w:fill="auto"/>
            <w:vAlign w:val="center"/>
          </w:tcPr>
          <w:p w14:paraId="4656C7C9" w14:textId="7EB8A7B7"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1"/>
              <w:t>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381CEB3A"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2"/>
              <w:t>1</w:t>
            </w:r>
          </w:p>
        </w:tc>
        <w:tc>
          <w:tcPr>
            <w:tcW w:w="1083" w:type="pct"/>
            <w:shd w:val="clear" w:color="auto" w:fill="auto"/>
            <w:vAlign w:val="center"/>
          </w:tcPr>
          <w:p w14:paraId="1A17DFA3" w14:textId="4CC9FD16"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3"/>
              <w:t>1</w:t>
            </w:r>
          </w:p>
        </w:tc>
        <w:tc>
          <w:tcPr>
            <w:tcW w:w="1084" w:type="pct"/>
            <w:shd w:val="clear" w:color="auto" w:fill="auto"/>
            <w:vAlign w:val="center"/>
          </w:tcPr>
          <w:p w14:paraId="20EB2770" w14:textId="6765FD40" w:rsidR="0039534D" w:rsidRPr="00781112" w:rsidRDefault="0047275B"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4"/>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4E0552" w:rsidRPr="00781112" w14:paraId="190DF2EB" w14:textId="77777777" w:rsidTr="00360DD6">
        <w:tc>
          <w:tcPr>
            <w:tcW w:w="331" w:type="pct"/>
            <w:shd w:val="clear" w:color="auto" w:fill="auto"/>
            <w:vAlign w:val="center"/>
          </w:tcPr>
          <w:p w14:paraId="3AAB1776" w14:textId="77777777" w:rsidR="004E0552" w:rsidRPr="00781112" w:rsidRDefault="004E0552" w:rsidP="004E0552">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4E0552" w:rsidRPr="00781112" w:rsidDel="00DE5045" w:rsidRDefault="004E0552" w:rsidP="004E0552">
            <w:pPr>
              <w:jc w:val="center"/>
              <w:rPr>
                <w:rFonts w:cs="Arial"/>
                <w:color w:val="000000" w:themeColor="text1"/>
                <w:szCs w:val="16"/>
              </w:rPr>
            </w:pPr>
            <w:r w:rsidRPr="00781112">
              <w:rPr>
                <w:rFonts w:cs="Arial"/>
                <w:color w:val="000000" w:themeColor="text1"/>
                <w:szCs w:val="16"/>
              </w:rPr>
              <w:t>Grade 6</w:t>
            </w:r>
          </w:p>
        </w:tc>
        <w:tc>
          <w:tcPr>
            <w:tcW w:w="812" w:type="pct"/>
            <w:shd w:val="clear" w:color="auto" w:fill="auto"/>
          </w:tcPr>
          <w:p w14:paraId="05BCB412" w14:textId="009D2261"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5"/>
              <w:t>1</w:t>
            </w:r>
          </w:p>
        </w:tc>
        <w:tc>
          <w:tcPr>
            <w:tcW w:w="812" w:type="pct"/>
            <w:shd w:val="clear" w:color="auto" w:fill="auto"/>
            <w:vAlign w:val="center"/>
          </w:tcPr>
          <w:p w14:paraId="3354BCD4" w14:textId="1261DBC4"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6"/>
              <w:t>1</w:t>
            </w:r>
          </w:p>
        </w:tc>
        <w:tc>
          <w:tcPr>
            <w:tcW w:w="516" w:type="pct"/>
            <w:shd w:val="clear" w:color="auto" w:fill="auto"/>
            <w:vAlign w:val="center"/>
          </w:tcPr>
          <w:p w14:paraId="54DCE3E3" w14:textId="767528A8" w:rsidR="004E0552" w:rsidRPr="00781112" w:rsidRDefault="004E0552" w:rsidP="004E0552">
            <w:pPr>
              <w:jc w:val="center"/>
              <w:rPr>
                <w:rFonts w:cs="Arial"/>
                <w:color w:val="000000" w:themeColor="text1"/>
                <w:szCs w:val="16"/>
              </w:rPr>
            </w:pPr>
          </w:p>
        </w:tc>
        <w:tc>
          <w:tcPr>
            <w:tcW w:w="517" w:type="pct"/>
            <w:shd w:val="clear" w:color="auto" w:fill="auto"/>
            <w:vAlign w:val="center"/>
          </w:tcPr>
          <w:p w14:paraId="391F5142" w14:textId="278F0C89" w:rsidR="004E0552" w:rsidRPr="00781112" w:rsidRDefault="004E0552" w:rsidP="004E0552">
            <w:pPr>
              <w:jc w:val="center"/>
              <w:rPr>
                <w:rFonts w:cs="Arial"/>
                <w:color w:val="000000" w:themeColor="text1"/>
                <w:szCs w:val="16"/>
              </w:rPr>
            </w:pPr>
            <w:r>
              <w:rPr>
                <w:color w:val="000000" w:themeColor="text1"/>
              </w:rPr>
              <w:t>47.32</w:t>
            </w:r>
          </w:p>
        </w:tc>
        <w:tc>
          <w:tcPr>
            <w:tcW w:w="517" w:type="pct"/>
            <w:shd w:val="clear" w:color="auto" w:fill="auto"/>
            <w:vAlign w:val="center"/>
          </w:tcPr>
          <w:p w14:paraId="017D29FF" w14:textId="4E4680EC" w:rsidR="004E0552" w:rsidRPr="00781112" w:rsidRDefault="004E0552" w:rsidP="004E0552">
            <w:pPr>
              <w:jc w:val="center"/>
              <w:rPr>
                <w:rFonts w:cs="Arial"/>
                <w:color w:val="000000" w:themeColor="text1"/>
                <w:szCs w:val="16"/>
              </w:rPr>
            </w:pPr>
            <w:r>
              <w:rPr>
                <w:color w:val="000000" w:themeColor="text1"/>
              </w:rPr>
              <w:t>47.32</w:t>
            </w:r>
          </w:p>
        </w:tc>
        <w:tc>
          <w:tcPr>
            <w:tcW w:w="517" w:type="pct"/>
            <w:shd w:val="clear" w:color="auto" w:fill="auto"/>
            <w:vAlign w:val="center"/>
          </w:tcPr>
          <w:p w14:paraId="39C0C705" w14:textId="1211FD2B"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r>
      <w:tr w:rsidR="004E0552" w:rsidRPr="00781112" w14:paraId="4FDDF1FC" w14:textId="77777777" w:rsidTr="00360DD6">
        <w:tc>
          <w:tcPr>
            <w:tcW w:w="331" w:type="pct"/>
            <w:shd w:val="clear" w:color="auto" w:fill="auto"/>
            <w:vAlign w:val="center"/>
          </w:tcPr>
          <w:p w14:paraId="472CE57B" w14:textId="77777777" w:rsidR="004E0552" w:rsidRPr="00781112" w:rsidRDefault="004E0552" w:rsidP="004E0552">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4E0552" w:rsidRPr="00781112" w:rsidDel="00DE5045" w:rsidRDefault="004E0552" w:rsidP="004E0552">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66FCD004"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7"/>
              <w:t>1</w:t>
            </w:r>
          </w:p>
        </w:tc>
        <w:tc>
          <w:tcPr>
            <w:tcW w:w="812" w:type="pct"/>
            <w:shd w:val="clear" w:color="auto" w:fill="auto"/>
            <w:vAlign w:val="center"/>
          </w:tcPr>
          <w:p w14:paraId="375F78DA" w14:textId="306035AD"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8"/>
              <w:t>1</w:t>
            </w:r>
          </w:p>
        </w:tc>
        <w:tc>
          <w:tcPr>
            <w:tcW w:w="516" w:type="pct"/>
            <w:shd w:val="clear" w:color="auto" w:fill="auto"/>
            <w:vAlign w:val="center"/>
          </w:tcPr>
          <w:p w14:paraId="64AC26EC" w14:textId="4F9A3CF6" w:rsidR="004E0552" w:rsidRPr="00781112" w:rsidRDefault="004E0552" w:rsidP="004E0552">
            <w:pPr>
              <w:jc w:val="center"/>
              <w:rPr>
                <w:rFonts w:cs="Arial"/>
                <w:color w:val="000000" w:themeColor="text1"/>
                <w:szCs w:val="16"/>
              </w:rPr>
            </w:pPr>
          </w:p>
        </w:tc>
        <w:tc>
          <w:tcPr>
            <w:tcW w:w="517" w:type="pct"/>
            <w:shd w:val="clear" w:color="auto" w:fill="auto"/>
            <w:vAlign w:val="center"/>
          </w:tcPr>
          <w:p w14:paraId="3B5E22DF" w14:textId="068CA13D" w:rsidR="004E0552" w:rsidRPr="00781112" w:rsidRDefault="004E0552" w:rsidP="004E0552">
            <w:pPr>
              <w:jc w:val="center"/>
              <w:rPr>
                <w:rFonts w:cs="Arial"/>
                <w:color w:val="000000" w:themeColor="text1"/>
                <w:szCs w:val="16"/>
              </w:rPr>
            </w:pPr>
            <w:r>
              <w:rPr>
                <w:rFonts w:cs="Arial"/>
                <w:color w:val="000000" w:themeColor="text1"/>
                <w:szCs w:val="16"/>
              </w:rPr>
              <w:t>44.99</w:t>
            </w:r>
          </w:p>
        </w:tc>
        <w:tc>
          <w:tcPr>
            <w:tcW w:w="517" w:type="pct"/>
            <w:shd w:val="clear" w:color="auto" w:fill="auto"/>
            <w:vAlign w:val="center"/>
          </w:tcPr>
          <w:p w14:paraId="256C9782" w14:textId="26520C93" w:rsidR="004E0552" w:rsidRPr="00781112" w:rsidRDefault="004E0552" w:rsidP="004E0552">
            <w:pPr>
              <w:jc w:val="center"/>
              <w:rPr>
                <w:rFonts w:cs="Arial"/>
                <w:color w:val="000000" w:themeColor="text1"/>
                <w:szCs w:val="16"/>
              </w:rPr>
            </w:pPr>
            <w:r>
              <w:rPr>
                <w:rFonts w:cs="Arial"/>
                <w:color w:val="000000" w:themeColor="text1"/>
                <w:szCs w:val="16"/>
              </w:rPr>
              <w:t>44.99</w:t>
            </w:r>
          </w:p>
        </w:tc>
        <w:tc>
          <w:tcPr>
            <w:tcW w:w="517" w:type="pct"/>
            <w:shd w:val="clear" w:color="auto" w:fill="auto"/>
            <w:vAlign w:val="center"/>
          </w:tcPr>
          <w:p w14:paraId="51FD2F8A" w14:textId="67567519"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r>
      <w:tr w:rsidR="004E0552" w:rsidRPr="00781112" w14:paraId="4A60F932" w14:textId="77777777" w:rsidTr="00360DD6">
        <w:tc>
          <w:tcPr>
            <w:tcW w:w="331" w:type="pct"/>
            <w:shd w:val="clear" w:color="auto" w:fill="auto"/>
            <w:vAlign w:val="center"/>
          </w:tcPr>
          <w:p w14:paraId="109942AA" w14:textId="77777777" w:rsidR="004E0552" w:rsidRPr="00781112" w:rsidRDefault="004E0552" w:rsidP="004E0552">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4E0552" w:rsidRPr="00781112" w:rsidDel="00DE5045" w:rsidRDefault="004E0552" w:rsidP="004E0552">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64A1252E"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9"/>
              <w:t>1</w:t>
            </w:r>
          </w:p>
        </w:tc>
        <w:tc>
          <w:tcPr>
            <w:tcW w:w="812" w:type="pct"/>
            <w:shd w:val="clear" w:color="auto" w:fill="auto"/>
            <w:vAlign w:val="center"/>
          </w:tcPr>
          <w:p w14:paraId="1276E93C" w14:textId="1C3B7707"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0"/>
              <w:t>1</w:t>
            </w:r>
          </w:p>
        </w:tc>
        <w:tc>
          <w:tcPr>
            <w:tcW w:w="516" w:type="pct"/>
            <w:shd w:val="clear" w:color="auto" w:fill="auto"/>
            <w:vAlign w:val="center"/>
          </w:tcPr>
          <w:p w14:paraId="76DE5213" w14:textId="3C97B5A2" w:rsidR="004E0552" w:rsidRPr="00781112" w:rsidRDefault="004E0552" w:rsidP="004E0552">
            <w:pPr>
              <w:jc w:val="center"/>
              <w:rPr>
                <w:rFonts w:cs="Arial"/>
                <w:color w:val="000000" w:themeColor="text1"/>
                <w:szCs w:val="16"/>
              </w:rPr>
            </w:pPr>
          </w:p>
        </w:tc>
        <w:tc>
          <w:tcPr>
            <w:tcW w:w="517" w:type="pct"/>
            <w:shd w:val="clear" w:color="auto" w:fill="auto"/>
            <w:vAlign w:val="center"/>
          </w:tcPr>
          <w:p w14:paraId="49FF9458" w14:textId="48EF043C" w:rsidR="004E0552" w:rsidRPr="00781112" w:rsidRDefault="004E0552" w:rsidP="004E0552">
            <w:pPr>
              <w:jc w:val="center"/>
              <w:rPr>
                <w:rFonts w:cs="Arial"/>
                <w:color w:val="000000" w:themeColor="text1"/>
                <w:szCs w:val="16"/>
              </w:rPr>
            </w:pPr>
            <w:r>
              <w:rPr>
                <w:rFonts w:cs="Arial"/>
                <w:color w:val="000000" w:themeColor="text1"/>
                <w:szCs w:val="16"/>
              </w:rPr>
              <w:t>55.99</w:t>
            </w:r>
          </w:p>
        </w:tc>
        <w:tc>
          <w:tcPr>
            <w:tcW w:w="517" w:type="pct"/>
            <w:shd w:val="clear" w:color="auto" w:fill="auto"/>
            <w:vAlign w:val="center"/>
          </w:tcPr>
          <w:p w14:paraId="6CEACE1B" w14:textId="400AEC3C" w:rsidR="004E0552" w:rsidRPr="00781112" w:rsidRDefault="004E0552" w:rsidP="004E0552">
            <w:pPr>
              <w:jc w:val="center"/>
              <w:rPr>
                <w:rFonts w:cs="Arial"/>
                <w:color w:val="000000" w:themeColor="text1"/>
                <w:szCs w:val="16"/>
              </w:rPr>
            </w:pPr>
            <w:r>
              <w:rPr>
                <w:rFonts w:cs="Arial"/>
                <w:color w:val="000000" w:themeColor="text1"/>
                <w:szCs w:val="16"/>
              </w:rPr>
              <w:t>55.99</w:t>
            </w:r>
          </w:p>
        </w:tc>
        <w:tc>
          <w:tcPr>
            <w:tcW w:w="517" w:type="pct"/>
            <w:shd w:val="clear" w:color="auto" w:fill="auto"/>
            <w:vAlign w:val="center"/>
          </w:tcPr>
          <w:p w14:paraId="06F1CF5C" w14:textId="7AA9C548"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4E0552" w:rsidRPr="00781112" w14:paraId="37123996" w14:textId="77777777" w:rsidTr="001B7E95">
        <w:tc>
          <w:tcPr>
            <w:tcW w:w="331" w:type="pct"/>
            <w:shd w:val="clear" w:color="auto" w:fill="auto"/>
            <w:vAlign w:val="center"/>
          </w:tcPr>
          <w:p w14:paraId="689B01B1" w14:textId="77777777" w:rsidR="004E0552" w:rsidRPr="00781112" w:rsidRDefault="004E0552" w:rsidP="004E0552">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4E0552" w:rsidRPr="00781112" w:rsidDel="00DE5045" w:rsidRDefault="004E0552" w:rsidP="004E0552">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3250E91A"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1"/>
              <w:t>1</w:t>
            </w:r>
          </w:p>
        </w:tc>
        <w:tc>
          <w:tcPr>
            <w:tcW w:w="834" w:type="pct"/>
            <w:shd w:val="clear" w:color="auto" w:fill="auto"/>
            <w:vAlign w:val="center"/>
          </w:tcPr>
          <w:p w14:paraId="361835CD" w14:textId="7B81A692"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2"/>
              <w:t>1</w:t>
            </w:r>
          </w:p>
        </w:tc>
        <w:tc>
          <w:tcPr>
            <w:tcW w:w="508" w:type="pct"/>
            <w:shd w:val="clear" w:color="auto" w:fill="auto"/>
            <w:vAlign w:val="center"/>
          </w:tcPr>
          <w:p w14:paraId="59D4C214" w14:textId="5AA8261A" w:rsidR="004E0552" w:rsidRPr="00781112" w:rsidRDefault="004E0552" w:rsidP="004E0552">
            <w:pPr>
              <w:jc w:val="center"/>
              <w:rPr>
                <w:rFonts w:cs="Arial"/>
                <w:color w:val="000000" w:themeColor="text1"/>
                <w:szCs w:val="16"/>
              </w:rPr>
            </w:pPr>
          </w:p>
        </w:tc>
        <w:tc>
          <w:tcPr>
            <w:tcW w:w="508" w:type="pct"/>
            <w:shd w:val="clear" w:color="auto" w:fill="auto"/>
            <w:vAlign w:val="center"/>
          </w:tcPr>
          <w:p w14:paraId="5226537A" w14:textId="611C863F" w:rsidR="004E0552" w:rsidRPr="00781112" w:rsidRDefault="004E0552" w:rsidP="004E0552">
            <w:pPr>
              <w:jc w:val="center"/>
              <w:rPr>
                <w:rFonts w:cs="Arial"/>
                <w:color w:val="000000" w:themeColor="text1"/>
                <w:szCs w:val="16"/>
              </w:rPr>
            </w:pPr>
            <w:r>
              <w:rPr>
                <w:rFonts w:cs="Arial"/>
                <w:color w:val="000000" w:themeColor="text1"/>
                <w:szCs w:val="16"/>
              </w:rPr>
              <w:t>40.98</w:t>
            </w:r>
          </w:p>
        </w:tc>
        <w:tc>
          <w:tcPr>
            <w:tcW w:w="508" w:type="pct"/>
            <w:shd w:val="clear" w:color="auto" w:fill="auto"/>
            <w:vAlign w:val="center"/>
          </w:tcPr>
          <w:p w14:paraId="235D63D6" w14:textId="69732401" w:rsidR="004E0552" w:rsidRPr="00781112" w:rsidRDefault="004E0552" w:rsidP="004E0552">
            <w:pPr>
              <w:jc w:val="center"/>
              <w:rPr>
                <w:rFonts w:cs="Arial"/>
                <w:color w:val="000000" w:themeColor="text1"/>
                <w:szCs w:val="16"/>
              </w:rPr>
            </w:pPr>
            <w:r>
              <w:rPr>
                <w:rFonts w:cs="Arial"/>
                <w:color w:val="000000" w:themeColor="text1"/>
                <w:szCs w:val="16"/>
              </w:rPr>
              <w:t>40.98</w:t>
            </w:r>
          </w:p>
        </w:tc>
        <w:tc>
          <w:tcPr>
            <w:tcW w:w="508" w:type="pct"/>
            <w:shd w:val="clear" w:color="auto" w:fill="auto"/>
            <w:vAlign w:val="center"/>
          </w:tcPr>
          <w:p w14:paraId="50CBCD87" w14:textId="7E9D9F0C"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r>
      <w:tr w:rsidR="004E0552" w:rsidRPr="00781112" w14:paraId="0DE5EFED" w14:textId="77777777" w:rsidTr="001B7E95">
        <w:tc>
          <w:tcPr>
            <w:tcW w:w="331" w:type="pct"/>
            <w:shd w:val="clear" w:color="auto" w:fill="auto"/>
            <w:vAlign w:val="center"/>
          </w:tcPr>
          <w:p w14:paraId="51380788" w14:textId="77777777" w:rsidR="004E0552" w:rsidRPr="00781112" w:rsidRDefault="004E0552" w:rsidP="004E0552">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4E0552" w:rsidRPr="00781112" w:rsidDel="00DE5045" w:rsidRDefault="004E0552" w:rsidP="004E0552">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48FCF3EA"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3"/>
              <w:t>1</w:t>
            </w:r>
          </w:p>
        </w:tc>
        <w:tc>
          <w:tcPr>
            <w:tcW w:w="834" w:type="pct"/>
            <w:shd w:val="clear" w:color="auto" w:fill="auto"/>
            <w:vAlign w:val="center"/>
          </w:tcPr>
          <w:p w14:paraId="11774D79" w14:textId="62292CE1"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4"/>
              <w:t>1</w:t>
            </w:r>
          </w:p>
        </w:tc>
        <w:tc>
          <w:tcPr>
            <w:tcW w:w="508" w:type="pct"/>
            <w:shd w:val="clear" w:color="auto" w:fill="auto"/>
            <w:vAlign w:val="center"/>
          </w:tcPr>
          <w:p w14:paraId="28E3CF1C" w14:textId="69751C29" w:rsidR="004E0552" w:rsidRPr="00781112" w:rsidRDefault="004E0552" w:rsidP="004E0552">
            <w:pPr>
              <w:jc w:val="center"/>
              <w:rPr>
                <w:rFonts w:cs="Arial"/>
                <w:color w:val="000000" w:themeColor="text1"/>
                <w:szCs w:val="16"/>
              </w:rPr>
            </w:pPr>
          </w:p>
        </w:tc>
        <w:tc>
          <w:tcPr>
            <w:tcW w:w="508" w:type="pct"/>
            <w:shd w:val="clear" w:color="auto" w:fill="auto"/>
            <w:vAlign w:val="center"/>
          </w:tcPr>
          <w:p w14:paraId="468D28D5" w14:textId="09C766CA" w:rsidR="004E0552" w:rsidRPr="00781112" w:rsidRDefault="004E0552" w:rsidP="004E0552">
            <w:pPr>
              <w:jc w:val="center"/>
              <w:rPr>
                <w:rFonts w:cs="Arial"/>
                <w:color w:val="000000" w:themeColor="text1"/>
                <w:szCs w:val="16"/>
              </w:rPr>
            </w:pPr>
            <w:r>
              <w:rPr>
                <w:rFonts w:cs="Arial"/>
                <w:color w:val="000000" w:themeColor="text1"/>
                <w:szCs w:val="16"/>
              </w:rPr>
              <w:t>38.22</w:t>
            </w:r>
          </w:p>
        </w:tc>
        <w:tc>
          <w:tcPr>
            <w:tcW w:w="508" w:type="pct"/>
            <w:shd w:val="clear" w:color="auto" w:fill="auto"/>
            <w:vAlign w:val="center"/>
          </w:tcPr>
          <w:p w14:paraId="30644E0B" w14:textId="0BB69C48" w:rsidR="004E0552" w:rsidRPr="00781112" w:rsidRDefault="004E0552" w:rsidP="004E0552">
            <w:pPr>
              <w:jc w:val="center"/>
              <w:rPr>
                <w:rFonts w:cs="Arial"/>
                <w:color w:val="000000" w:themeColor="text1"/>
                <w:szCs w:val="16"/>
              </w:rPr>
            </w:pPr>
            <w:r>
              <w:rPr>
                <w:rFonts w:cs="Arial"/>
                <w:color w:val="000000" w:themeColor="text1"/>
                <w:szCs w:val="16"/>
              </w:rPr>
              <w:t>38.22</w:t>
            </w:r>
          </w:p>
        </w:tc>
        <w:tc>
          <w:tcPr>
            <w:tcW w:w="508" w:type="pct"/>
            <w:shd w:val="clear" w:color="auto" w:fill="auto"/>
            <w:vAlign w:val="center"/>
          </w:tcPr>
          <w:p w14:paraId="1312CD99" w14:textId="5541B25D"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r>
      <w:tr w:rsidR="004E0552" w:rsidRPr="00781112" w14:paraId="36AFD504" w14:textId="77777777" w:rsidTr="001B7E95">
        <w:tc>
          <w:tcPr>
            <w:tcW w:w="331" w:type="pct"/>
            <w:shd w:val="clear" w:color="auto" w:fill="auto"/>
            <w:vAlign w:val="center"/>
          </w:tcPr>
          <w:p w14:paraId="4932227A" w14:textId="77777777" w:rsidR="004E0552" w:rsidRPr="00781112" w:rsidRDefault="004E0552" w:rsidP="004E0552">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4E0552" w:rsidRPr="00781112" w:rsidDel="00DE5045" w:rsidRDefault="004E0552" w:rsidP="004E0552">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00EBF7E2"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5"/>
              <w:t>1</w:t>
            </w:r>
          </w:p>
        </w:tc>
        <w:tc>
          <w:tcPr>
            <w:tcW w:w="834" w:type="pct"/>
            <w:shd w:val="clear" w:color="auto" w:fill="auto"/>
            <w:vAlign w:val="center"/>
          </w:tcPr>
          <w:p w14:paraId="13AB3928" w14:textId="3B8A70AF" w:rsidR="004E0552" w:rsidRPr="00781112" w:rsidRDefault="004E0552" w:rsidP="004E0552">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6"/>
              <w:t>1</w:t>
            </w:r>
          </w:p>
        </w:tc>
        <w:tc>
          <w:tcPr>
            <w:tcW w:w="508" w:type="pct"/>
            <w:shd w:val="clear" w:color="auto" w:fill="auto"/>
            <w:vAlign w:val="center"/>
          </w:tcPr>
          <w:p w14:paraId="2ABC747F" w14:textId="158D9570" w:rsidR="004E0552" w:rsidRPr="00781112" w:rsidRDefault="004E0552" w:rsidP="004E0552">
            <w:pPr>
              <w:jc w:val="center"/>
              <w:rPr>
                <w:rFonts w:cs="Arial"/>
                <w:color w:val="000000" w:themeColor="text1"/>
                <w:szCs w:val="16"/>
              </w:rPr>
            </w:pPr>
          </w:p>
        </w:tc>
        <w:tc>
          <w:tcPr>
            <w:tcW w:w="508" w:type="pct"/>
            <w:shd w:val="clear" w:color="auto" w:fill="auto"/>
            <w:vAlign w:val="center"/>
          </w:tcPr>
          <w:p w14:paraId="1ACDF21F" w14:textId="58295B16" w:rsidR="004E0552" w:rsidRPr="00781112" w:rsidRDefault="004E0552" w:rsidP="004E0552">
            <w:pPr>
              <w:jc w:val="center"/>
              <w:rPr>
                <w:rFonts w:cs="Arial"/>
                <w:color w:val="000000" w:themeColor="text1"/>
                <w:szCs w:val="16"/>
              </w:rPr>
            </w:pPr>
            <w:r>
              <w:rPr>
                <w:rFonts w:cs="Arial"/>
                <w:color w:val="000000" w:themeColor="text1"/>
                <w:szCs w:val="16"/>
              </w:rPr>
              <w:t>26.91</w:t>
            </w:r>
          </w:p>
        </w:tc>
        <w:tc>
          <w:tcPr>
            <w:tcW w:w="508" w:type="pct"/>
            <w:shd w:val="clear" w:color="auto" w:fill="auto"/>
            <w:vAlign w:val="center"/>
          </w:tcPr>
          <w:p w14:paraId="69CE5BC3" w14:textId="5854B72D" w:rsidR="004E0552" w:rsidRPr="00781112" w:rsidRDefault="004E0552" w:rsidP="004E0552">
            <w:pPr>
              <w:jc w:val="center"/>
              <w:rPr>
                <w:rFonts w:cs="Arial"/>
                <w:color w:val="000000" w:themeColor="text1"/>
                <w:szCs w:val="16"/>
              </w:rPr>
            </w:pPr>
            <w:r>
              <w:rPr>
                <w:rFonts w:cs="Arial"/>
                <w:color w:val="000000" w:themeColor="text1"/>
                <w:szCs w:val="16"/>
              </w:rPr>
              <w:t>26.91</w:t>
            </w:r>
          </w:p>
        </w:tc>
        <w:tc>
          <w:tcPr>
            <w:tcW w:w="508" w:type="pct"/>
            <w:shd w:val="clear" w:color="auto" w:fill="auto"/>
            <w:vAlign w:val="center"/>
          </w:tcPr>
          <w:p w14:paraId="2CA33323" w14:textId="59FD6DC7"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4E0552" w:rsidRPr="00781112" w:rsidRDefault="004E0552" w:rsidP="004E0552">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FSM has established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FSM provided targets for FFYs 2020 through 2025 for this indicator, and OSEP accepts those targets.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Federated States of Micronesia, National Department of Education (FSM NDOE) is a unitary education system with the delivery of special education and related services implemented in the four FSM island states: Chuuk, Kosrae, Pohnpei, and Yap. Given FSM's unique geographic context, NDOE has established a general supervision structure similar to a State Education Agency (SEA) and Local Education Agency (LEA) structure for administering, supervising, and monitoring the implementation of the Individuals with Disabilities Education Act (IDEA) requirements. NDOE serves as the SEA responsible for the general supervision of special education and related services delivered in the four island states through their Department of Education, which serve as the LEAs. FSM is therefore using the 4A calculation methodology of comparing the rates of suspensions and expulsions of greater than 10 days in a school year for children with IEPs among the four LEAs in FSM; while still reporting FSM as a unitary system - one district.</w:t>
      </w:r>
      <w:r w:rsidRPr="00781112">
        <w:rPr>
          <w:rFonts w:cs="Arial"/>
          <w:color w:val="000000" w:themeColor="text1"/>
          <w:szCs w:val="16"/>
        </w:rPr>
        <w:br/>
      </w:r>
      <w:r w:rsidRPr="00781112">
        <w:rPr>
          <w:rFonts w:cs="Arial"/>
          <w:color w:val="000000" w:themeColor="text1"/>
          <w:szCs w:val="16"/>
        </w:rPr>
        <w:br/>
        <w:t>FSM’s definition of “significant discrepancy” is a 2% difference between the four island states or LEAs. This is calculated by determining each LEA’s rate and then analyzing the rates to determine if any LEA’s rate is 2% more than the lowest LEA rate. A review of the data from year to year will provide additional information for revising, if needed, FSM’s “significant discrepancy” definition. This annual review will be conducted because FSM has been reporting in previous years “0” suspension/expulsion for greater than 10 days for children with disabilities.</w:t>
      </w:r>
      <w:r w:rsidRPr="00781112">
        <w:rPr>
          <w:rFonts w:cs="Arial"/>
          <w:color w:val="000000" w:themeColor="text1"/>
          <w:szCs w:val="16"/>
        </w:rPr>
        <w:br/>
      </w:r>
      <w:r w:rsidRPr="00781112">
        <w:rPr>
          <w:rFonts w:cs="Arial"/>
          <w:color w:val="000000" w:themeColor="text1"/>
          <w:szCs w:val="16"/>
        </w:rPr>
        <w:br/>
        <w:t>Following the one-year lag data for FFY 2020, in 2019-2020, FSM reported "1" long-term suspension/expulsion greater than 10 days in its 618 Discipline data report for one FSM state/LEA.  The percentage calculated for this LEA was 0.72% (1/139).  The other three LEAs did not report any long-term suspension/expulsion greater than 10 days.  The difference between the LEAs therefore did not exceed the 2% "significant discrepancy" rate definition.</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FSM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OSEP's instructions, Indicator 4B does not apply to FSM.</w:t>
      </w: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p>
    <w:p w14:paraId="52AD89A1" w14:textId="77777777" w:rsidR="00775845" w:rsidRPr="00781112" w:rsidRDefault="00775845" w:rsidP="00A018D4">
      <w:pPr>
        <w:rPr>
          <w:color w:val="000000" w:themeColor="text1"/>
          <w:szCs w:val="20"/>
        </w:rPr>
      </w:pPr>
      <w:bookmarkStart w:id="2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92.50%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92.75%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93.00%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93.50%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93.50%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5C3CE30D" w:rsidR="00BB7BC9" w:rsidRPr="00781112" w:rsidRDefault="00C833FD"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7"/>
              <w:t>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94.41%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93.72%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94.20%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91.87%</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0.00%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2045C0F8" w:rsidR="00BB7BC9" w:rsidRPr="00781112" w:rsidRDefault="00C833FD"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8"/>
              <w:t>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0.31%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0.32%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0.35%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0.24%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0.25%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44C08281" w:rsidR="00BB7BC9" w:rsidRPr="00781112" w:rsidRDefault="00C833FD" w:rsidP="00A018D4">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9"/>
              <w:t>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5.24%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5.11%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218F5AEC" w:rsidR="00D62058" w:rsidRPr="00781112" w:rsidRDefault="00BD743E" w:rsidP="00BD743E">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0"/>
              <w:t>1</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90.00%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92.75%</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6DA040FE" w:rsidR="00D62058" w:rsidRPr="00BD743E" w:rsidRDefault="00BD743E" w:rsidP="00BD743E">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1"/>
              <w:t>1</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0.12%</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0.12%</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0.11%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0.11%</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0.10%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79AC485A" w:rsidR="00D62058" w:rsidRPr="00781112" w:rsidRDefault="00BD743E" w:rsidP="00D6205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2"/>
              <w:t>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4.50%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4.20%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3.90%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3.60%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3.30%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lastRenderedPageBreak/>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2A7290" w:rsidRPr="00781112" w14:paraId="701A6E97" w14:textId="77777777" w:rsidTr="00AB0D6A">
        <w:trPr>
          <w:trHeight w:val="380"/>
        </w:trPr>
        <w:tc>
          <w:tcPr>
            <w:tcW w:w="1207" w:type="pct"/>
            <w:shd w:val="clear" w:color="auto" w:fill="auto"/>
            <w:vAlign w:val="center"/>
          </w:tcPr>
          <w:p w14:paraId="35A4BC35" w14:textId="73E52F94" w:rsidR="002A7290" w:rsidRPr="00781112" w:rsidRDefault="002A7290" w:rsidP="002A72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2A7290" w:rsidRPr="00781112" w:rsidRDefault="002A7290" w:rsidP="002A7290">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2A7290" w:rsidRPr="00781112" w:rsidRDefault="002A7290" w:rsidP="002A7290">
            <w:pPr>
              <w:jc w:val="center"/>
              <w:rPr>
                <w:rFonts w:cs="Arial"/>
                <w:color w:val="000000" w:themeColor="text1"/>
                <w:szCs w:val="16"/>
              </w:rPr>
            </w:pPr>
            <w:r w:rsidRPr="00781112">
              <w:rPr>
                <w:rFonts w:cs="Arial"/>
                <w:color w:val="000000" w:themeColor="text1"/>
                <w:szCs w:val="16"/>
              </w:rPr>
              <w:t xml:space="preserve">Total number of children with IEPs aged </w:t>
            </w:r>
            <w:r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258E7DF5" w:rsidR="002A7290" w:rsidRPr="00781112" w:rsidRDefault="002A7290" w:rsidP="002A7290">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3"/>
              <w:t>1</w:t>
            </w:r>
          </w:p>
        </w:tc>
      </w:tr>
      <w:tr w:rsidR="002A7290" w:rsidRPr="00781112" w14:paraId="774B0393" w14:textId="77777777" w:rsidTr="00AB0D6A">
        <w:trPr>
          <w:trHeight w:val="380"/>
        </w:trPr>
        <w:tc>
          <w:tcPr>
            <w:tcW w:w="1207" w:type="pct"/>
            <w:shd w:val="clear" w:color="auto" w:fill="auto"/>
            <w:vAlign w:val="center"/>
          </w:tcPr>
          <w:p w14:paraId="41118E4B" w14:textId="707D9C2B" w:rsidR="002A7290" w:rsidRPr="00781112" w:rsidRDefault="002A7290" w:rsidP="002A72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2A7290" w:rsidRPr="00781112" w:rsidRDefault="002A7290" w:rsidP="002A7290">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2A7290" w:rsidRPr="00781112" w:rsidRDefault="002A7290" w:rsidP="002A7290">
            <w:pPr>
              <w:jc w:val="center"/>
              <w:rPr>
                <w:rFonts w:cs="Arial"/>
                <w:color w:val="000000" w:themeColor="text1"/>
                <w:szCs w:val="16"/>
              </w:rPr>
            </w:pPr>
            <w:r w:rsidRPr="00781112">
              <w:rPr>
                <w:rFonts w:cs="Arial"/>
                <w:color w:val="000000" w:themeColor="text1"/>
                <w:szCs w:val="16"/>
              </w:rPr>
              <w:t xml:space="preserve">A. Number of children with IEPs aged </w:t>
            </w:r>
            <w:r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04183EA3" w:rsidR="002A7290" w:rsidRPr="00781112" w:rsidRDefault="002A7290" w:rsidP="002A7290">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4"/>
              <w:t>1</w:t>
            </w:r>
          </w:p>
        </w:tc>
      </w:tr>
      <w:tr w:rsidR="002A7290" w:rsidRPr="00781112" w14:paraId="1BE24412" w14:textId="77777777" w:rsidTr="00AB0D6A">
        <w:trPr>
          <w:trHeight w:val="380"/>
        </w:trPr>
        <w:tc>
          <w:tcPr>
            <w:tcW w:w="1207" w:type="pct"/>
            <w:shd w:val="clear" w:color="auto" w:fill="auto"/>
            <w:vAlign w:val="center"/>
          </w:tcPr>
          <w:p w14:paraId="13D524C0" w14:textId="46F357A5" w:rsidR="002A7290" w:rsidRPr="00781112" w:rsidRDefault="002A7290" w:rsidP="002A72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2A7290" w:rsidRPr="00781112" w:rsidRDefault="002A7290" w:rsidP="002A7290">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2A7290" w:rsidRPr="00781112" w:rsidRDefault="002A7290" w:rsidP="002A7290">
            <w:pPr>
              <w:jc w:val="center"/>
              <w:rPr>
                <w:rFonts w:cs="Arial"/>
                <w:color w:val="000000" w:themeColor="text1"/>
                <w:szCs w:val="16"/>
              </w:rPr>
            </w:pPr>
            <w:r w:rsidRPr="00781112">
              <w:rPr>
                <w:rFonts w:cs="Arial"/>
                <w:color w:val="000000" w:themeColor="text1"/>
                <w:szCs w:val="16"/>
              </w:rPr>
              <w:t xml:space="preserve">B. Number of children with IEPs aged </w:t>
            </w:r>
            <w:r w:rsidRPr="00781112">
              <w:rPr>
                <w:rFonts w:cs="Arial"/>
                <w:szCs w:val="16"/>
              </w:rPr>
              <w:t>5 (kindergarten)</w:t>
            </w:r>
            <w:r w:rsidRPr="00781112">
              <w:rPr>
                <w:rFonts w:cs="Arial"/>
                <w:color w:val="000000" w:themeColor="text1"/>
                <w:szCs w:val="16"/>
              </w:rPr>
              <w:t xml:space="preserve"> through 21 inside the regular class less than 40% of the day</w:t>
            </w:r>
          </w:p>
        </w:tc>
        <w:tc>
          <w:tcPr>
            <w:tcW w:w="873" w:type="pct"/>
            <w:shd w:val="clear" w:color="auto" w:fill="auto"/>
            <w:vAlign w:val="center"/>
          </w:tcPr>
          <w:p w14:paraId="33B90725" w14:textId="3630D9AA" w:rsidR="002A7290" w:rsidRPr="00781112" w:rsidRDefault="002A7290" w:rsidP="002A7290">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5"/>
              <w:t>1</w:t>
            </w:r>
          </w:p>
        </w:tc>
      </w:tr>
      <w:tr w:rsidR="002A7290" w:rsidRPr="00781112" w14:paraId="17A5A2B3" w14:textId="77777777" w:rsidTr="00AB0D6A">
        <w:trPr>
          <w:trHeight w:val="380"/>
        </w:trPr>
        <w:tc>
          <w:tcPr>
            <w:tcW w:w="1207" w:type="pct"/>
            <w:shd w:val="clear" w:color="auto" w:fill="auto"/>
            <w:vAlign w:val="center"/>
          </w:tcPr>
          <w:p w14:paraId="525A2ED8" w14:textId="4E94BB5B" w:rsidR="002A7290" w:rsidRPr="00781112" w:rsidRDefault="002A7290" w:rsidP="002A7290">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68C3F92C" w14:textId="3AE47CC2" w:rsidR="002A7290" w:rsidRPr="00781112" w:rsidRDefault="002A7290" w:rsidP="002A7290">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2A7290" w:rsidRPr="00781112" w:rsidRDefault="002A7290" w:rsidP="002A7290">
            <w:pPr>
              <w:jc w:val="center"/>
              <w:rPr>
                <w:rFonts w:cs="Arial"/>
                <w:color w:val="000000" w:themeColor="text1"/>
                <w:szCs w:val="16"/>
              </w:rPr>
            </w:pPr>
            <w:r w:rsidRPr="00781112">
              <w:rPr>
                <w:rFonts w:cs="Arial"/>
                <w:color w:val="000000" w:themeColor="text1"/>
                <w:szCs w:val="16"/>
              </w:rPr>
              <w:t xml:space="preserve">c1. Number of children with IEPs aged </w:t>
            </w:r>
            <w:r w:rsidRPr="00781112">
              <w:rPr>
                <w:rFonts w:cs="Arial"/>
                <w:szCs w:val="16"/>
              </w:rPr>
              <w:t>5 (kindergarten)</w:t>
            </w:r>
            <w:r w:rsidRPr="00781112">
              <w:rPr>
                <w:rFonts w:cs="Arial"/>
                <w:color w:val="000000" w:themeColor="text1"/>
                <w:szCs w:val="16"/>
              </w:rPr>
              <w:t xml:space="preserve"> through 21 in separate schools</w:t>
            </w:r>
          </w:p>
        </w:tc>
        <w:tc>
          <w:tcPr>
            <w:tcW w:w="873" w:type="pct"/>
            <w:shd w:val="clear" w:color="auto" w:fill="auto"/>
            <w:vAlign w:val="center"/>
          </w:tcPr>
          <w:p w14:paraId="0C6DF60D" w14:textId="22EA4FBA" w:rsidR="002A7290" w:rsidRPr="0047275B" w:rsidRDefault="002A7290" w:rsidP="002A7290">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6"/>
              <w:t>1</w:t>
            </w:r>
          </w:p>
        </w:tc>
      </w:tr>
      <w:tr w:rsidR="002A7290" w:rsidRPr="00781112" w14:paraId="7C327020" w14:textId="77777777" w:rsidTr="00AB0D6A">
        <w:trPr>
          <w:trHeight w:val="380"/>
        </w:trPr>
        <w:tc>
          <w:tcPr>
            <w:tcW w:w="1207" w:type="pct"/>
            <w:shd w:val="clear" w:color="auto" w:fill="auto"/>
            <w:vAlign w:val="center"/>
          </w:tcPr>
          <w:p w14:paraId="485F7D93" w14:textId="6A92F697" w:rsidR="002A7290" w:rsidRPr="00781112" w:rsidRDefault="002A7290" w:rsidP="002A72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2A7290" w:rsidRPr="00781112" w:rsidRDefault="002A7290" w:rsidP="002A7290">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2A7290" w:rsidRPr="00781112" w:rsidRDefault="002A7290" w:rsidP="002A7290">
            <w:pPr>
              <w:jc w:val="center"/>
              <w:rPr>
                <w:rFonts w:cs="Arial"/>
                <w:color w:val="000000" w:themeColor="text1"/>
                <w:szCs w:val="16"/>
              </w:rPr>
            </w:pPr>
            <w:r w:rsidRPr="00781112">
              <w:rPr>
                <w:rFonts w:cs="Arial"/>
                <w:color w:val="000000" w:themeColor="text1"/>
                <w:szCs w:val="16"/>
              </w:rPr>
              <w:t xml:space="preserve">c2. Number of children with IEPs aged </w:t>
            </w:r>
            <w:r w:rsidRPr="00781112">
              <w:rPr>
                <w:rFonts w:cs="Arial"/>
                <w:szCs w:val="16"/>
              </w:rPr>
              <w:t>5 (kindergarten)</w:t>
            </w:r>
            <w:r w:rsidRPr="00781112">
              <w:rPr>
                <w:rFonts w:cs="Arial"/>
                <w:color w:val="000000" w:themeColor="text1"/>
                <w:szCs w:val="16"/>
              </w:rPr>
              <w:t xml:space="preserve"> through 21 in residential facilities</w:t>
            </w:r>
          </w:p>
        </w:tc>
        <w:tc>
          <w:tcPr>
            <w:tcW w:w="873" w:type="pct"/>
            <w:shd w:val="clear" w:color="auto" w:fill="auto"/>
            <w:vAlign w:val="center"/>
          </w:tcPr>
          <w:p w14:paraId="596B74CB" w14:textId="6136D9E8" w:rsidR="002A7290" w:rsidRPr="00781112" w:rsidRDefault="002A7290" w:rsidP="002A7290">
            <w:pPr>
              <w:jc w:val="center"/>
              <w:rPr>
                <w:rFonts w:cs="Arial"/>
                <w:color w:val="000000" w:themeColor="text1"/>
                <w:szCs w:val="16"/>
              </w:rPr>
            </w:pPr>
            <w:r w:rsidRPr="00781112">
              <w:rPr>
                <w:rFonts w:cs="Arial"/>
                <w:color w:val="000000" w:themeColor="text1"/>
                <w:szCs w:val="16"/>
              </w:rPr>
              <w:t>0</w:t>
            </w:r>
          </w:p>
        </w:tc>
      </w:tr>
      <w:tr w:rsidR="002A7290" w:rsidRPr="00781112" w14:paraId="16FD0FC0" w14:textId="77777777" w:rsidTr="00AB0D6A">
        <w:trPr>
          <w:trHeight w:val="380"/>
        </w:trPr>
        <w:tc>
          <w:tcPr>
            <w:tcW w:w="1207" w:type="pct"/>
            <w:shd w:val="clear" w:color="auto" w:fill="auto"/>
            <w:vAlign w:val="center"/>
          </w:tcPr>
          <w:p w14:paraId="59885F77" w14:textId="75A8CDFC" w:rsidR="002A7290" w:rsidRPr="00781112" w:rsidRDefault="002A7290" w:rsidP="002A72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2A7290" w:rsidRPr="00781112" w:rsidRDefault="002A7290" w:rsidP="002A7290">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2A7290" w:rsidRPr="00781112" w:rsidRDefault="002A7290" w:rsidP="002A7290">
            <w:pPr>
              <w:jc w:val="center"/>
              <w:rPr>
                <w:rFonts w:cs="Arial"/>
                <w:color w:val="000000" w:themeColor="text1"/>
                <w:szCs w:val="16"/>
              </w:rPr>
            </w:pPr>
            <w:r w:rsidRPr="00781112">
              <w:rPr>
                <w:rFonts w:cs="Arial"/>
                <w:color w:val="000000" w:themeColor="text1"/>
                <w:szCs w:val="16"/>
              </w:rPr>
              <w:t xml:space="preserve">c3. Number of children with IEPs aged </w:t>
            </w:r>
            <w:r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2A7290" w:rsidRPr="00781112" w:rsidRDefault="002A7290" w:rsidP="002A7290">
            <w:pPr>
              <w:jc w:val="center"/>
              <w:rPr>
                <w:rFonts w:cs="Arial"/>
                <w:color w:val="000000" w:themeColor="text1"/>
                <w:szCs w:val="16"/>
              </w:rPr>
            </w:pPr>
            <w:r w:rsidRPr="00781112">
              <w:rPr>
                <w:rFonts w:cs="Arial"/>
                <w:color w:val="000000" w:themeColor="text1"/>
                <w:szCs w:val="16"/>
              </w:rPr>
              <w:t>78</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C833FD" w:rsidRPr="00781112" w14:paraId="0CF0446C" w14:textId="0B89548D" w:rsidTr="00360DD6">
        <w:trPr>
          <w:trHeight w:val="361"/>
        </w:trPr>
        <w:tc>
          <w:tcPr>
            <w:tcW w:w="1040" w:type="pct"/>
            <w:shd w:val="clear" w:color="auto" w:fill="auto"/>
            <w:vAlign w:val="center"/>
          </w:tcPr>
          <w:p w14:paraId="389D79B9" w14:textId="5A7555F3" w:rsidR="00C833FD" w:rsidRPr="00781112" w:rsidRDefault="00C833FD" w:rsidP="00C833FD">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C833FD" w:rsidRPr="00781112" w:rsidRDefault="00C833FD" w:rsidP="00C833FD">
            <w:pPr>
              <w:jc w:val="center"/>
              <w:rPr>
                <w:rFonts w:cs="Arial"/>
                <w:color w:val="000000" w:themeColor="text1"/>
                <w:szCs w:val="16"/>
              </w:rPr>
            </w:pPr>
            <w:r w:rsidRPr="00781112">
              <w:rPr>
                <w:rFonts w:cs="Arial"/>
                <w:color w:val="000000" w:themeColor="text1"/>
                <w:szCs w:val="16"/>
              </w:rPr>
              <w:t>1,576</w:t>
            </w:r>
          </w:p>
        </w:tc>
        <w:tc>
          <w:tcPr>
            <w:tcW w:w="647" w:type="pct"/>
            <w:shd w:val="clear" w:color="auto" w:fill="auto"/>
            <w:vAlign w:val="center"/>
          </w:tcPr>
          <w:p w14:paraId="7CB3B03A" w14:textId="74A68C39"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7"/>
              <w:t>1</w:t>
            </w:r>
          </w:p>
        </w:tc>
        <w:tc>
          <w:tcPr>
            <w:tcW w:w="533" w:type="pct"/>
            <w:shd w:val="clear" w:color="auto" w:fill="auto"/>
            <w:vAlign w:val="center"/>
          </w:tcPr>
          <w:p w14:paraId="147CA5C5" w14:textId="139C91CB" w:rsidR="00C833FD" w:rsidRPr="00781112" w:rsidRDefault="00C833FD" w:rsidP="00C833FD">
            <w:pPr>
              <w:jc w:val="center"/>
              <w:rPr>
                <w:rFonts w:cs="Arial"/>
                <w:color w:val="000000" w:themeColor="text1"/>
                <w:szCs w:val="16"/>
              </w:rPr>
            </w:pPr>
            <w:r w:rsidRPr="00781112">
              <w:rPr>
                <w:rFonts w:cs="Arial"/>
                <w:color w:val="000000" w:themeColor="text1"/>
                <w:szCs w:val="16"/>
              </w:rPr>
              <w:t>91.87%</w:t>
            </w:r>
          </w:p>
        </w:tc>
        <w:tc>
          <w:tcPr>
            <w:tcW w:w="533" w:type="pct"/>
            <w:shd w:val="clear" w:color="auto" w:fill="auto"/>
            <w:vAlign w:val="center"/>
          </w:tcPr>
          <w:p w14:paraId="497D8B9F" w14:textId="096CD9BB"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8"/>
              <w:t>1</w:t>
            </w:r>
          </w:p>
        </w:tc>
        <w:tc>
          <w:tcPr>
            <w:tcW w:w="533" w:type="pct"/>
            <w:shd w:val="clear" w:color="auto" w:fill="auto"/>
            <w:vAlign w:val="center"/>
          </w:tcPr>
          <w:p w14:paraId="4B6AC9A3" w14:textId="2441FFD6"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29"/>
              <w:t>1</w:t>
            </w:r>
          </w:p>
        </w:tc>
        <w:tc>
          <w:tcPr>
            <w:tcW w:w="533" w:type="pct"/>
            <w:shd w:val="clear" w:color="auto" w:fill="auto"/>
            <w:vAlign w:val="center"/>
          </w:tcPr>
          <w:p w14:paraId="0D12A1DA" w14:textId="6C35FF67" w:rsidR="00C833FD" w:rsidRPr="00781112" w:rsidRDefault="00C833FD" w:rsidP="00C833FD">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C833FD" w:rsidRPr="00781112" w:rsidRDefault="00C833FD" w:rsidP="00C833FD">
            <w:pPr>
              <w:jc w:val="center"/>
              <w:rPr>
                <w:rFonts w:cs="Arial"/>
                <w:color w:val="000000" w:themeColor="text1"/>
                <w:szCs w:val="16"/>
              </w:rPr>
            </w:pPr>
            <w:r w:rsidRPr="00781112">
              <w:rPr>
                <w:rFonts w:cs="Arial"/>
                <w:color w:val="000000" w:themeColor="text1"/>
                <w:szCs w:val="16"/>
              </w:rPr>
              <w:t>N/A</w:t>
            </w:r>
          </w:p>
        </w:tc>
      </w:tr>
      <w:tr w:rsidR="00C833FD" w:rsidRPr="00781112" w14:paraId="0FEF5E26" w14:textId="1BAD9686" w:rsidTr="00360DD6">
        <w:trPr>
          <w:trHeight w:val="361"/>
        </w:trPr>
        <w:tc>
          <w:tcPr>
            <w:tcW w:w="1040" w:type="pct"/>
            <w:shd w:val="clear" w:color="auto" w:fill="auto"/>
            <w:vAlign w:val="center"/>
          </w:tcPr>
          <w:p w14:paraId="787D8C24" w14:textId="626F335A" w:rsidR="00C833FD" w:rsidRPr="00781112" w:rsidRDefault="00C833FD" w:rsidP="00C833FD">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1B2D633E"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0"/>
              <w:t>1</w:t>
            </w:r>
          </w:p>
        </w:tc>
        <w:tc>
          <w:tcPr>
            <w:tcW w:w="647" w:type="pct"/>
            <w:shd w:val="clear" w:color="auto" w:fill="auto"/>
            <w:vAlign w:val="center"/>
          </w:tcPr>
          <w:p w14:paraId="6BB5ED43" w14:textId="76D77994"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1"/>
              <w:t>1</w:t>
            </w:r>
          </w:p>
        </w:tc>
        <w:tc>
          <w:tcPr>
            <w:tcW w:w="533" w:type="pct"/>
            <w:shd w:val="clear" w:color="auto" w:fill="auto"/>
            <w:vAlign w:val="center"/>
          </w:tcPr>
          <w:p w14:paraId="3D5C1070" w14:textId="57DABC44" w:rsidR="00C833FD" w:rsidRPr="00781112" w:rsidRDefault="00C833FD" w:rsidP="00C833FD">
            <w:pPr>
              <w:jc w:val="center"/>
              <w:rPr>
                <w:rFonts w:cs="Arial"/>
                <w:color w:val="000000" w:themeColor="text1"/>
                <w:szCs w:val="16"/>
              </w:rPr>
            </w:pPr>
            <w:r w:rsidRPr="00781112">
              <w:rPr>
                <w:rFonts w:cs="Arial"/>
                <w:color w:val="000000" w:themeColor="text1"/>
                <w:szCs w:val="16"/>
              </w:rPr>
              <w:t>0.25%</w:t>
            </w:r>
          </w:p>
        </w:tc>
        <w:tc>
          <w:tcPr>
            <w:tcW w:w="533" w:type="pct"/>
            <w:shd w:val="clear" w:color="auto" w:fill="auto"/>
            <w:vAlign w:val="center"/>
          </w:tcPr>
          <w:p w14:paraId="02F3CF00" w14:textId="3295EAF2"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2"/>
              <w:t>1</w:t>
            </w:r>
          </w:p>
        </w:tc>
        <w:tc>
          <w:tcPr>
            <w:tcW w:w="533" w:type="pct"/>
            <w:shd w:val="clear" w:color="auto" w:fill="auto"/>
            <w:vAlign w:val="center"/>
          </w:tcPr>
          <w:p w14:paraId="07434586" w14:textId="5BF9EC08"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3"/>
              <w:t>1</w:t>
            </w:r>
          </w:p>
        </w:tc>
        <w:tc>
          <w:tcPr>
            <w:tcW w:w="533" w:type="pct"/>
            <w:shd w:val="clear" w:color="auto" w:fill="auto"/>
            <w:vAlign w:val="center"/>
          </w:tcPr>
          <w:p w14:paraId="59BFCAE8" w14:textId="7F9BACFA" w:rsidR="00C833FD" w:rsidRPr="00781112" w:rsidRDefault="00C833FD" w:rsidP="00C833FD">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C833FD" w:rsidRPr="00781112" w:rsidRDefault="00C833FD" w:rsidP="00C833FD">
            <w:pPr>
              <w:jc w:val="center"/>
              <w:rPr>
                <w:rFonts w:cs="Arial"/>
                <w:color w:val="000000" w:themeColor="text1"/>
                <w:szCs w:val="16"/>
              </w:rPr>
            </w:pPr>
            <w:r w:rsidRPr="00781112">
              <w:rPr>
                <w:rFonts w:cs="Arial"/>
                <w:color w:val="000000" w:themeColor="text1"/>
                <w:szCs w:val="16"/>
              </w:rPr>
              <w:t>N/A</w:t>
            </w:r>
          </w:p>
        </w:tc>
      </w:tr>
      <w:tr w:rsidR="00C833FD" w:rsidRPr="00781112" w14:paraId="18A60D9F" w14:textId="211489DF" w:rsidTr="00360DD6">
        <w:trPr>
          <w:trHeight w:val="361"/>
        </w:trPr>
        <w:tc>
          <w:tcPr>
            <w:tcW w:w="1040" w:type="pct"/>
            <w:shd w:val="clear" w:color="auto" w:fill="auto"/>
            <w:vAlign w:val="center"/>
          </w:tcPr>
          <w:p w14:paraId="0B4BA19D" w14:textId="5F11E8FF" w:rsidR="00C833FD" w:rsidRPr="00781112" w:rsidRDefault="00C833FD" w:rsidP="00C833FD">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Pr="00781112">
              <w:rPr>
                <w:rFonts w:cs="Arial"/>
                <w:color w:val="000000" w:themeColor="text1"/>
                <w:szCs w:val="16"/>
              </w:rPr>
              <w:t>[c1+c2+c3]</w:t>
            </w:r>
          </w:p>
        </w:tc>
        <w:tc>
          <w:tcPr>
            <w:tcW w:w="646" w:type="pct"/>
            <w:shd w:val="clear" w:color="auto" w:fill="auto"/>
            <w:vAlign w:val="center"/>
          </w:tcPr>
          <w:p w14:paraId="6F83B928" w14:textId="5776008E"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4"/>
              <w:t>1</w:t>
            </w:r>
          </w:p>
        </w:tc>
        <w:tc>
          <w:tcPr>
            <w:tcW w:w="647" w:type="pct"/>
            <w:shd w:val="clear" w:color="auto" w:fill="auto"/>
            <w:vAlign w:val="center"/>
          </w:tcPr>
          <w:p w14:paraId="2B632B6B" w14:textId="4CE9623D"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5"/>
              <w:t>1</w:t>
            </w:r>
          </w:p>
        </w:tc>
        <w:tc>
          <w:tcPr>
            <w:tcW w:w="533" w:type="pct"/>
            <w:shd w:val="clear" w:color="auto" w:fill="auto"/>
            <w:vAlign w:val="center"/>
          </w:tcPr>
          <w:p w14:paraId="16857354" w14:textId="17E80039" w:rsidR="00C833FD" w:rsidRPr="00781112" w:rsidRDefault="00C833FD" w:rsidP="00C833FD">
            <w:pPr>
              <w:jc w:val="center"/>
              <w:rPr>
                <w:rFonts w:cs="Arial"/>
                <w:color w:val="000000" w:themeColor="text1"/>
                <w:szCs w:val="16"/>
              </w:rPr>
            </w:pPr>
            <w:r w:rsidRPr="00781112">
              <w:rPr>
                <w:rFonts w:cs="Arial"/>
                <w:color w:val="000000" w:themeColor="text1"/>
                <w:szCs w:val="16"/>
              </w:rPr>
              <w:t>5.11%</w:t>
            </w:r>
          </w:p>
        </w:tc>
        <w:tc>
          <w:tcPr>
            <w:tcW w:w="533" w:type="pct"/>
            <w:shd w:val="clear" w:color="auto" w:fill="auto"/>
            <w:vAlign w:val="center"/>
          </w:tcPr>
          <w:p w14:paraId="10D1478E" w14:textId="50891092"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6"/>
              <w:t>1</w:t>
            </w:r>
          </w:p>
        </w:tc>
        <w:tc>
          <w:tcPr>
            <w:tcW w:w="533" w:type="pct"/>
            <w:shd w:val="clear" w:color="auto" w:fill="auto"/>
            <w:vAlign w:val="center"/>
          </w:tcPr>
          <w:p w14:paraId="2E9E2BFC" w14:textId="40E910BB" w:rsidR="00C833FD" w:rsidRPr="00781112" w:rsidRDefault="00C833FD" w:rsidP="00C833F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37"/>
              <w:t>1</w:t>
            </w:r>
          </w:p>
        </w:tc>
        <w:tc>
          <w:tcPr>
            <w:tcW w:w="533" w:type="pct"/>
            <w:shd w:val="clear" w:color="auto" w:fill="auto"/>
            <w:vAlign w:val="center"/>
          </w:tcPr>
          <w:p w14:paraId="5321D014" w14:textId="1EA51894" w:rsidR="00C833FD" w:rsidRPr="00781112" w:rsidRDefault="00C833FD" w:rsidP="00C833FD">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C833FD" w:rsidRPr="00781112" w:rsidRDefault="00C833FD" w:rsidP="00C833FD">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FSM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FSM provided targets for FFYs 2020 through 2025 for this indicator, and OSEP accepts those targets. </w:t>
      </w:r>
    </w:p>
    <w:p w14:paraId="66CCD9C9" w14:textId="435D8999" w:rsidR="006C575D" w:rsidRPr="00781112" w:rsidRDefault="007B5383" w:rsidP="008645AD">
      <w:pPr>
        <w:pStyle w:val="Heading2"/>
      </w:pPr>
      <w:r w:rsidRPr="00781112">
        <w:lastRenderedPageBreak/>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90.00%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67.67%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82.39%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81.90%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81.94%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84.73%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0.60%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r>
      <w:r w:rsidRPr="00781112">
        <w:rPr>
          <w:rFonts w:cs="Arial"/>
          <w:color w:val="000000" w:themeColor="text1"/>
          <w:szCs w:val="16"/>
        </w:rPr>
        <w:lastRenderedPageBreak/>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44.00%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56.00%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44.00%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46.00%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48.00%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50.00%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52.00%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54.00%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29" w:name="_Toc382082378"/>
      <w:bookmarkStart w:id="3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lastRenderedPageBreak/>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56.00%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54.00%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52.00%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48.00%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46.00%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11</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84.73%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56.00%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56.00%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FSM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FSM provided targets for FFYs 2021 through 2025 for this indicator, and OSEP accepts those targets.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29"/>
      <w:bookmarkEnd w:id="30"/>
    </w:p>
    <w:p w14:paraId="1404DCF9" w14:textId="77777777" w:rsidR="00531E54" w:rsidRPr="00781112" w:rsidRDefault="00531E54" w:rsidP="00A018D4">
      <w:pPr>
        <w:rPr>
          <w:color w:val="000000" w:themeColor="text1"/>
          <w:szCs w:val="20"/>
        </w:rPr>
      </w:pPr>
      <w:bookmarkStart w:id="3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89.86%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96.55%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54.88%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59.38%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84.85%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80.25%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85.53%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96.55%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96.88%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98.33%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65.25%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91.78%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98.41%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62.07%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85.00%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87.00%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87.00%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65.00%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71.00%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75.00%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80.00%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87.00%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65.00%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71.00%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73.00%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75.00%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80.00%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88.00%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65.00%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67.00%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69.00%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71.00%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73.00%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xml:space="preserve">• On August 5, 2021, outcomes of LEA public hearings and APR/SSIP reports were summarized and presented to FACSSO. The CAP project (Collaboration Across the Pacific), which is an advanced certification academy in the area of severe disability, and autism in particular, was also </w:t>
      </w:r>
      <w:r w:rsidRPr="00781112">
        <w:rPr>
          <w:rFonts w:cs="Arial"/>
          <w:color w:val="000000" w:themeColor="text1"/>
          <w:szCs w:val="16"/>
        </w:rPr>
        <w:lastRenderedPageBreak/>
        <w:t>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4.17%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20.83%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64.58%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10.42%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95.35%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84.85%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65.00%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2.08%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68.75%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4.17%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98.33%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97.83%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72.92%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2.08%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66.67%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6.25%</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98.41%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97.78%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72.92%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2" w:name="_Toc382082381"/>
      <w:bookmarkStart w:id="3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FSM continues to use the Early Childhood Outcomes Center's Child Outcomes Summary (COS) to report on a child's progress in the three outcome measures. A child who rates 6 or 7 is considered to be developing at age "comparable to age peers." The child's IEP Team, including the parent, Related Service Assistants (RSAs), and teachers, complete the COS. FSM uses multiple sources of information to assist the IEP Team in completing the COS, such as the FSM Inventory of Development (FSM-ID), parent interview, medical reports, evaluation reports, and teacher observations. The Special Education Coordinator from each FSM State/LEA, with assistance of the FSM NDOE Division of Special Services monitors the implementation of the Early Childhood Outcome Measurement System guidelines to ensure the process for gathering the data are accurate, includes all children who meet the criteria for the measurements, and conducted within the specified timelines.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FSM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2"/>
      <w:bookmarkEnd w:id="33"/>
    </w:p>
    <w:p w14:paraId="66FBCA03" w14:textId="77777777" w:rsidR="00B654C1" w:rsidRPr="00781112" w:rsidRDefault="00B654C1" w:rsidP="00A018D4">
      <w:pPr>
        <w:rPr>
          <w:color w:val="000000" w:themeColor="text1"/>
          <w:szCs w:val="20"/>
        </w:rPr>
      </w:pPr>
      <w:bookmarkStart w:id="3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5"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5"/>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6"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6"/>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xml:space="preserve">•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w:t>
      </w:r>
      <w:r w:rsidRPr="00781112">
        <w:rPr>
          <w:rFonts w:cs="Arial"/>
          <w:color w:val="000000" w:themeColor="text1"/>
          <w:szCs w:val="16"/>
        </w:rPr>
        <w:lastRenderedPageBreak/>
        <w:t>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59.23%</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67.49%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55.20%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55.85%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49.00%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50.00%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55.00%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60.00%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65.00%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67.00%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841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1,705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55.85%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49.33%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lastRenderedPageBreak/>
        <w:t>The FSM parent survey used in FFY 2020 was the same as in previous years. The survey was an adapted version of the Early Childhood Outcomes (ECO) parent survey. The same process for dissemination and collection was conducted for parents of preschool-aged children with IEPs as with the school-age group.</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1,724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98.90%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98.01%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98.90%</w:t>
            </w:r>
          </w:p>
        </w:tc>
      </w:tr>
      <w:bookmarkEnd w:id="3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FFY 2020 return rate of 98.90% (1705/1724) represents a 0.89% increase in response rate from previous year's 98.01% (1726/1761) response rate in FFY 2019.</w:t>
      </w:r>
      <w:r w:rsidRPr="0061205F">
        <w:rPr>
          <w:rFonts w:cs="Arial"/>
          <w:bCs/>
          <w:color w:val="000000" w:themeColor="text1"/>
          <w:szCs w:val="16"/>
        </w:rPr>
        <w:br/>
      </w:r>
      <w:r w:rsidRPr="0061205F">
        <w:rPr>
          <w:rFonts w:cs="Arial"/>
          <w:bCs/>
          <w:color w:val="000000" w:themeColor="text1"/>
          <w:szCs w:val="16"/>
        </w:rPr>
        <w:br/>
        <w:t>Survey dissemination efforts in the four FSM states continued to include paper copies and in-person interviews and translated versions of the survey. Specifically, Yap State utilized their Interagency Advisory Council and parent members to conduct the surveys via interviews. In Pohnpei State, case managers and consulting resource teachers conducted the surveys via interviews or collected the surveys from schools, including the outer islands. In Kosrae State, the Interagency Advisory Council chairperson and one parent member from each municipality conducted the survey via interviews. Special education staff supported the interviews that were not in their assigned schools/municipalities. In Chuuk State, office staff went on the ship to conduct the surveys in the outer islands. In the lagoon islands, the case managers and the special education teachers distributed and collected the surveys from schools and homes.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8" w:name="_Hlk81486999"/>
      <w:r w:rsidRPr="0061205F">
        <w:rPr>
          <w:rFonts w:cs="Arial"/>
          <w:b/>
          <w:color w:val="000000" w:themeColor="text1"/>
          <w:szCs w:val="16"/>
        </w:rPr>
        <w:t>of the response rate including any nonresponse bias that was identified,</w:t>
      </w:r>
      <w:bookmarkEnd w:id="3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The FFY 2020 return rate of 98.90% (1705/1724) is representative of the demographics of the children receiving special education services. Nineteen (19) surveys, representing 1.10%, that were not returned were from three of the four FSM states. An analysis of the demographics of the unreturned surveys did not show any significant difference with the returned surveys, such as the location of the families included families from the main island or municipality and outer or neighboring islands in the three FSM states.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FFY 2020 return rate of 98.90% (1705/1724) is representative of the demographics of the children receiving special education services. Nineteen (19) surveys, representing 1.10%, that were not returned were from three of the four FSM states. An analysis of the demographics of the unreturned surveys did not show any significant difference with the returned surveys, such as the location of the families included families from the main island or municipality and outer or neighboring islands in the three FSM states.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FSM’s FFY 2020 return rate of 98.90% (1705/1724) is representative of the demographics of FSM’s children receiving special education services, including ethnicity and geographic.  FSM’s child count reported ethnicity is 100% Pacific islanders based on OSEP’s ethnicity categories.  For geographic representation, nineteen (19) surveys, representing 1.10%, were not returned from three of the four FSM states. The percentage from each of the three FSM states was less than a 3% difference: 99.30% (142/143), 97.55% (636/652), and 98.46% (128/130).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FSM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9" w:name="_Toc384383343"/>
      <w:bookmarkStart w:id="4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9"/>
    <w:bookmarkEnd w:id="40"/>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OSEP's instructions, Indicator 9 does not apply to FSM.</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1" w:name="_Toc384383348"/>
      <w:bookmarkStart w:id="4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1"/>
    <w:bookmarkEnd w:id="42"/>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OSEP's instructions, Indicator 10 does not apply to FSM.</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3" w:name="_Toc384383353"/>
      <w:bookmarkStart w:id="4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5" w:name="_Toc384383354"/>
      <w:bookmarkStart w:id="46" w:name="_Toc392159322"/>
      <w:bookmarkEnd w:id="43"/>
      <w:bookmarkEnd w:id="4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99.07%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97.59%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97.93%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179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97.93%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Source: The evaluation data were taken from the FSM Student Information Tracking System (SITS) database system of all children for whom a parental consent to evaluate was received for the report year July 1, 2020 to June 30, 2021. The evaluation data are collected through each FSM State/LEA inputting the completion dates into the web-based FSM SITS, based on the completed FSM IDEA procedural forms.</w:t>
      </w:r>
    </w:p>
    <w:p w14:paraId="4F981BFF" w14:textId="77777777" w:rsidR="00C86164" w:rsidRPr="00781112" w:rsidRDefault="00C86164" w:rsidP="00C86164">
      <w:pPr>
        <w:rPr>
          <w:rFonts w:cs="Arial"/>
          <w:b/>
          <w:color w:val="000000" w:themeColor="text1"/>
          <w:szCs w:val="16"/>
        </w:rPr>
      </w:pPr>
      <w:bookmarkStart w:id="47" w:name="_Toc381956339"/>
      <w:bookmarkStart w:id="48" w:name="_Toc384383357"/>
      <w:bookmarkStart w:id="49"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FFY 2019, FSM reported 97.93% (284/290) substantial compliance for Indicator 11, which included six initial evaluations over timeline. As reported in FSM’s FFY 2019 APR Indicator 11, all six initial evaluations over timeline were completed between 1 day to 28 days over the 60-day timeline requirement. These six individual noncompliance cases were from one FSM State/LEA, which resulted in FSM NDOE, the SEA, issuing a written notice of findings of noncompliance to the one LEA. Verification of correction to ensure that the LEA is correctly implementing the regulatory requirements was done through a review of the IEP documents and through the quarterly review of the Indicator 11 data in the FSM Student Information Tracking System (SITS).  Throughout the FFY 2020 reporting year, the quarterly reviews of subsequent or additional Indicator 11 data were monitored to ensure that the LEA was implementing the Indicator 11 regulatory 60-day timeline requirement. The LEA was able to demonstrate 100% compliance with Indicator 11 60-day timeline requirement, consistent with OSEP Memo 09-02. In fact, FSM’s FFY 2020 APR Indicator 11 data reported 100% compliance for the reporting period.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In FFY 2019, FSM reported 97.93% (284/290) significant compliance for Indicator 11, which represented six initial evaluations over timeline. The number of days beyond the timeline for all six initial evaluations was 1- 28 days over the 60-day timeline requirement. It should be noted that although late, all six initial evaluations were completed over timeline, as indicated in FFY 2019.  These six individual noncompliance cases were from one FSM State/LEA. FSM NDOE verified that each individual case of noncompliance was corrected through a review of the actual IEP documents sent to the FSM NDOE as a result of the findings of noncompliance issued to the LEA, and as reflected in the FSM SITS.</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FSM reported less than 100% compliance for FFY 2019, the FSM must report on the status of correction of noncompliance identified in FFY 2019 for this indicator. When reporting on the correction of noncompliance, FSM must report, in the FFY 2020 SPP/APR, that it has verified that each LEA with noncompliance identified in FFY 2019 for this indicator:  (1) is correctly implementing the specific regulatory requirements (i.e., achieved 100% </w:t>
      </w:r>
      <w:r w:rsidRPr="00781112">
        <w:rPr>
          <w:rFonts w:cs="Arial"/>
          <w:color w:val="000000" w:themeColor="text1"/>
          <w:szCs w:val="16"/>
        </w:rPr>
        <w:lastRenderedPageBreak/>
        <w:t>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FSM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FSM did not identify any findings of noncompliance in FFY 2019, although its FFY 2019 data reflect less than 100% compliance, provide an explanation of why FSM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In FFY 2019, FSM reported 97.93% (284/290) substantial compliance for Indicator 11, which included six initial evaluations over timeline. As reported in FSM’s FFY 2019 APR Indicator 11, all six initial evaluations over timeline were completed between 1 day to 28 days over the 60-day timeline requirement. These six individual noncompliance cases were from one FSM State/LEA, which resulted in FSM NDOE, the SEA, issuing a written notice of findings of noncompliance to the one LEA. Verification of correction to ensure that the LEA is correctly implementing the regulatory requirements was done through a review of the IEP documents and through the quarterly review of the Indicator 11 data in the FSM Student Information Tracking System (SITS). Throughout the FFY 2020 reporting year, the quarterly reviews of subsequent or additional Indicator 11 data were monitored to ensure that the LEA was implementing the Indicator 11 regulatory 60-day timeline requirement. The LEA was able to demonstrate 100% compliance with Indicator 11 60-day timeline requirement, consistent with OSEP Memo 09-02. In fact, FSM’s FFY 2020 APR Indicator 11 data reported 100% compliance for the reporting period.</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7"/>
      <w:bookmarkEnd w:id="48"/>
      <w:bookmarkEnd w:id="4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50" w:name="_Toc384383358"/>
      <w:bookmarkStart w:id="5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50"/>
    <w:bookmarkEnd w:id="51"/>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Per OSEP's instructions, Indicator 12 does not apply to FSM. FSM does not receive IDEA Part C funding.</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2" w:name="_Toc384383363"/>
      <w:bookmarkStart w:id="5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4" w:name="_Toc384383364"/>
      <w:bookmarkStart w:id="55" w:name="_Toc392159332"/>
      <w:bookmarkEnd w:id="52"/>
      <w:bookmarkEnd w:id="5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88.00%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295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295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Source: The secondary transition data were taken from the completed Transition Services Record Review Summary forms of all youth with IEPs aged 16 and above for the report year July 1, 2020 to June 30, 2021. These completed forms were submitted to FSM-National Department of Education (NDOE). FSM-NDOE verified the submitted data with the youth with IEPs aged 16 and above in the FSM Student Information Tracking System (SITS) for the reporting year</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FSM chooses to continue reporting Indicator 13 data for youth aged 16 and above with IEPs.</w:t>
      </w:r>
    </w:p>
    <w:p w14:paraId="735DB55A" w14:textId="18C77FF1" w:rsidR="00644AC8" w:rsidRPr="00781112" w:rsidRDefault="00644AC8" w:rsidP="005F442C">
      <w:pPr>
        <w:rPr>
          <w:rFonts w:cs="Arial"/>
          <w:b/>
          <w:color w:val="000000" w:themeColor="text1"/>
          <w:szCs w:val="16"/>
        </w:rPr>
      </w:pPr>
      <w:bookmarkStart w:id="56"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6"/>
    </w:p>
    <w:p w14:paraId="22761492" w14:textId="77777777" w:rsidR="005C50DB" w:rsidRPr="00781112" w:rsidRDefault="005C50DB" w:rsidP="00A018D4">
      <w:pPr>
        <w:rPr>
          <w:szCs w:val="20"/>
        </w:rPr>
      </w:pPr>
      <w:bookmarkStart w:id="5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5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10.38%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23.19%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10.78%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40.57%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40.28%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46.38%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38.18%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28.43%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90.57%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97.27%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26.00%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26.00%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27.00%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27.00%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28.00%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29.00%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41.00%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41.00%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42.00%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43.00%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80.00%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80.00%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90.00%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90.00%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95.00%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95.00%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58"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26.23%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28.43%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40.98%</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In FFY 2020, FSM reported 100% (61/61) return rate, which represented the same percentage as in previous year’s return rate of 100% (102/102) for FFY 2019.  Following the PSO survey guidance for collecting data, FSM continues to be successful in contacting its leavers and/or their family members to gather required information.</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In FFY 2020, FSM reported 100% (61/61) return rate.  Following the PSO survey guidance for collecting data, FSM continues to be successful in contacting its leavers and/or their family members to gather required information.</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In FFY 2020, FSM reported 100% (61/61) return rate, which represents the demographics of the youth who no longer were in secondary school and had IEPs in effect at the time they left school for the reporting period.  For FFY 2020, the leavers were the exiters reported in the IDEA 618 exit data for 2019-2020.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lastRenderedPageBreak/>
        <w:t>Not applicable.  In FFY 2020, FSM reported 100% (61/61) return rate.</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59" w:name="_Toc382082390"/>
      <w:bookmarkStart w:id="60"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FSM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59"/>
      <w:bookmarkEnd w:id="60"/>
    </w:p>
    <w:p w14:paraId="7EA31497" w14:textId="77777777" w:rsidR="005B0B58" w:rsidRPr="00781112" w:rsidRDefault="005B0B58" w:rsidP="00A018D4">
      <w:pPr>
        <w:rPr>
          <w:color w:val="000000" w:themeColor="text1"/>
          <w:szCs w:val="20"/>
        </w:rPr>
      </w:pPr>
      <w:bookmarkStart w:id="61" w:name="_Toc381786822"/>
      <w:bookmarkStart w:id="62" w:name="_Toc382731911"/>
      <w:bookmarkStart w:id="63" w:name="_Toc382731912"/>
      <w:bookmarkStart w:id="64" w:name="_Toc392159340"/>
      <w:bookmarkEnd w:id="61"/>
      <w:bookmarkEnd w:id="62"/>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3"/>
    <w:bookmarkEnd w:id="64"/>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65" w:name="_Toc382731913"/>
      <w:bookmarkStart w:id="66"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xml:space="preserve">•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w:t>
      </w:r>
      <w:r w:rsidRPr="00781112">
        <w:rPr>
          <w:rFonts w:cs="Arial"/>
          <w:color w:val="000000" w:themeColor="text1"/>
          <w:szCs w:val="16"/>
        </w:rPr>
        <w:lastRenderedPageBreak/>
        <w:t>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43B1695A" w14:textId="2970A905" w:rsidR="000A2C83" w:rsidRPr="00781112" w:rsidRDefault="000A2C83" w:rsidP="000A2C83">
      <w:pPr>
        <w:rPr>
          <w:rFonts w:cs="Arial"/>
          <w:color w:val="000000" w:themeColor="text1"/>
          <w:szCs w:val="16"/>
        </w:rPr>
      </w:pPr>
    </w:p>
    <w:bookmarkEnd w:id="65"/>
    <w:bookmarkEnd w:id="66"/>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0.00%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0.00%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0.00%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0.00%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0.00%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lastRenderedPageBreak/>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FSM reported fewer than ten resolution sessions held in FFY 2020. The FSM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67" w:name="_Toc382731916"/>
      <w:bookmarkStart w:id="68"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67"/>
    <w:bookmarkEnd w:id="68"/>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rFonts w:cs="Arial"/>
          <w:color w:val="000000" w:themeColor="text1"/>
          <w:szCs w:val="16"/>
        </w:rPr>
        <w:br/>
      </w:r>
      <w:r w:rsidRPr="00781112">
        <w:rPr>
          <w:rFonts w:cs="Arial"/>
          <w:color w:val="000000" w:themeColor="text1"/>
          <w:szCs w:val="16"/>
        </w:rPr>
        <w:br/>
        <w:t>For the development of FSM’s FFY 2020 IDEA Part B APR and SSIP Phase III Year 6 report (Indicator 17), NDOE engaged the FSM National SPP/APR Leadership Team and other key education leaders, as follows:</w:t>
      </w:r>
      <w:r w:rsidRPr="00781112">
        <w:rPr>
          <w:rFonts w:cs="Arial"/>
          <w:color w:val="000000" w:themeColor="text1"/>
          <w:szCs w:val="16"/>
        </w:rPr>
        <w:br/>
      </w:r>
      <w:r w:rsidRPr="00781112">
        <w:rPr>
          <w:rFonts w:cs="Arial"/>
          <w:color w:val="000000" w:themeColor="text1"/>
          <w:szCs w:val="16"/>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rFonts w:cs="Arial"/>
          <w:color w:val="000000" w:themeColor="text1"/>
          <w:szCs w:val="16"/>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rFonts w:cs="Arial"/>
          <w:color w:val="000000" w:themeColor="text1"/>
          <w:szCs w:val="16"/>
        </w:rPr>
        <w:br/>
        <w:t xml:space="preserve">•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w:t>
      </w:r>
      <w:r w:rsidRPr="00781112">
        <w:rPr>
          <w:rFonts w:cs="Arial"/>
          <w:color w:val="000000" w:themeColor="text1"/>
          <w:szCs w:val="16"/>
        </w:rPr>
        <w:lastRenderedPageBreak/>
        <w:t>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rFonts w:cs="Arial"/>
          <w:color w:val="000000" w:themeColor="text1"/>
          <w:szCs w:val="16"/>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rFonts w:cs="Arial"/>
          <w:color w:val="000000" w:themeColor="text1"/>
          <w:szCs w:val="16"/>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rFonts w:cs="Arial"/>
          <w:color w:val="000000" w:themeColor="text1"/>
          <w:szCs w:val="16"/>
        </w:rPr>
        <w:br/>
        <w:t>•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rFonts w:cs="Arial"/>
          <w:color w:val="000000" w:themeColor="text1"/>
          <w:szCs w:val="16"/>
        </w:rPr>
        <w:br/>
        <w:t>• On October 28, 2021, NDOE conducted a virtual SSIP meeting with all states and consultants from UOG CEDDERS and Sigma Associates, Inc., to further discuss State Logic Model and the LEA Local Systemic Improvement Plans (LSIP).</w:t>
      </w:r>
      <w:r w:rsidRPr="00781112">
        <w:rPr>
          <w:rFonts w:cs="Arial"/>
          <w:color w:val="000000" w:themeColor="text1"/>
          <w:szCs w:val="16"/>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rFonts w:cs="Arial"/>
          <w:color w:val="000000" w:themeColor="text1"/>
          <w:szCs w:val="16"/>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rFonts w:cs="Arial"/>
          <w:color w:val="000000" w:themeColor="text1"/>
          <w:szCs w:val="16"/>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0.00%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0.00%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0.00%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0.00%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0.00%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0.00%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lastRenderedPageBreak/>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FSM reported fewer than ten mediations held in FFY 2020. The FSM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 English literacy skills of all students in ECE through Grade 5 in the FSM, with a particular focus on students identified as having a disability.</w:t>
      </w:r>
    </w:p>
    <w:p w14:paraId="43CABCA3" w14:textId="77777777" w:rsidR="00AE1972" w:rsidRPr="00781112" w:rsidRDefault="00AE1972" w:rsidP="00AE1972">
      <w:pPr>
        <w:rPr>
          <w:b/>
          <w:bCs/>
        </w:rPr>
      </w:pPr>
      <w:bookmarkStart w:id="69"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69"/>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FSM utilizes the revised logic model as its theory of action (if, then).  Refer to Section B for an explanation of its revisions and use.</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https://www.fsmsped.org/resources/1/9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70" w:name="_Hlk88409365"/>
      <w:r w:rsidRPr="00730C62">
        <w:rPr>
          <w:b/>
          <w:bCs/>
          <w:szCs w:val="16"/>
        </w:rPr>
        <w:t>just</w:t>
      </w:r>
      <w:r w:rsidR="006457D1">
        <w:rPr>
          <w:b/>
          <w:bCs/>
          <w:szCs w:val="16"/>
        </w:rPr>
        <w:t>i</w:t>
      </w:r>
      <w:r w:rsidRPr="00730C62">
        <w:rPr>
          <w:b/>
          <w:bCs/>
          <w:szCs w:val="16"/>
        </w:rPr>
        <w:t>fication</w:t>
      </w:r>
      <w:bookmarkEnd w:id="70"/>
      <w:r w:rsidRPr="00730C62">
        <w:rPr>
          <w:b/>
          <w:bCs/>
          <w:szCs w:val="16"/>
        </w:rPr>
        <w:t xml:space="preserve"> for the changes.</w:t>
      </w:r>
    </w:p>
    <w:p w14:paraId="168D53FB" w14:textId="164A8367" w:rsidR="00CF0910" w:rsidRDefault="00CF0910" w:rsidP="00CF0910">
      <w:r w:rsidRPr="00781112">
        <w:t>Refer to Sections B and C for explanation of changes.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27.00%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2.00%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28.00%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29.00%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30.00%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31.00%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32.00%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33.00%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t>Target B &gt;=</w:t>
            </w:r>
          </w:p>
        </w:tc>
        <w:tc>
          <w:tcPr>
            <w:tcW w:w="781" w:type="pct"/>
            <w:shd w:val="clear" w:color="auto" w:fill="auto"/>
            <w:vAlign w:val="center"/>
          </w:tcPr>
          <w:p w14:paraId="1C44A704" w14:textId="436B0D72" w:rsidR="00AE1972" w:rsidRPr="00781112" w:rsidRDefault="00AE1972" w:rsidP="00FE5C1F">
            <w:pPr>
              <w:jc w:val="center"/>
              <w:rPr>
                <w:rFonts w:cs="Arial"/>
                <w:color w:val="000000" w:themeColor="text1"/>
                <w:szCs w:val="16"/>
              </w:rPr>
            </w:pPr>
            <w:r w:rsidRPr="00781112">
              <w:rPr>
                <w:rFonts w:cs="Arial"/>
                <w:color w:val="000000" w:themeColor="text1"/>
                <w:szCs w:val="16"/>
              </w:rPr>
              <w:t>7.00%</w:t>
            </w:r>
          </w:p>
        </w:tc>
        <w:tc>
          <w:tcPr>
            <w:tcW w:w="781" w:type="pct"/>
          </w:tcPr>
          <w:p w14:paraId="10C802A6" w14:textId="13443E33" w:rsidR="00AE1972" w:rsidRPr="00781112" w:rsidRDefault="00AE1972" w:rsidP="00FE5C1F">
            <w:pPr>
              <w:jc w:val="center"/>
              <w:rPr>
                <w:color w:val="000000" w:themeColor="text1"/>
                <w:szCs w:val="16"/>
              </w:rPr>
            </w:pPr>
            <w:r w:rsidRPr="00781112">
              <w:rPr>
                <w:color w:val="000000" w:themeColor="text1"/>
                <w:szCs w:val="16"/>
              </w:rPr>
              <w:t>9.00%</w:t>
            </w:r>
          </w:p>
        </w:tc>
        <w:tc>
          <w:tcPr>
            <w:tcW w:w="781" w:type="pct"/>
          </w:tcPr>
          <w:p w14:paraId="641A44A3" w14:textId="3BB61435" w:rsidR="00AE1972" w:rsidRPr="00781112" w:rsidRDefault="00AE1972" w:rsidP="00FE5C1F">
            <w:pPr>
              <w:jc w:val="center"/>
              <w:rPr>
                <w:color w:val="000000" w:themeColor="text1"/>
                <w:szCs w:val="16"/>
              </w:rPr>
            </w:pPr>
            <w:r w:rsidRPr="00781112">
              <w:rPr>
                <w:color w:val="000000" w:themeColor="text1"/>
                <w:szCs w:val="16"/>
              </w:rPr>
              <w:t>11.00%</w:t>
            </w:r>
          </w:p>
        </w:tc>
        <w:tc>
          <w:tcPr>
            <w:tcW w:w="781" w:type="pct"/>
          </w:tcPr>
          <w:p w14:paraId="5EC8131B" w14:textId="41772908" w:rsidR="00AE1972" w:rsidRPr="00781112" w:rsidRDefault="00AE1972" w:rsidP="00FE5C1F">
            <w:pPr>
              <w:jc w:val="center"/>
              <w:rPr>
                <w:color w:val="000000" w:themeColor="text1"/>
                <w:szCs w:val="16"/>
              </w:rPr>
            </w:pPr>
            <w:r w:rsidRPr="00781112">
              <w:rPr>
                <w:color w:val="000000" w:themeColor="text1"/>
                <w:szCs w:val="16"/>
              </w:rPr>
              <w:t>13.00%</w:t>
            </w:r>
          </w:p>
        </w:tc>
        <w:tc>
          <w:tcPr>
            <w:tcW w:w="781" w:type="pct"/>
          </w:tcPr>
          <w:p w14:paraId="3C91D03F" w14:textId="79E614D1" w:rsidR="00AE1972" w:rsidRPr="00781112" w:rsidRDefault="00AE1972" w:rsidP="00FE5C1F">
            <w:pPr>
              <w:jc w:val="center"/>
              <w:rPr>
                <w:color w:val="000000" w:themeColor="text1"/>
                <w:szCs w:val="16"/>
              </w:rPr>
            </w:pPr>
            <w:r w:rsidRPr="00781112">
              <w:rPr>
                <w:color w:val="000000" w:themeColor="text1"/>
                <w:szCs w:val="16"/>
              </w:rPr>
              <w:t>15.00%</w:t>
            </w:r>
          </w:p>
        </w:tc>
        <w:tc>
          <w:tcPr>
            <w:tcW w:w="781" w:type="pct"/>
          </w:tcPr>
          <w:p w14:paraId="40EEC7C5" w14:textId="0C2608B9" w:rsidR="00AE1972" w:rsidRPr="00781112" w:rsidRDefault="00AE1972" w:rsidP="00FE5C1F">
            <w:pPr>
              <w:jc w:val="center"/>
              <w:rPr>
                <w:color w:val="000000" w:themeColor="text1"/>
                <w:szCs w:val="16"/>
              </w:rPr>
            </w:pPr>
            <w:r w:rsidRPr="00781112">
              <w:rPr>
                <w:color w:val="000000" w:themeColor="text1"/>
                <w:szCs w:val="16"/>
              </w:rPr>
              <w:t>17.00%</w:t>
            </w: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r w:rsidRPr="00781112">
              <w:rPr>
                <w:rFonts w:cs="Arial"/>
                <w:color w:val="000000" w:themeColor="text1"/>
                <w:szCs w:val="16"/>
              </w:rPr>
              <w:t>Students at the model schools who scored at Benchmark</w:t>
            </w: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r w:rsidRPr="00781112">
              <w:rPr>
                <w:rFonts w:cs="Arial"/>
                <w:color w:val="000000" w:themeColor="text1"/>
                <w:szCs w:val="16"/>
              </w:rPr>
              <w:t>Students who were tested and received a valid score at the model schools</w:t>
            </w: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112</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486</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28.00%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23.05%</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lastRenderedPageBreak/>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1</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33</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7.00%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3.03%</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Did not meet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As described in FSM’s SSIP Phase I, the selection of FSM’s SIMR was determined through the review of baseline data collected from all grade levels at the four original pilot elementary schools within Project LIFT (Literacy Intervention for FSM Leaders of Tomorrow). The Project LIFT Assessment System includes various curriculum-based measures at each grade level, ECE through Grade 5. Many, although not all, of these assessments include measures from the Dynamic Indicators of Basic Early Literacy Skills (DIBELS) a series of procedures and measures for assessment of the acquisition of a set of K-8 literacy skills developed and researched at the University of Oregon. </w:t>
      </w:r>
      <w:r w:rsidRPr="00781112">
        <w:rPr>
          <w:color w:val="000000" w:themeColor="text1"/>
        </w:rPr>
        <w:br/>
      </w:r>
      <w:r w:rsidRPr="00781112">
        <w:rPr>
          <w:color w:val="000000" w:themeColor="text1"/>
        </w:rPr>
        <w:br/>
        <w:t>The FFY 2020 data, as in previous year's submission, are retrieved from the FSM Early Literacy Monitoring (ELMo) web-based student data system.</w:t>
      </w:r>
      <w:r w:rsidRPr="00781112">
        <w:rPr>
          <w:color w:val="000000" w:themeColor="text1"/>
        </w:rPr>
        <w:br/>
      </w:r>
      <w:r w:rsidRPr="00781112">
        <w:rPr>
          <w:color w:val="000000" w:themeColor="text1"/>
        </w:rPr>
        <w:br/>
        <w:t xml:space="preserve">The baseline, FFY 2020 data, and targets displayed as A and B are: </w:t>
      </w:r>
      <w:r w:rsidRPr="00781112">
        <w:rPr>
          <w:color w:val="000000" w:themeColor="text1"/>
        </w:rPr>
        <w:br/>
      </w:r>
      <w:r w:rsidRPr="00781112">
        <w:rPr>
          <w:color w:val="000000" w:themeColor="text1"/>
        </w:rPr>
        <w:br/>
        <w:t>A = All students at the model schools = 23.05% (112/486) representing 112 students scoring at benchmark (numerator) out of 486 students who took the test and received a valid score (denominator).</w:t>
      </w:r>
      <w:r w:rsidRPr="00781112">
        <w:rPr>
          <w:color w:val="000000" w:themeColor="text1"/>
        </w:rPr>
        <w:br/>
      </w:r>
      <w:r w:rsidRPr="00781112">
        <w:rPr>
          <w:color w:val="000000" w:themeColor="text1"/>
        </w:rPr>
        <w:br/>
        <w:t>B = Students with IEPs at the model schools = 3.03% (1/33) representing 1 student wtih an IEP scoring at benchmark (numerator) out of 33 students with an IEP who took the test and received a valid score (denominator).</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Student performance data are retrieved from FSM’s Early Literacy Monitoring (ELMo) web-based student data system. Each model/scale-up school is able to input each assessment result directly into the system and view student performance data instantly at the individual, classroom, and state levels. ELMo requires access permissions for ensuring confidentiality. NDOE is responsible for providing each State-Level/LEA Project LIFT Team member with their level of access, depending upon their role for inputting and/or viewing student data. At the National or SEA level, NDOE is able to view all student data to monitor assessment participation and performance data.</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https://www.fsmsped.org/resources/1/9</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FSM revised its SSIP evaluation plan based on revisions to the SSIP logic model to reflect current implementation in each state as well as national implementation of SSIP strategies and activities. The first strategy articulated in the logic model focuses on the implementation of the RTI model, with particular emphasis placed on building teacher capacity, engaging in ongoing and frequent assessment of performance, enhancing student learning, and continuing to build capacity at each state level for implementing a comprehensive RTI program. Infrastructure improvement activities conducted under Strategy 1 of the logic model include model and scale up school teacher training, ongoing coaching supports, implementation of fall, winter and spring screening and ongoing progress monitoring of student learning, and training and technical assistance to state level RTI teams. </w:t>
      </w:r>
      <w:r w:rsidRPr="00781112">
        <w:rPr>
          <w:color w:val="000000" w:themeColor="text1"/>
        </w:rPr>
        <w:br/>
      </w:r>
      <w:r w:rsidRPr="00781112">
        <w:rPr>
          <w:color w:val="000000" w:themeColor="text1"/>
        </w:rPr>
        <w:br/>
        <w:t>Strategy 2 of FSM’s revised logic model addresses the importance of enhancing family partnerships to support improved early literacy outcomes for students in FSM. FSM NDOE and its State Departments of Education (SDOEs) will leverage the work happening in its newly awarded OSEP personnel preparation and leadership grants, focusing on implementing new activities designed to improve family engagement in model and scale up schools. School and State personnel will have access to parent friendly materials, designs for school level family engagement activities, and other resources created by scholars in these two FSM grant programs. In addition, model and scale up schools will continue to build upon the family engagement strategies implemented during the first cycle of the SSIP. Infrastructure improvement activities that are aligned with this strategy will commence in Year 2 of this SSIP cycle.</w:t>
      </w:r>
      <w:r w:rsidRPr="00781112">
        <w:rPr>
          <w:color w:val="000000" w:themeColor="text1"/>
        </w:rPr>
        <w:br/>
      </w:r>
      <w:r w:rsidRPr="00781112">
        <w:rPr>
          <w:color w:val="000000" w:themeColor="text1"/>
        </w:rPr>
        <w:br/>
        <w:t>Strategy 3 focuses on the continued work of enhancing community collaboration to support improved early literacy outcomes in FSM. In particular, NDOE will encourage State RTI teams to provide regular updates on progress to stakeholders and other education agency staff.  Through regular quarterly evaluation meetings with each State team and NDOE liaison, opportunities for connections to other educational initiatives will be explored to leverage efforts within States and across FSM.</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FSM revised its SSIP evaluation plan based on revisions to the SSIP logic model to reflect current implementation in each state as well as national implementation of SSIP strategies and activities.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Professional Development (PD) and Technical Assistance (TA)</w:t>
      </w:r>
      <w:r w:rsidRPr="00781112">
        <w:rPr>
          <w:color w:val="000000" w:themeColor="text1"/>
        </w:rPr>
        <w:br/>
        <w:t xml:space="preserve">Training for model and scale up schools continues to be a priority for National and State RTI teams. During this reporting period, trainings for all coaches, teachers, and other support personnel in all project schools, including scale up schools, were conducted. FSM NDOE also engaged in webinars provided by OSEP TA centers. </w:t>
      </w:r>
      <w:r w:rsidRPr="00781112">
        <w:rPr>
          <w:color w:val="000000" w:themeColor="text1"/>
        </w:rPr>
        <w:br/>
      </w:r>
      <w:r w:rsidRPr="00781112">
        <w:rPr>
          <w:color w:val="000000" w:themeColor="text1"/>
        </w:rPr>
        <w:br/>
        <w:t xml:space="preserve">As part of its intensive TA support to FSM, NCEO provided a series of assessment trainings for State RTI teams and teachers. This work began with "Assessment 101" trainings that discussed the purposes of assessment, types of assessment, how to use data to measure progress and achievement, formative assessment for instructional planning, and a review of RTI. </w:t>
      </w:r>
      <w:r w:rsidRPr="00781112">
        <w:rPr>
          <w:color w:val="000000" w:themeColor="text1"/>
        </w:rPr>
        <w:br/>
      </w:r>
      <w:r w:rsidRPr="00781112">
        <w:rPr>
          <w:color w:val="000000" w:themeColor="text1"/>
        </w:rPr>
        <w:br/>
        <w:t xml:space="preserve">The second series of sessions focused on increasing the skills of special education coordinators to use interim and other assessment data to inform RTI intervention support for students. These sessions included application activities on aligning assessments to standards, using learning progressions to set intervention goals, and planning for training of teachers locally. </w:t>
      </w:r>
      <w:r w:rsidRPr="00781112">
        <w:rPr>
          <w:color w:val="000000" w:themeColor="text1"/>
        </w:rPr>
        <w:br/>
      </w:r>
      <w:r w:rsidRPr="00781112">
        <w:rPr>
          <w:color w:val="000000" w:themeColor="text1"/>
        </w:rPr>
        <w:br/>
        <w:t xml:space="preserve">The last set of sessions focused on monitoring student progress toward intervention goals. This included a review of RTI, the use of assessments to track student progress, and inform IEP goals. Sample student data was used to engage participants in making instructional decisions based on student needs. </w:t>
      </w:r>
      <w:r w:rsidRPr="00781112">
        <w:rPr>
          <w:color w:val="000000" w:themeColor="text1"/>
        </w:rPr>
        <w:br/>
      </w:r>
      <w:r w:rsidRPr="00781112">
        <w:rPr>
          <w:color w:val="000000" w:themeColor="text1"/>
        </w:rPr>
        <w:br/>
        <w:t>Guam CEDDERS continues to support NDOE in its efforts to improve educational results for students with disabilities. Due to the COVID-19 pandemic impacting travel to the FSM, Guam CEDDERS continued to provide virtual technical assistance and training through Zoom video conferencing during this reporting period. Content-specific activities addressing the SSIP/SiMR included the following: administering appropriate assessments for determining student eligibility; improving supports for children with autism spectrum disorder (ASD); improving data collection and reporting processes at the State-level; and facilitating stakeholder engagement in the development of FSM’s FFY 2020-FFY 2025 State Performance Plan, inclusive of the SSIP.</w:t>
      </w:r>
      <w:r w:rsidRPr="00781112">
        <w:rPr>
          <w:color w:val="000000" w:themeColor="text1"/>
        </w:rPr>
        <w:br/>
      </w:r>
      <w:r w:rsidRPr="00781112">
        <w:rPr>
          <w:color w:val="000000" w:themeColor="text1"/>
        </w:rPr>
        <w:br/>
        <w:t xml:space="preserve">Sigma Associates Incorporated, external evaluators for FSM’s SSIP and developers of FSM’s ELMo system, provided several TA activities to SDOEs. Sigma conducted a series of virtual TA activities designed to continue to build capacity for each RTI team to conduct internal evaluation of their system and initiatives in order to address continuous improvement efforts. Sigma’s work focused on supporting each state to develop a logic model that is reflective of their implementation level and context. In addition to its evaluation technical assistance and capacity building to states, Sigma provided on-going TA and support to state RTI teams as they utilized the features of ELMo to collect and analyze student level early literacy data. </w:t>
      </w:r>
      <w:r w:rsidRPr="00781112">
        <w:rPr>
          <w:color w:val="000000" w:themeColor="text1"/>
        </w:rPr>
        <w:br/>
      </w:r>
      <w:r w:rsidRPr="00781112">
        <w:rPr>
          <w:color w:val="000000" w:themeColor="text1"/>
        </w:rPr>
        <w:br/>
        <w:t xml:space="preserve">In addition to the PD and TA described above, FSM NDOE has been awarded two OSEP funded grants: one focused on building special education leadership, and the other focused on teacher retention. The awards of these two grants have provided FSM with a unique opportunity to develop a comprehensive PD and training system that will serve as the catalyst for providing ongoing support to all schools and states across FSM. Specific components of the grants will be leveraged to support SSIP schools. In particular, PD modules will be developed from both grants on topics including understanding of the core components of effective family engagement, selection and implementation of EBPs, using implementation science to guide systems change, assessing students with disabilities, and reflective leadership practices. </w:t>
      </w:r>
      <w:r w:rsidRPr="00781112">
        <w:rPr>
          <w:color w:val="000000" w:themeColor="text1"/>
        </w:rPr>
        <w:br/>
      </w:r>
      <w:r w:rsidRPr="00781112">
        <w:rPr>
          <w:color w:val="000000" w:themeColor="text1"/>
        </w:rPr>
        <w:br/>
        <w:t>Data Systems</w:t>
      </w:r>
      <w:r w:rsidRPr="00781112">
        <w:rPr>
          <w:color w:val="000000" w:themeColor="text1"/>
        </w:rPr>
        <w:br/>
        <w:t xml:space="preserve">FSM staff and stakeholders utilize the FSM NDOE Early Literacy Monitoring (ELMo) data system to capture and analyze data related to the SiMR. As part of the data sharing agreement, FSM NDOE provide these data for model schools to the external evaluators. ELMo provides “real-time” child- level data, which is analyzed at the child, school, and state level. NDOE staff, state RTI teams and coaches all receive training and technical support on ELMo’s content and use. The FSM ELMo system continued to be upgraded throughout this reporting period. </w:t>
      </w:r>
      <w:r w:rsidRPr="00781112">
        <w:rPr>
          <w:color w:val="000000" w:themeColor="text1"/>
        </w:rPr>
        <w:br/>
      </w:r>
      <w:r w:rsidRPr="00781112">
        <w:rPr>
          <w:color w:val="000000" w:themeColor="text1"/>
        </w:rPr>
        <w:br/>
        <w:t>Sigma finalized the progress monitoring data collection and dashboard component of the data system. This includes visualization of on-track measures, data filters, and student and school level summary data. Other components currently under development include the component to capture coaching related activities (e.g., logs of onsite visits, classroom observation data).</w:t>
      </w:r>
      <w:r w:rsidRPr="00781112">
        <w:rPr>
          <w:color w:val="000000" w:themeColor="text1"/>
        </w:rPr>
        <w:br/>
      </w:r>
      <w:r w:rsidRPr="00781112">
        <w:rPr>
          <w:color w:val="000000" w:themeColor="text1"/>
        </w:rPr>
        <w:br/>
        <w:t>Accountability and Monitoring</w:t>
      </w:r>
      <w:r w:rsidRPr="00781112">
        <w:rPr>
          <w:color w:val="000000" w:themeColor="text1"/>
        </w:rPr>
        <w:br/>
        <w:t xml:space="preserve">As part of its efforts to reflect the current scope of FSM SSIP implementation, NDOE and its SDOEs worked with the external evaluators to create an LSIP template that is aligned with the new logic model and each State’s specific logic model, as well as the revised evaluation plan. Specifically, the template allows states to describe actions related to the short or mid-term outcomes they are addressing in each school year, and to provide progress updates each quarter. Quarterly implementation data is provided by the evaluators, as well as other data elements that may inform performance. The alignment of the new LSIP template to the logic model was conducted in order to create a more comprehensive accountability model to assess how each SDOE is carrying out its specific SSIP improvement strategies and to capture data at each state level that will contribute to continuous improvement efforts. Quarterly reviews of the LSIPs are conducted by NDOE, in collaboration with the external evaluator and SDOEs.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NDOE staff, State RTI team members, external consultants, and various stakeholders partner to carry out the evaluation efforts for FSM’s SSIP. The SSIP evaluation plan is designed to assess both the processes and impact of implementing the strategies and activities identified in the Logic Model, leading to the SIMR goal of increasing English literacy skills of all students in ECE through Grade 5, in FSM, with a particular focus on students identified with having a disability. Over the course of the reporting period, NDOE and SDOEs have engaged in several evaluation activities to monitor and measure strategies and outcomes to assess the effectiveness of the SSIP implementation plan. </w:t>
      </w:r>
      <w:r w:rsidRPr="00781112">
        <w:rPr>
          <w:color w:val="000000" w:themeColor="text1"/>
        </w:rPr>
        <w:br/>
      </w:r>
      <w:r w:rsidRPr="00781112">
        <w:rPr>
          <w:color w:val="000000" w:themeColor="text1"/>
        </w:rPr>
        <w:br/>
        <w:t xml:space="preserve">The evaluation plan utilizes a mixed methods design, using both qualitative and quantitative data and continuous feedback loops to ensure program improvement. By using different sources and methods at various points in the evaluation process, the evaluators can build on the strength of each type of approach used in a mixed method design and simultaneously, minimize inherent weakness in any one method. In addition, using a variety of methods in the evaluation can strengthen the validity of results and findings. </w:t>
      </w:r>
      <w:r w:rsidRPr="00781112">
        <w:rPr>
          <w:color w:val="000000" w:themeColor="text1"/>
        </w:rPr>
        <w:br/>
      </w:r>
      <w:r w:rsidRPr="00781112">
        <w:rPr>
          <w:color w:val="000000" w:themeColor="text1"/>
        </w:rPr>
        <w:br/>
        <w:t xml:space="preserve">An important aspect of conducting an evaluation in FSM is the consideration of culture and its context within the implementation of the SSIP. Culturally responsive evaluators honor the cultural context in which an evaluation takes place by bringing needed, shared life experience and understandings to the evaluation tasks (Frierson. Hood, Stafford, &amp; Hughes, 2002). Evaluators from Sigma Associates Incorporated (SAI) strive to ensure that cultural considerations are always in the forefront of the development of data collection instruments, analysis procedures, and reporting. </w:t>
      </w:r>
      <w:r w:rsidRPr="00781112">
        <w:rPr>
          <w:color w:val="000000" w:themeColor="text1"/>
        </w:rPr>
        <w:br/>
      </w:r>
      <w:r w:rsidRPr="00781112">
        <w:rPr>
          <w:color w:val="000000" w:themeColor="text1"/>
        </w:rPr>
        <w:br/>
      </w:r>
      <w:r w:rsidRPr="00781112">
        <w:rPr>
          <w:color w:val="000000" w:themeColor="text1"/>
        </w:rPr>
        <w:lastRenderedPageBreak/>
        <w:t xml:space="preserve">The FSM SSIP evaluation incorporates all of these aspects (partnership, mixed methods, cultural responsiveness) into the logic model and evaluation plan. The following describes progress made toward short- and intermediate outcomes in terms of each strategy, including corresponding infrastructure components and activities. </w:t>
      </w:r>
      <w:r w:rsidRPr="00781112">
        <w:rPr>
          <w:color w:val="000000" w:themeColor="text1"/>
        </w:rPr>
        <w:br/>
      </w:r>
      <w:r w:rsidRPr="00781112">
        <w:rPr>
          <w:color w:val="000000" w:themeColor="text1"/>
        </w:rPr>
        <w:br/>
        <w:t>Implementing RTI Effectively</w:t>
      </w:r>
      <w:r w:rsidRPr="00781112">
        <w:rPr>
          <w:color w:val="000000" w:themeColor="text1"/>
        </w:rPr>
        <w:br/>
        <w:t>The majority of the FSM SSIP short- and mid-term outcomes relate to effective implementation of RTI at the model and scale-up schools. The TA, PD, and coaching described above contributed to achieving the following short-term outcomes: (1) teachers’ increased knowledge of the core reading program, (2) teachers’ increased knowledge in using data for instructional decision making, and (3) coaches effectively supporting the teachers’ reading instruction. These activities are critical to building the instructional practices that support improved student reading. Contributing to the mid-term outcome that teachers provide reading instruction with fidelity, coaches conduct regular observations as part of effective RTI implementation.</w:t>
      </w:r>
      <w:r w:rsidRPr="00781112">
        <w:rPr>
          <w:color w:val="000000" w:themeColor="text1"/>
        </w:rPr>
        <w:br/>
      </w:r>
      <w:r w:rsidRPr="00781112">
        <w:rPr>
          <w:color w:val="000000" w:themeColor="text1"/>
        </w:rPr>
        <w:br/>
        <w:t xml:space="preserve">Using the data systems, literacy coaches and RTI teams address effective implementation defined by the short-term outcome that screening and assessment data is consistently used, and the mid-term outcome that teachers use data to plan instruction and make decisions about students’ needs. </w:t>
      </w:r>
      <w:r w:rsidRPr="00781112">
        <w:rPr>
          <w:color w:val="000000" w:themeColor="text1"/>
        </w:rPr>
        <w:br/>
      </w:r>
      <w:r w:rsidRPr="00781112">
        <w:rPr>
          <w:color w:val="000000" w:themeColor="text1"/>
        </w:rPr>
        <w:br/>
        <w:t>As part of the accountability and monitoring, the State RTI teams review results and progress to identify how best to support their schools and students, and NDOE provides feedback and support to these State-level reviews. This ensures the national and state staff and stakeholders are addressing all the short and mid-term outcomes noted above.</w:t>
      </w:r>
      <w:r w:rsidRPr="00781112">
        <w:rPr>
          <w:color w:val="000000" w:themeColor="text1"/>
        </w:rPr>
        <w:br/>
      </w:r>
      <w:r w:rsidRPr="00781112">
        <w:rPr>
          <w:color w:val="000000" w:themeColor="text1"/>
        </w:rPr>
        <w:br/>
        <w:t>Family Partnerships</w:t>
      </w:r>
      <w:r w:rsidRPr="00781112">
        <w:rPr>
          <w:color w:val="000000" w:themeColor="text1"/>
        </w:rPr>
        <w:br/>
        <w:t>Activities continue at the school level to address the short-term outcome to increase families’ awareness of early literacy efforts. Student results are shared at PTA meetings, and literacy nights have become a part of school level schedules. These efforts will be supported by focused PD from OSEP-funded project Scholars in the coming school year so that school level staff and administrators have knowledge of effective strategies for partnering with families and can develop strategies to address the mid-term outcome that families understand how to support their students reading at home. This coordinated approach will facilitate sustainability by aiding schools in grounding their literacy - and other - efforts in effective family partnerships.</w:t>
      </w:r>
      <w:r w:rsidRPr="00781112">
        <w:rPr>
          <w:color w:val="000000" w:themeColor="text1"/>
        </w:rPr>
        <w:br/>
      </w:r>
      <w:r w:rsidRPr="00781112">
        <w:rPr>
          <w:color w:val="000000" w:themeColor="text1"/>
        </w:rPr>
        <w:br/>
        <w:t>Community Collaboration</w:t>
      </w:r>
      <w:r w:rsidRPr="00781112">
        <w:rPr>
          <w:color w:val="000000" w:themeColor="text1"/>
        </w:rPr>
        <w:br/>
        <w:t>As described previously, the governance structure of the State RTI teams facilitates engagement of representatives from parent councils, general education, and other agencies at the state level and guides efforts to improve English reading proficiency. Tracking process outcomes related to RTI team membership, number and focus of the meetings convened, and dissemination of SiMR results, will ensure accountability and address the short-term outcome that stakeholders are aware of the literacy efforts. Through regular reviews of LSIP activities, the teams will assess progress and identify areas where additional and/or different strategies might be needed. This may include making connections with other community agencies or organizations. For example, if PD efforts are stalled due to scheduling conflicts, RTI team members may work with others in the SDOE to plan coordinated PD; raising awareness of SSIP activities and efforts and how these can be coordinated with other initiatives.</w:t>
      </w:r>
      <w:r w:rsidRPr="00781112">
        <w:rPr>
          <w:color w:val="000000" w:themeColor="text1"/>
        </w:rPr>
        <w:br/>
      </w:r>
      <w:r w:rsidRPr="00781112">
        <w:rPr>
          <w:color w:val="000000" w:themeColor="text1"/>
        </w:rPr>
        <w:br/>
        <w:t>The State RTI team structure has potential for sustaining efforts across FSM in that the regular cross-State sharing of information and successes at regular points in time builds a national community focused on the mid-term outcome of collaborating to support early literacy efforts.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N/A. No new infrastructure improvement strategies.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Staff and stakeholders at the NDOE, model and scale up schools, and State RTI teams implement four evidence-based practices that contribute to improved early literacy outcomes for children in FSM, including children with disabilities. The evidence-based practices utilized in FSM’s SSIP include the following:</w:t>
      </w:r>
      <w:r w:rsidRPr="00781112">
        <w:rPr>
          <w:color w:val="000000" w:themeColor="text1"/>
        </w:rPr>
        <w:br/>
        <w:t>- Response to Intervention (RTI)</w:t>
      </w:r>
      <w:r w:rsidRPr="00781112">
        <w:rPr>
          <w:color w:val="000000" w:themeColor="text1"/>
        </w:rPr>
        <w:br/>
        <w:t>- Curriculum-Based Measures (DIBELS)</w:t>
      </w:r>
      <w:r w:rsidRPr="00781112">
        <w:rPr>
          <w:color w:val="000000" w:themeColor="text1"/>
        </w:rPr>
        <w:br/>
        <w:t>- Early Literacy Reading Programs-Language for Learning and Reading Mastery</w:t>
      </w:r>
      <w:r w:rsidRPr="00781112">
        <w:rPr>
          <w:color w:val="000000" w:themeColor="text1"/>
        </w:rPr>
        <w:br/>
        <w:t>- Literacy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Response to Intervention</w:t>
      </w:r>
      <w:r w:rsidRPr="00781112">
        <w:rPr>
          <w:color w:val="000000" w:themeColor="text1"/>
        </w:rPr>
        <w:br/>
        <w:t>FSM utilizes Response to Intervention (RTI) to provide early, systematic, and appropriate intensive assistance to FSM students, including students with disabilities, who are at risk for or already underperforming, as compared to their peers, in early literacy. As part of its RTI model, FSM employs universal screening, frequent progress monitoring, review of data, and increased intensive research-based literacy instruction for children who continue to have difficulty in early literacy. In addition to the school-based student level support, each State provides leadership and guidance to ensure implementation is effective and that scale up is determined based on review of data and progress. This teaming at the school, State, and National levels is a critical component of the FSM SSIP.</w:t>
      </w:r>
      <w:r w:rsidRPr="00781112">
        <w:rPr>
          <w:color w:val="000000" w:themeColor="text1"/>
        </w:rPr>
        <w:br/>
      </w:r>
      <w:r w:rsidRPr="00781112">
        <w:rPr>
          <w:color w:val="000000" w:themeColor="text1"/>
        </w:rPr>
        <w:br/>
        <w:t>Curriculum-Based Measures-CBMs (DIBELS)</w:t>
      </w:r>
      <w:r w:rsidRPr="00781112">
        <w:rPr>
          <w:color w:val="000000" w:themeColor="text1"/>
        </w:rPr>
        <w:br/>
        <w:t xml:space="preserve">A critical component of RTI is a systematic assessment of student learning. FSM has adapted a set of consistent screening and assessment protocols aligned to the science of reading principles and to grade level development of English language skills. The screening protocols include measures that address specific skills such as oral reading fluency, decoding, and comprehension which are indicators of early reading success. Each of the SSIP schools consistently administer and analyze the data from these protocols to inform instruction and identify supports for those students who continue to struggle. </w:t>
      </w:r>
      <w:r w:rsidRPr="00781112">
        <w:rPr>
          <w:color w:val="000000" w:themeColor="text1"/>
        </w:rPr>
        <w:br/>
      </w:r>
      <w:r w:rsidRPr="00781112">
        <w:rPr>
          <w:color w:val="000000" w:themeColor="text1"/>
        </w:rPr>
        <w:br/>
        <w:t>Early Literacy Reading Programs</w:t>
      </w:r>
      <w:r w:rsidRPr="00781112">
        <w:rPr>
          <w:color w:val="000000" w:themeColor="text1"/>
        </w:rPr>
        <w:br/>
        <w:t xml:space="preserve">FSM is using Reading Mastery and Language for Learning reading programs which include explicit and systematic teaching of reading knowledge and skills. These programs are grounded in Direct Instruction which addresses systematic and explicit teaching. Teachers are equipped with materials and a specific scope and sequence to guide their reading instruction. These important instructional elements are essential for both English reading development and instruction in the vernacular languages. </w:t>
      </w:r>
      <w:r w:rsidRPr="00781112">
        <w:rPr>
          <w:color w:val="000000" w:themeColor="text1"/>
        </w:rPr>
        <w:br/>
      </w:r>
      <w:r w:rsidRPr="00781112">
        <w:rPr>
          <w:color w:val="000000" w:themeColor="text1"/>
        </w:rPr>
        <w:br/>
      </w:r>
      <w:r w:rsidRPr="00781112">
        <w:rPr>
          <w:color w:val="000000" w:themeColor="text1"/>
        </w:rPr>
        <w:lastRenderedPageBreak/>
        <w:t xml:space="preserve">Coaching </w:t>
      </w:r>
      <w:r w:rsidRPr="00781112">
        <w:rPr>
          <w:color w:val="000000" w:themeColor="text1"/>
        </w:rPr>
        <w:br/>
        <w:t>FSM has a structured instructional coaching system integrated into their early literacy PD/TA. Each State has identified a lead coach who receives ongoing PD to assist them in providing teachers at the schools’ support in English language reading instruction. Based on the literature on effective coaching, the coaches provide regular monthly PD to teachers, follow-up coaching, observation and feedback. Some of the coaches are embedded at the SSIP schools, and all work closely with principals to share responsibility for effective implementation of reading instruction.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1"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1"/>
    <w:p w14:paraId="3E043DB7" w14:textId="7C3B2CD4" w:rsidR="00AE1972" w:rsidRPr="00781112" w:rsidRDefault="00AE1972" w:rsidP="00AE1972">
      <w:pPr>
        <w:rPr>
          <w:b/>
          <w:bCs/>
        </w:rPr>
      </w:pPr>
      <w:r w:rsidRPr="00781112">
        <w:rPr>
          <w:color w:val="000000" w:themeColor="text1"/>
        </w:rPr>
        <w:t>The evidence-based practices described above are integrated into activities that provide structured procedures for English language reading instruction. RTI processes ensure leadership and support at the school, State, and National levels. By using common evidence-based reading programs, and measurement PD and coaching to teachers at model and scale up schools across the States is delivered consistently while also incorporating contextual factors. Use of the ELMo data system to collect consistent measures of reading skills allows for coaches to implement common strategies to support school and State RTI teams to interpret results and make decisions regarding instruction and implementation.  These common practices facilitate connection and learning for the States as the teams can share successes and barriers and identify effective procedures to support English language reading instruction. The teaming structures at the school and State level also provide a mechanism for NDOE to identify TA and supports they may need to provide, as well as policy and procedure development to sustain efforts to improve students’ early literacy skills.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A key component to addressing fidelity of implementation to the RTI model is addressed in the first strategy of the logic model. This strategy concentrates on the need for continuous support and monitoring of implementation on multiple levels, including at the teacher, coach and student level. Specific activities undertaken during this reporting period include: 1) coaches and RTI team members engaging in observation and walk-throughs designed to assess teacher practice, 2) State RTI teams conducting RTI meetings, and 3) NDOE review of and feedback on State LSIPs. </w:t>
      </w:r>
      <w:r w:rsidRPr="00781112">
        <w:rPr>
          <w:color w:val="000000" w:themeColor="text1"/>
        </w:rPr>
        <w:br/>
      </w:r>
      <w:r w:rsidRPr="00781112">
        <w:rPr>
          <w:color w:val="000000" w:themeColor="text1"/>
        </w:rPr>
        <w:br/>
        <w:t>Teacher Observations: Observation of teacher practice provides a more objective assessment of implementation. Coaches and school administration conduct observations on regular intervals using observation protocols to assess the fidelity of implementation of the core reading programs (Reading Mastery and Language for Learning). Coaches and administrators have been trained on the core components of each observation instrument. RtI coaches conducted observations of model school ECE through Grade 5 classrooms. A total of 20 observations were conducted to assess 29 instructional practices.  Results indicate that 69% of those practices were being implemented with fidelity.  Many of the 31% of practices not yet at fidelity were related to pacing of lessons and adequate time to complete lessons. Of note, all nine (9) Language for Learning practices were at the fidelity level.</w:t>
      </w:r>
      <w:r w:rsidRPr="00781112">
        <w:rPr>
          <w:color w:val="000000" w:themeColor="text1"/>
        </w:rPr>
        <w:br/>
      </w:r>
      <w:r w:rsidRPr="00781112">
        <w:rPr>
          <w:color w:val="000000" w:themeColor="text1"/>
        </w:rPr>
        <w:br/>
        <w:t>LSIP Reviews: The quarterly review of each State’s LSIP facilitates continuous improvement and assists State’s in making progress on their activities. As described previously, the LSIPs are aligned to each State’s logic model and serve as the implementation plan. To assure progress is made, State staff and stakeholders track progress as well as need for support from NDOE through quarterly reporting.  NDOE staff will review the quarterly LSIP reports and provide feedback and support to aid in successful implementation in each State. As part of the SSIP Evaluation, State LSIPs will be reviewed to assess progress, and track adjustments made based on data review at the State level.</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PD and TA Survey Data: As articulated in previous sections of this report, a variety of professional development and technical assistance supports were provided to FSM RTI teams and model and scale up schools. Evaluation data was collected across a sample of PD and TA activities that examined increased knowledge in either instructional practices or data analysis, interpretation and use. Of the PD and TA activities evaluated, 86% of participants reported an increase in knowledge of utilizing various instructional practices to support individual learning. Similarly, 87% of PD and training respondents reported knowledge gain in data analysis, interpretation and use. </w:t>
      </w:r>
      <w:r w:rsidRPr="00781112">
        <w:rPr>
          <w:color w:val="000000" w:themeColor="text1"/>
        </w:rPr>
        <w:br/>
      </w:r>
      <w:r w:rsidRPr="00781112">
        <w:rPr>
          <w:color w:val="000000" w:themeColor="text1"/>
        </w:rPr>
        <w:br/>
        <w:t>In addition to evaluation data collected regarding knowledge gained from a sample of PD and TA opportunities provided to SDOEs and model and scale up schools, each State described their own state level training provided on the reading programs to new teachers at model schools, and all teachers at scale-up schools. To ensure consistent data collection, external evaluators are working to create a set of common items to be included in the end-of-training evaluations. To date, these trainings have had more informal feedback on satisfaction.</w:t>
      </w:r>
      <w:r w:rsidRPr="00781112">
        <w:rPr>
          <w:color w:val="000000" w:themeColor="text1"/>
        </w:rPr>
        <w:br/>
      </w:r>
      <w:r w:rsidRPr="00781112">
        <w:rPr>
          <w:color w:val="000000" w:themeColor="text1"/>
        </w:rPr>
        <w:br/>
        <w:t>State Self-Reflection: The new cycle of the FSM SSIP has led to the development and use of new evaluation instruments aligned to the revised logic model and evaluation plan. The previous self-assessment has been replaced with the State Self-Reflection of Implementation instrument. This data collection instrument captures state level information regarding effective practices (i.e., core reading program, instructional strategies and effective coaching), effective implementation including ongoing assessment and leadership capacity, and enabling context, including family partnerships and community collaboration, all contributing to improved English literacy skills for students ECE-G5. In coming years, this State RTI team self-reflection will be facilitated at the start of the school year to inform LSIPs development. Key findings from the initial administration of the state self-reflection include:</w:t>
      </w:r>
      <w:r w:rsidRPr="00781112">
        <w:rPr>
          <w:color w:val="000000" w:themeColor="text1"/>
        </w:rPr>
        <w:br/>
        <w:t>- States noted that supports for core reading instruction are effective</w:t>
      </w:r>
      <w:r w:rsidRPr="00781112">
        <w:rPr>
          <w:color w:val="000000" w:themeColor="text1"/>
        </w:rPr>
        <w:br/>
        <w:t>- Coaching supports are effective as evidenced by the use of ELMo data, observations, progress monitoring activities, and comfort level of teachers</w:t>
      </w:r>
      <w:r w:rsidRPr="00781112">
        <w:rPr>
          <w:color w:val="000000" w:themeColor="text1"/>
        </w:rPr>
        <w:br/>
        <w:t>-</w:t>
      </w:r>
      <w:r w:rsidRPr="00781112">
        <w:rPr>
          <w:color w:val="000000" w:themeColor="text1"/>
        </w:rPr>
        <w:tab/>
        <w:t xml:space="preserve">Data is being used at both the school level, including classroom as well as at the state level, to guide instructional decision making and implementation </w:t>
      </w:r>
      <w:r w:rsidRPr="00781112">
        <w:rPr>
          <w:color w:val="000000" w:themeColor="text1"/>
        </w:rPr>
        <w:br/>
        <w:t>- Additional supports are needed to strengthen scale up school capacity to implement RTI and bring on new scale up schools</w:t>
      </w:r>
      <w:r w:rsidRPr="00781112">
        <w:rPr>
          <w:color w:val="000000" w:themeColor="text1"/>
        </w:rPr>
        <w:br/>
        <w:t>- Scale up plans are variable across states</w:t>
      </w:r>
      <w:r w:rsidRPr="00781112">
        <w:rPr>
          <w:color w:val="000000" w:themeColor="text1"/>
        </w:rPr>
        <w:br/>
        <w:t>- States continue to engage family in literacy initiatives at the school level</w:t>
      </w:r>
      <w:r w:rsidRPr="00781112">
        <w:rPr>
          <w:color w:val="000000" w:themeColor="text1"/>
        </w:rPr>
        <w:br/>
        <w:t>-</w:t>
      </w:r>
      <w:r w:rsidRPr="00781112">
        <w:rPr>
          <w:color w:val="000000" w:themeColor="text1"/>
        </w:rPr>
        <w:tab/>
        <w:t xml:space="preserve">Data on implementation is shared with various stakeholders-at PTA meetings, summer trainings, public meetings, and state level team meetings </w:t>
      </w:r>
      <w:r w:rsidRPr="00781112">
        <w:rPr>
          <w:color w:val="000000" w:themeColor="text1"/>
        </w:rPr>
        <w:br/>
      </w:r>
      <w:r w:rsidRPr="00781112">
        <w:rPr>
          <w:color w:val="000000" w:themeColor="text1"/>
        </w:rPr>
        <w:br/>
        <w:t>Curriculum Based Measures (DIBELs): Data is collected at three points in time during the school year. These data are used to report progress toward the SiMR (see Section A above). Trend data for the aggregate percentage of students reaching proficient over the past three years across the three assessment periods --beginning of the year (BOY), middle of the year (MOY), and end of the year (EOY), indicate an overall improvement. These data include students at the scale up schools for the 2020-2021 SY. BOY proficiency percentages increased from 34% in SY 2018-2019 to 40% in SY 2020-2021. MOY proficiency percentages increased from 31% to 35% in those same school years. EOY data were incomplete due to COVID-19 and lack of data collected in the Spring of 2020.</w:t>
      </w:r>
      <w:r w:rsidRPr="00781112">
        <w:rPr>
          <w:color w:val="000000" w:themeColor="text1"/>
        </w:rPr>
        <w:br/>
      </w:r>
      <w:r w:rsidRPr="00781112">
        <w:rPr>
          <w:color w:val="000000" w:themeColor="text1"/>
        </w:rPr>
        <w:br/>
        <w:t xml:space="preserve">Coaching Data: All coaches continue to capture their coaching data in a coaching log. This includes date, duration, topic, and next steps for their coaching with individual teachers. In addition, regular PD sessions are provided to teachers at the school level, and these will also be included in the </w:t>
      </w:r>
      <w:r w:rsidRPr="00781112">
        <w:rPr>
          <w:color w:val="000000" w:themeColor="text1"/>
        </w:rPr>
        <w:lastRenderedPageBreak/>
        <w:t xml:space="preserve">evaluation data collection. These data will be captured in the ELMo data dashboard, beginning in the next reporting cycle, as this feature in ELMo is finalized. </w:t>
      </w:r>
      <w:r w:rsidRPr="00781112">
        <w:rPr>
          <w:color w:val="000000" w:themeColor="text1"/>
        </w:rPr>
        <w:br/>
      </w:r>
      <w:r w:rsidRPr="00781112">
        <w:rPr>
          <w:color w:val="000000" w:themeColor="text1"/>
        </w:rPr>
        <w:br/>
        <w:t>Scale Up School Principal Interviews: Evaluators interviewed the two scale up school principals, using a protocol of fourteen questions addressing school learning policies and student growth in the school. The questions addressed challenges faced by the school, observations on student learning, the impact of the environment and the role it played in academic success, as well as school policies surrounding measurement of success. These results will be used to frame a contextual “baseline” or starting point for the scale-up schools so that progress and implementation can be tracked in more detail. High level findings from the interviews include:</w:t>
      </w:r>
      <w:r w:rsidRPr="00781112">
        <w:rPr>
          <w:color w:val="000000" w:themeColor="text1"/>
        </w:rPr>
        <w:br/>
        <w:t>- Students have on-level assessment results and are able to access reading resources but that the resources themselves are insufficient</w:t>
      </w:r>
      <w:r w:rsidRPr="00781112">
        <w:rPr>
          <w:color w:val="000000" w:themeColor="text1"/>
        </w:rPr>
        <w:br/>
        <w:t>- Assessment results are used as a marker for student development and at-risk students have tutorials made accessible to them to aid in learning</w:t>
      </w:r>
      <w:r w:rsidRPr="00781112">
        <w:rPr>
          <w:color w:val="000000" w:themeColor="text1"/>
        </w:rPr>
        <w:br/>
        <w:t>- Most students do not speak English at home</w:t>
      </w:r>
      <w:r w:rsidRPr="00781112">
        <w:rPr>
          <w:color w:val="000000" w:themeColor="text1"/>
        </w:rPr>
        <w:br/>
        <w:t>- Classroom activities are sometimes peer-to-peer and reading is done in small groups but also individually, giving them a variety of ways to learn.</w:t>
      </w:r>
      <w:r w:rsidRPr="00781112">
        <w:rPr>
          <w:color w:val="000000" w:themeColor="text1"/>
        </w:rPr>
        <w:br/>
        <w:t>- Building teams occur at the grade-level-either lower or upper grades- or at a subject level, and collaboration is fostered lesson study, peer coaching, mini workshops</w:t>
      </w:r>
      <w:r w:rsidRPr="00781112">
        <w:rPr>
          <w:color w:val="000000" w:themeColor="text1"/>
        </w:rPr>
        <w:br/>
        <w:t>- To track the progress of the students, the school administers a summative and informal assessment, a quarter ending assessment, and other practical strategies to measure effectiveness of the instruction.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All four evidence-based practices will continue in the coming year of SSIP implementation. All model and scale up schools will continue to utilize an RTI model to provide early, systematic, and appropriate intensive assistance to FSM students. Coaching support will be provided to all schools engaged in SSIP activities. New coaches will receive additional training and professional development to support skill building in coaching strategies. In addition, literacy coaches will work with TA providers to develop a set of resources for use by new coaches as the RTI efforts are scaled up and/or scaled out in each State. All SSIP schools will engage in continued professional development and technical assistance as they implement the components of RTI as well as the evidence-based literacy curriculum and the use of CBMs. NODE and State staff and stakeholders will continue to work on identifying effective practices to support leadership in the areas of family engagement and community collaboration. Evaluators will continue to collect data on the fidelity of implementation of the EBPs and enhancements to both NDOE and SDOEs infrastructure to support SSIP activities.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schools administrators, teachers, and parents for the development and implementation of Indicator 17: FSM’s State Systemic Improvement Plan (SSIP).</w:t>
      </w:r>
      <w:r w:rsidRPr="00781112">
        <w:rPr>
          <w:color w:val="000000" w:themeColor="text1"/>
        </w:rPr>
        <w:br/>
      </w:r>
      <w:r w:rsidRPr="00781112">
        <w:rPr>
          <w:color w:val="000000" w:themeColor="text1"/>
        </w:rPr>
        <w:br/>
        <w:t>For the development of FSM’s FFY 2020 IDEA Part B APR and SSIP Phase III Year 6 report (Indicator 17), NDOE engaged the FSM National SPP/APR Leadership Team and other key education leaders, as follows:</w:t>
      </w:r>
      <w:r w:rsidRPr="00781112">
        <w:rPr>
          <w:color w:val="000000" w:themeColor="text1"/>
        </w:rPr>
        <w:br/>
      </w:r>
      <w:r w:rsidRPr="00781112">
        <w:rPr>
          <w:color w:val="000000" w:themeColor="text1"/>
        </w:rPr>
        <w:br/>
        <w:t xml:space="preserve">• On April 12-16, 2021, 2 FSM NDOE Division of Special Services staffs provided onsite technical assistance to Yap State and also conducted a public hearing on April 13, 2021 on the FFY 2021 OSEP Part B grant application and other program requirements, services, and initiatives. Specific discussion topics and questions from parent and community members during the public hearing include statewide assessment and progress monitoring, IEP and special education services, home services, building and instruction accessibility, teacher certification and quality, certified specialist and off-island referral for diagnosis. The one concern shared by the attendants also is the question of FSM's continued eligibility for IDEA funding beyond 2023, with regards to the US-FSM compact agreement. In attendance were 53 people, which included 42 parents and 11 special education and general education administrators and teachers. </w:t>
      </w:r>
      <w:r w:rsidRPr="00781112">
        <w:rPr>
          <w:color w:val="000000" w:themeColor="text1"/>
        </w:rPr>
        <w:br/>
        <w:t>• On April 19-23, 2021, 1 NDOE staff and 2 Pohnpei Special Education administrators conducted a similar technical assistance and public hearing in Kosrae State. The meeting in Kosrae included discussions on the FFY 2021 grant application, and other interest areas such as parent rights, certified specialist in autism and other low-incidence conditions, types of disabilities and what parents should know about them, and IEP and what types of assistive devices can be provided to a child. The meeting in Kosrae consisted of 91 total attendants, of which 34 were parents, 1 state legislator, 3 were IEP students, and 53 service providers (including special education staffs and school principals and administrators). All the parent participants represented all the four main municipalities of Kosrae and the officers of the Kosrae Advisory Council/Interagency Council were also represented at the meeting.</w:t>
      </w:r>
      <w:r w:rsidRPr="00781112">
        <w:rPr>
          <w:color w:val="000000" w:themeColor="text1"/>
        </w:rPr>
        <w:br/>
        <w:t>• On April 27-30, 2021, Pohnpei DOE conducted its public hearing and community outreach with assistance of 4 NDOE Special Education staffs. 4 community public outreach meetings were held with a total of 280 participants. On the 27th, Nett and U community meeting was held with 51 parents and 9 service providers. On the 28th, the meeting was held in Madolenihmw municipality with 103 parents and 17 service providers. On the 29th, the meeting was held in Kitti municipality with 46 parents and 11 service providers. On the 30th, it the community public hearing was held in Kolonia for Kolonia and Sokehs communities with 38 parents and 5 service providers. Some of the discussion highlights include local laws for children with disabilities, appropriate special education services based on appropriate assessment, complaint and due process, related services, funding of services, and the need for more certified specialists.</w:t>
      </w:r>
      <w:r w:rsidRPr="00781112">
        <w:rPr>
          <w:color w:val="000000" w:themeColor="text1"/>
        </w:rPr>
        <w:br/>
        <w:t>• On April 28-30, 2 NDOE staffs support Chuuk DOE SPED to facilitate its public hearing and also to provide technical assistance related to early childhood special education and fiscal. In Chuuk, the public hearing was held on the 30th of April with 28 parents and 43 service providers. In addition to the focus areas on ECSE and fiscal, NDOE staffs assisted Chuuk DOE Special Education in data collection and verification. Topic areas covered during the public hearing were allocation of LEA allotments, services in private schools, statewide assessment and accommodations, appropriate and available services to specific disability categories, transportation and related services, lunch services, if allocable, interagency collaboration, medication and coverage, physical therapy, and resource room service.</w:t>
      </w:r>
      <w:r w:rsidRPr="00781112">
        <w:rPr>
          <w:color w:val="000000" w:themeColor="text1"/>
        </w:rPr>
        <w:br/>
        <w:t>• On August 5, 2021, outcomes of LEA public hearings and APR/SSIP reports were summarized and presented to FACSSO. The CAP project (Collaboration Across the Pacific), which is an advanced certification academy in the area of severe disability, and autism in particular, was also presented to FACSSO to get ownership and selection of 2 scholars per state to enroll in this project FSM Special Education is partnering in with University of Hawaii Manoa MCH LEND Program and Center on Disability Studies with San Francisco State University, and the Nika Project.</w:t>
      </w:r>
      <w:r w:rsidRPr="00781112">
        <w:rPr>
          <w:color w:val="000000" w:themeColor="text1"/>
        </w:rPr>
        <w:br/>
        <w:t xml:space="preserve">• On October 18-22, 2021, NDOE conducted the annual onsite verification and monitoring of Chuuk State Special Education program. As usual, the monitoring team met with the Chuuk State Advisory Council (AC) to verify their involvement in planning and executing its advisory role, which include LPP review and development. Also present at the meeting with the Chuuk AC were 3 parents, 6 AC members, and 8 special education staffs. During the </w:t>
      </w:r>
      <w:r w:rsidRPr="00781112">
        <w:rPr>
          <w:color w:val="000000" w:themeColor="text1"/>
        </w:rPr>
        <w:lastRenderedPageBreak/>
        <w:t>monitoring visit, the NDOE team and Chuuk DOE also met with the Chuuk House of Senate Joint Committee of Health, Education, and Welfare (HEW) and Committee of Judiciary and Governmental Relations (JGR). These meeting opportunities provided insights to NDOE and Chuuk SPED in aligning improvement activities and targets to reflect the concerns and inputs from these stakeholders.</w:t>
      </w:r>
      <w:r w:rsidRPr="00781112">
        <w:rPr>
          <w:color w:val="000000" w:themeColor="text1"/>
        </w:rPr>
        <w:br/>
        <w:t>• On October 28, 2021, NDOE conducted a virtual SSIP meeting with all states and consultants from UOG CEDDERS and Sigma Associates, Inc., to further discuss State Logic Model and the LEA Local Systemic Improvement Plans (LSIP).</w:t>
      </w:r>
      <w:r w:rsidRPr="00781112">
        <w:rPr>
          <w:color w:val="000000" w:themeColor="text1"/>
        </w:rPr>
        <w:br/>
        <w:t xml:space="preserve">• On November 22-26, 2021, NDOE conducted the annual onsite verification and monitoring of Yap State Special Education program. NDOE monitoring team and Yap SPED key staffs met with the Yap Advisory Council and 42 parents and some of the discussion highlights were related to neighboring islands monitoring, the lack of certified or qualified special education teachers and specialists, how the parent survey is administered and access to program information and services. The team also met with the 10th Yap State Legislature to also present special education and related services and answer questions from the legislative members. The outcomes of these meeting also are included in Yap SPED discussions on its LPP/LSIP to ensure that improvement activities and target setting are all based on needs, recommendations, and actual program implementation practices. </w:t>
      </w:r>
      <w:r w:rsidRPr="00781112">
        <w:rPr>
          <w:color w:val="000000" w:themeColor="text1"/>
        </w:rPr>
        <w:br/>
        <w:t>• On December 8, 2021, NDOE conducted a virtual SPP/APR stakeholder meeting with all LEA leadership teams, UOG CEDDERS, and SAI on target setting, data verification, and program implementation practices. The LEA inputs from stakeholders during onsite verification and monitoring visits and public hearings were discussed during this virtual meeting.</w:t>
      </w:r>
      <w:r w:rsidRPr="00781112">
        <w:rPr>
          <w:color w:val="000000" w:themeColor="text1"/>
        </w:rPr>
        <w:br/>
        <w:t>• On January 5, 18, and 26, NDOE conducted virtual SPP/APR stakeholders meetings with all LEA leadership teams, UOG CEDDERS, SAI, and NCEO on data verification and target setting for both SEA and LEAs. During these SPP/APR final meetings, Chairmen of AC from some of the states attended and contributed to the discussions on indicator performances and target setting.</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Stakeholder input was built into review and revision of the evaluation for this next SSIP cycle. External evaluators continued the practice of convening state teams to review their data, compare to NDOE, and reflect on implementation challenges and successes, and plan for the coming school year. A series of stakeholder meetings were held between September and December 2021 during which State RTI teams reviewed their performance related to students’ performance in reading, teachers’ skills in implementing the reading programs, and family engagement in their early literacy initiatives. These RTI teams consist of school and State level members including principals, coaches, parent representatives, and administrators. Through focused discussions each team identified outcomes related to the SiMR that fit their State context.</w:t>
      </w:r>
      <w:r w:rsidRPr="00781112">
        <w:rPr>
          <w:color w:val="000000" w:themeColor="text1"/>
        </w:rPr>
        <w:br/>
      </w:r>
      <w:r w:rsidRPr="00781112">
        <w:rPr>
          <w:color w:val="000000" w:themeColor="text1"/>
        </w:rPr>
        <w:br/>
        <w:t>In addition to State focused discussions and decision making, stakeholders provided input to NODE outcomes and strategies to guide SSIP implementation. Through cross-State stakeholder discussions, NDOE was made aware of the challenges and needs for further TA/PD to support State implementation and scale up of RTI to sustain improved reading for students in the SSIP schools. In this way, stakeholders collaboratively engaged in development of FSM SSIP activities and outcomes.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Through the series of meetings with stakeholders, the opportunity to raise concern was built into the process.  As RTI teams reflected on current implementation of their early literacy efforts, they identified challenges, and discussed reasonable expectations for target setting related to the SiMR.  While not each and every concern was resolved, this information was used to plan TA/PD, and activities for the coming school year.</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N/A. No new activities planned for the next fiscal year.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N/A. No new activities planned for the next fiscal year.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While common forms and timelines for data collection are in place, there continues to be uneven adherence to the timelines.  For example, coaching logs and set times for conducting school observations for evaluation purposes are articulated for the SSIP, these are not consistently provided on time.  To address this and other aspects of the literacy coaching system, NDOE will work with TA partners to develop a standardized set of procedures and protocols for onboarding of new coaches as the early literacy practices are scaled up and sustained.</w:t>
      </w:r>
      <w:r w:rsidRPr="00781112">
        <w:rPr>
          <w:color w:val="000000" w:themeColor="text1"/>
        </w:rPr>
        <w:br/>
      </w:r>
      <w:r w:rsidRPr="00781112">
        <w:rPr>
          <w:color w:val="000000" w:themeColor="text1"/>
        </w:rPr>
        <w:br/>
        <w:t>RTI teams noted that adequate time for reflection and action planning was a challenge to SSIP implementation.  To address this, the external evaluators will conduct quarterly meetings with the NDOE liaisons so that RTI teams have frequent opportunities to meet and review data as a group in order to plan throughout the year. Meetings of all State RTI teams and NDOE staff will be held twice per year to ensure continued input to overall SSIP implementation.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FSM's FFY 2019 SPP/APR and Indicator 17 SSIP Phase III Year 5 report were sent to the four LEAs within the 120 days required after the date of the determination letter. Electronic copies of the FFY 2019 SSP/APR and the Indicator 17 SSIP included as a 508 compliant attachment were also sent to the four LEAs, as well as being posted on https://www.fsmsped.org/resources/1/7 (SPP/APR) and https://www.fsmsped.org/resources/1/9 (FFY 2019 SSIP Phase III Year 5, 508 Compliant).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FSM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Arthur Albert</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Secretary, Division of Special Services, FSM NDOE</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aalbert@dss.edu.fm</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(691)320-8982</w:t>
      </w:r>
    </w:p>
    <w:bookmarkEnd w:id="7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9:15:34 PM</w:t>
      </w:r>
    </w:p>
    <w:p w14:paraId="596B3C30" w14:textId="3D4B0E44" w:rsidR="00755AF7" w:rsidRDefault="00755AF7" w:rsidP="00EE4B59">
      <w:pPr>
        <w:rPr>
          <w:rFonts w:cs="Arial"/>
          <w:color w:val="000000" w:themeColor="text1"/>
          <w:szCs w:val="16"/>
        </w:rPr>
      </w:pPr>
    </w:p>
    <w:p w14:paraId="7BE8CCAD" w14:textId="77777777" w:rsidR="006B7D32" w:rsidRDefault="006B7D32">
      <w:pPr>
        <w:spacing w:before="0" w:after="200" w:line="276" w:lineRule="auto"/>
        <w:rPr>
          <w:rFonts w:eastAsiaTheme="majorEastAsia" w:cstheme="majorBidi"/>
          <w:b/>
          <w:bCs/>
          <w:color w:val="000000" w:themeColor="text1"/>
          <w:sz w:val="20"/>
          <w:szCs w:val="28"/>
        </w:rPr>
      </w:pPr>
      <w:r>
        <w:rPr>
          <w:color w:val="000000" w:themeColor="text1"/>
        </w:rPr>
        <w:br w:type="page"/>
      </w:r>
    </w:p>
    <w:p w14:paraId="5AD873CD" w14:textId="671A6D87" w:rsidR="009570FD" w:rsidRDefault="009570FD" w:rsidP="009570FD">
      <w:pPr>
        <w:pStyle w:val="Heading1"/>
        <w:rPr>
          <w:color w:val="000000" w:themeColor="text1"/>
        </w:rPr>
      </w:pPr>
      <w:r>
        <w:rPr>
          <w:color w:val="000000" w:themeColor="text1"/>
        </w:rPr>
        <w:lastRenderedPageBreak/>
        <w:t>ED Attachments</w:t>
      </w:r>
    </w:p>
    <w:p w14:paraId="6ECAC26E" w14:textId="77777777" w:rsidR="009570FD" w:rsidRPr="009570FD" w:rsidRDefault="009570FD" w:rsidP="009570FD"/>
    <w:p w14:paraId="036F2B30" w14:textId="69ACEA73" w:rsidR="009570FD" w:rsidRPr="00781112" w:rsidRDefault="009570FD" w:rsidP="00EE4B59">
      <w:pPr>
        <w:rPr>
          <w:rFonts w:cs="Arial"/>
          <w:color w:val="000000" w:themeColor="text1"/>
          <w:szCs w:val="16"/>
        </w:rPr>
      </w:pPr>
      <w:r>
        <w:rPr>
          <w:rFonts w:cs="Arial"/>
          <w:color w:val="000000" w:themeColor="text1"/>
          <w:szCs w:val="16"/>
        </w:rPr>
        <w:object w:dxaOrig="1540" w:dyaOrig="997" w14:anchorId="697E18CA">
          <v:shape id="_x0000_i1026" type="#_x0000_t75" alt="FM-B-Dispute-Resolution-2020-21" style="width:76.4pt;height:49.45pt" o:ole="">
            <v:imagedata r:id="rId12" o:title=""/>
          </v:shape>
          <o:OLEObject Type="Embed" ProgID="Acrobat.Document.DC" ShapeID="_x0000_i1026" DrawAspect="Icon" ObjectID="_1726411885" r:id="rId13"/>
        </w:object>
      </w:r>
      <w:r w:rsidR="00825775">
        <w:rPr>
          <w:rFonts w:cs="Arial"/>
          <w:color w:val="000000" w:themeColor="text1"/>
          <w:szCs w:val="16"/>
        </w:rPr>
        <w:object w:dxaOrig="1540" w:dyaOrig="997" w14:anchorId="63956936">
          <v:shape id="_x0000_i1027" type="#_x0000_t75" alt="fm-resultsmatrix-2022bent&#10;" style="width:77.3pt;height:49.45pt" o:ole="">
            <v:imagedata r:id="rId14" o:title=""/>
          </v:shape>
          <o:OLEObject Type="Embed" ProgID="Acrobat.Document.DC" ShapeID="_x0000_i1027" DrawAspect="Icon" ObjectID="_1726411886" r:id="rId15"/>
        </w:object>
      </w:r>
      <w:r w:rsidR="00877D10">
        <w:rPr>
          <w:rFonts w:cs="Arial"/>
          <w:color w:val="000000" w:themeColor="text1"/>
          <w:szCs w:val="16"/>
        </w:rPr>
        <w:object w:dxaOrig="1579" w:dyaOrig="1022" w14:anchorId="054801EE">
          <v:shape id="_x0000_i1030" type="#_x0000_t75" alt="FM-2022DataRubricPartB&#10;" style="width:79.2pt;height:50.7pt" o:ole="">
            <v:imagedata r:id="rId16" o:title=""/>
          </v:shape>
          <o:OLEObject Type="Embed" ProgID="Excel.Sheet.12" ShapeID="_x0000_i1030" DrawAspect="Icon" ObjectID="_1726411887" r:id="rId17"/>
        </w:object>
      </w:r>
    </w:p>
    <w:sectPr w:rsidR="009570FD"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B438" w14:textId="77777777" w:rsidR="005E2301" w:rsidRDefault="005E2301" w:rsidP="000802F7">
      <w:pPr>
        <w:spacing w:before="0" w:after="0"/>
      </w:pPr>
      <w:r>
        <w:separator/>
      </w:r>
    </w:p>
  </w:endnote>
  <w:endnote w:type="continuationSeparator" w:id="0">
    <w:p w14:paraId="47C6B5B6" w14:textId="77777777" w:rsidR="005E2301" w:rsidRDefault="005E2301" w:rsidP="000802F7">
      <w:pPr>
        <w:spacing w:before="0" w:after="0"/>
      </w:pPr>
      <w:r>
        <w:continuationSeparator/>
      </w:r>
    </w:p>
  </w:endnote>
  <w:endnote w:type="continuationNotice" w:id="1">
    <w:p w14:paraId="07C1A025" w14:textId="77777777" w:rsidR="005E2301" w:rsidRDefault="005E23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BA82" w14:textId="77777777" w:rsidR="005E2301" w:rsidRDefault="005E2301" w:rsidP="000802F7">
      <w:pPr>
        <w:spacing w:before="0" w:after="0"/>
      </w:pPr>
      <w:r>
        <w:separator/>
      </w:r>
    </w:p>
  </w:footnote>
  <w:footnote w:type="continuationSeparator" w:id="0">
    <w:p w14:paraId="41A64390" w14:textId="77777777" w:rsidR="005E2301" w:rsidRDefault="005E2301" w:rsidP="000802F7">
      <w:pPr>
        <w:spacing w:before="0" w:after="0"/>
      </w:pPr>
      <w:r>
        <w:continuationSeparator/>
      </w:r>
    </w:p>
  </w:footnote>
  <w:footnote w:type="continuationNotice" w:id="1">
    <w:p w14:paraId="5985CAE0" w14:textId="77777777" w:rsidR="005E2301" w:rsidRDefault="005E2301">
      <w:pPr>
        <w:spacing w:before="0" w:after="0"/>
      </w:pPr>
    </w:p>
  </w:footnote>
  <w:footnote w:id="2">
    <w:p w14:paraId="14BF4316" w14:textId="1F073728" w:rsidR="009570FD" w:rsidRPr="009570FD" w:rsidRDefault="009570FD">
      <w:pPr>
        <w:pStyle w:val="FootnoteText"/>
        <w:rPr>
          <w:sz w:val="16"/>
          <w:szCs w:val="16"/>
        </w:rPr>
      </w:pPr>
      <w:r w:rsidRPr="009570FD">
        <w:rPr>
          <w:rStyle w:val="FootnoteReference"/>
          <w:sz w:val="16"/>
          <w:szCs w:val="16"/>
        </w:rPr>
        <w:footnoteRef/>
      </w:r>
      <w:r w:rsidRPr="009570FD">
        <w:rPr>
          <w:sz w:val="16"/>
          <w:szCs w:val="16"/>
        </w:rPr>
        <w:t xml:space="preserve"> Prior to the FFY 2020 submission, the State used a different data source to report data under this indicator.</w:t>
      </w:r>
    </w:p>
  </w:footnote>
  <w:footnote w:id="3">
    <w:p w14:paraId="5F6C97DD" w14:textId="77777777" w:rsidR="00BD743E" w:rsidRPr="00DF00D0" w:rsidRDefault="00BD743E" w:rsidP="00BD743E">
      <w:pPr>
        <w:pStyle w:val="FootnoteText"/>
        <w:rPr>
          <w:sz w:val="16"/>
          <w:szCs w:val="16"/>
        </w:rPr>
      </w:pPr>
      <w:r>
        <w:rPr>
          <w:rStyle w:val="FootnoteReference"/>
        </w:rPr>
        <w:t>1</w:t>
      </w:r>
      <w:r w:rsidRPr="00DF00D0">
        <w:rPr>
          <w:sz w:val="16"/>
          <w:szCs w:val="16"/>
        </w:rPr>
        <w:t xml:space="preserve"> Data suppressed due to privacy protection</w:t>
      </w:r>
    </w:p>
  </w:footnote>
  <w:footnote w:id="4">
    <w:p w14:paraId="2A883F8D" w14:textId="77777777" w:rsidR="00BD743E" w:rsidRPr="00DF00D0" w:rsidRDefault="00BD743E" w:rsidP="00BD743E">
      <w:pPr>
        <w:pStyle w:val="FootnoteText"/>
        <w:rPr>
          <w:sz w:val="16"/>
          <w:szCs w:val="16"/>
        </w:rPr>
      </w:pPr>
    </w:p>
  </w:footnote>
  <w:footnote w:id="5">
    <w:p w14:paraId="3A7F1EFF" w14:textId="77777777" w:rsidR="00BD743E" w:rsidRPr="00DF00D0" w:rsidRDefault="00BD743E" w:rsidP="00BD743E">
      <w:pPr>
        <w:pStyle w:val="FootnoteText"/>
        <w:rPr>
          <w:sz w:val="16"/>
          <w:szCs w:val="16"/>
        </w:rPr>
      </w:pPr>
    </w:p>
  </w:footnote>
  <w:footnote w:id="6">
    <w:p w14:paraId="5731159B" w14:textId="77777777" w:rsidR="00BD743E" w:rsidRPr="00DF00D0" w:rsidRDefault="00BD743E" w:rsidP="00BD743E">
      <w:pPr>
        <w:pStyle w:val="FootnoteText"/>
        <w:rPr>
          <w:sz w:val="16"/>
          <w:szCs w:val="16"/>
        </w:rPr>
      </w:pPr>
    </w:p>
  </w:footnote>
  <w:footnote w:id="7">
    <w:p w14:paraId="4465C56D" w14:textId="77777777" w:rsidR="00BD743E" w:rsidRPr="00DF00D0" w:rsidRDefault="00BD743E" w:rsidP="00BD743E">
      <w:pPr>
        <w:pStyle w:val="FootnoteText"/>
        <w:rPr>
          <w:sz w:val="16"/>
          <w:szCs w:val="16"/>
        </w:rPr>
      </w:pPr>
    </w:p>
  </w:footnote>
  <w:footnote w:id="8">
    <w:p w14:paraId="04A8AE5F" w14:textId="77777777" w:rsidR="00BD743E" w:rsidRPr="00DF00D0" w:rsidRDefault="00BD743E" w:rsidP="00BD743E">
      <w:pPr>
        <w:pStyle w:val="FootnoteText"/>
        <w:rPr>
          <w:sz w:val="16"/>
          <w:szCs w:val="16"/>
        </w:rPr>
      </w:pPr>
    </w:p>
  </w:footnote>
  <w:footnote w:id="9">
    <w:p w14:paraId="2E8C6401" w14:textId="77777777" w:rsidR="00BD743E" w:rsidRPr="00DF00D0" w:rsidRDefault="00BD743E" w:rsidP="00BD743E">
      <w:pPr>
        <w:pStyle w:val="FootnoteText"/>
        <w:rPr>
          <w:sz w:val="16"/>
          <w:szCs w:val="16"/>
        </w:rPr>
      </w:pPr>
    </w:p>
  </w:footnote>
  <w:footnote w:id="10">
    <w:p w14:paraId="5C5F4C31" w14:textId="77777777" w:rsidR="00BD743E" w:rsidRPr="00DF00D0" w:rsidRDefault="00BD743E" w:rsidP="00BD743E">
      <w:pPr>
        <w:pStyle w:val="FootnoteText"/>
        <w:rPr>
          <w:sz w:val="16"/>
          <w:szCs w:val="16"/>
        </w:rPr>
      </w:pPr>
    </w:p>
  </w:footnote>
  <w:footnote w:id="11">
    <w:p w14:paraId="2F95A93D" w14:textId="77777777" w:rsidR="00BD743E" w:rsidRPr="00DF00D0" w:rsidRDefault="00BD743E" w:rsidP="00BD743E">
      <w:pPr>
        <w:pStyle w:val="FootnoteText"/>
        <w:rPr>
          <w:sz w:val="16"/>
          <w:szCs w:val="16"/>
        </w:rPr>
      </w:pPr>
    </w:p>
  </w:footnote>
  <w:footnote w:id="12">
    <w:p w14:paraId="66633FC9" w14:textId="77777777" w:rsidR="00BD743E" w:rsidRPr="00DF00D0" w:rsidRDefault="00BD743E" w:rsidP="00BD743E">
      <w:pPr>
        <w:pStyle w:val="FootnoteText"/>
        <w:rPr>
          <w:sz w:val="16"/>
          <w:szCs w:val="16"/>
        </w:rPr>
      </w:pPr>
    </w:p>
  </w:footnote>
  <w:footnote w:id="13">
    <w:p w14:paraId="4081AB2E" w14:textId="77777777" w:rsidR="00BD743E" w:rsidRPr="00DF00D0" w:rsidRDefault="00BD743E" w:rsidP="00BD743E">
      <w:pPr>
        <w:pStyle w:val="FootnoteText"/>
        <w:rPr>
          <w:sz w:val="16"/>
          <w:szCs w:val="16"/>
        </w:rPr>
      </w:pPr>
    </w:p>
  </w:footnote>
  <w:footnote w:id="14">
    <w:p w14:paraId="609A4956" w14:textId="77777777" w:rsidR="00BD743E" w:rsidRPr="00DF00D0" w:rsidRDefault="00BD743E" w:rsidP="00BD743E">
      <w:pPr>
        <w:pStyle w:val="FootnoteText"/>
        <w:rPr>
          <w:sz w:val="16"/>
          <w:szCs w:val="16"/>
        </w:rPr>
      </w:pPr>
    </w:p>
  </w:footnote>
  <w:footnote w:id="15">
    <w:p w14:paraId="39CAF5B8" w14:textId="77777777" w:rsidR="008D00BE" w:rsidRPr="00DF00D0" w:rsidRDefault="008D00BE" w:rsidP="008D00BE">
      <w:pPr>
        <w:pStyle w:val="FootnoteText"/>
        <w:rPr>
          <w:sz w:val="16"/>
          <w:szCs w:val="16"/>
        </w:rPr>
      </w:pPr>
      <w:r>
        <w:rPr>
          <w:rStyle w:val="FootnoteReference"/>
        </w:rPr>
        <w:t>1</w:t>
      </w:r>
      <w:r w:rsidRPr="00DF00D0">
        <w:rPr>
          <w:sz w:val="16"/>
          <w:szCs w:val="16"/>
        </w:rPr>
        <w:t xml:space="preserve"> Data suppressed due to privacy protection</w:t>
      </w:r>
    </w:p>
  </w:footnote>
  <w:footnote w:id="16">
    <w:p w14:paraId="5DA51996" w14:textId="77777777" w:rsidR="008D00BE" w:rsidRPr="00DF00D0" w:rsidRDefault="008D00BE" w:rsidP="008D00BE">
      <w:pPr>
        <w:pStyle w:val="FootnoteText"/>
        <w:rPr>
          <w:sz w:val="16"/>
          <w:szCs w:val="16"/>
        </w:rPr>
      </w:pPr>
    </w:p>
  </w:footnote>
  <w:footnote w:id="17">
    <w:p w14:paraId="04B882C0" w14:textId="77777777" w:rsidR="008D00BE" w:rsidRPr="00DF00D0" w:rsidRDefault="008D00BE" w:rsidP="008D00BE">
      <w:pPr>
        <w:pStyle w:val="FootnoteText"/>
        <w:rPr>
          <w:sz w:val="16"/>
          <w:szCs w:val="16"/>
        </w:rPr>
      </w:pPr>
    </w:p>
  </w:footnote>
  <w:footnote w:id="18">
    <w:p w14:paraId="6E8EF355" w14:textId="77777777" w:rsidR="008D00BE" w:rsidRPr="00DF00D0" w:rsidRDefault="008D00BE" w:rsidP="008D00BE">
      <w:pPr>
        <w:pStyle w:val="FootnoteText"/>
        <w:rPr>
          <w:sz w:val="16"/>
          <w:szCs w:val="16"/>
        </w:rPr>
      </w:pPr>
    </w:p>
  </w:footnote>
  <w:footnote w:id="19">
    <w:p w14:paraId="607250DE" w14:textId="77777777" w:rsidR="008D00BE" w:rsidRPr="00DF00D0" w:rsidRDefault="008D00BE" w:rsidP="008D00BE">
      <w:pPr>
        <w:pStyle w:val="FootnoteText"/>
        <w:rPr>
          <w:sz w:val="16"/>
          <w:szCs w:val="16"/>
        </w:rPr>
      </w:pPr>
    </w:p>
  </w:footnote>
  <w:footnote w:id="20">
    <w:p w14:paraId="76ACA1A1" w14:textId="77777777" w:rsidR="008D00BE" w:rsidRPr="00DF00D0" w:rsidRDefault="008D00BE" w:rsidP="008D00BE">
      <w:pPr>
        <w:pStyle w:val="FootnoteText"/>
        <w:rPr>
          <w:sz w:val="16"/>
          <w:szCs w:val="16"/>
        </w:rPr>
      </w:pPr>
    </w:p>
  </w:footnote>
  <w:footnote w:id="21">
    <w:p w14:paraId="422176C9" w14:textId="77777777" w:rsidR="008D00BE" w:rsidRPr="00DF00D0" w:rsidRDefault="008D00BE" w:rsidP="008D00BE">
      <w:pPr>
        <w:pStyle w:val="FootnoteText"/>
        <w:rPr>
          <w:sz w:val="16"/>
          <w:szCs w:val="16"/>
        </w:rPr>
      </w:pPr>
    </w:p>
  </w:footnote>
  <w:footnote w:id="22">
    <w:p w14:paraId="7FF76F28" w14:textId="77777777" w:rsidR="008D00BE" w:rsidRPr="00DF00D0" w:rsidRDefault="008D00BE" w:rsidP="008D00BE">
      <w:pPr>
        <w:pStyle w:val="FootnoteText"/>
        <w:rPr>
          <w:sz w:val="16"/>
          <w:szCs w:val="16"/>
        </w:rPr>
      </w:pPr>
    </w:p>
  </w:footnote>
  <w:footnote w:id="23">
    <w:p w14:paraId="465DEA6C" w14:textId="77777777" w:rsidR="008D00BE" w:rsidRPr="00DF00D0" w:rsidRDefault="008D00BE" w:rsidP="008D00BE">
      <w:pPr>
        <w:pStyle w:val="FootnoteText"/>
        <w:rPr>
          <w:sz w:val="16"/>
          <w:szCs w:val="16"/>
        </w:rPr>
      </w:pPr>
    </w:p>
  </w:footnote>
  <w:footnote w:id="24">
    <w:p w14:paraId="4E4ADFB6" w14:textId="77777777" w:rsidR="008D00BE" w:rsidRPr="00DF00D0" w:rsidRDefault="008D00BE" w:rsidP="008D00BE">
      <w:pPr>
        <w:pStyle w:val="FootnoteText"/>
        <w:rPr>
          <w:sz w:val="16"/>
          <w:szCs w:val="16"/>
        </w:rPr>
      </w:pPr>
    </w:p>
  </w:footnote>
  <w:footnote w:id="25">
    <w:p w14:paraId="7B0BDF66" w14:textId="77777777" w:rsidR="008D00BE" w:rsidRPr="00DF00D0" w:rsidRDefault="008D00BE" w:rsidP="008D00BE">
      <w:pPr>
        <w:pStyle w:val="FootnoteText"/>
        <w:rPr>
          <w:sz w:val="16"/>
          <w:szCs w:val="16"/>
        </w:rPr>
      </w:pPr>
    </w:p>
  </w:footnote>
  <w:footnote w:id="26">
    <w:p w14:paraId="26FE6D62" w14:textId="77777777" w:rsidR="008D00BE" w:rsidRPr="00DF00D0" w:rsidRDefault="008D00BE" w:rsidP="008D00BE">
      <w:pPr>
        <w:pStyle w:val="FootnoteText"/>
        <w:rPr>
          <w:sz w:val="16"/>
          <w:szCs w:val="16"/>
        </w:rPr>
      </w:pPr>
    </w:p>
  </w:footnote>
  <w:footnote w:id="27">
    <w:p w14:paraId="15877EB6" w14:textId="77777777" w:rsidR="00BD743E" w:rsidRPr="00DF00D0" w:rsidRDefault="00BD743E" w:rsidP="00BD743E">
      <w:pPr>
        <w:pStyle w:val="FootnoteText"/>
        <w:rPr>
          <w:sz w:val="16"/>
          <w:szCs w:val="16"/>
        </w:rPr>
      </w:pPr>
    </w:p>
  </w:footnote>
  <w:footnote w:id="28">
    <w:p w14:paraId="7A8C24E6" w14:textId="77777777" w:rsidR="00BD743E" w:rsidRPr="00DF00D0" w:rsidRDefault="00BD743E" w:rsidP="00BD743E">
      <w:pPr>
        <w:pStyle w:val="FootnoteText"/>
        <w:rPr>
          <w:sz w:val="16"/>
          <w:szCs w:val="16"/>
        </w:rPr>
      </w:pPr>
    </w:p>
  </w:footnote>
  <w:footnote w:id="29">
    <w:p w14:paraId="7A7A9E82" w14:textId="77777777" w:rsidR="00BD743E" w:rsidRPr="00DF00D0" w:rsidRDefault="00BD743E" w:rsidP="00BD743E">
      <w:pPr>
        <w:pStyle w:val="FootnoteText"/>
        <w:rPr>
          <w:sz w:val="16"/>
          <w:szCs w:val="16"/>
        </w:rPr>
      </w:pPr>
    </w:p>
  </w:footnote>
  <w:footnote w:id="30">
    <w:p w14:paraId="4AEDC1E5" w14:textId="77777777" w:rsidR="00BD743E" w:rsidRPr="00DF00D0" w:rsidRDefault="00BD743E" w:rsidP="00BD743E">
      <w:pPr>
        <w:pStyle w:val="FootnoteText"/>
        <w:rPr>
          <w:sz w:val="16"/>
          <w:szCs w:val="16"/>
        </w:rPr>
      </w:pPr>
    </w:p>
  </w:footnote>
  <w:footnote w:id="31">
    <w:p w14:paraId="2F9D4AF1" w14:textId="77777777" w:rsidR="00BD743E" w:rsidRPr="00DF00D0" w:rsidRDefault="00BD743E" w:rsidP="00BD743E">
      <w:pPr>
        <w:pStyle w:val="FootnoteText"/>
        <w:rPr>
          <w:sz w:val="16"/>
          <w:szCs w:val="16"/>
        </w:rPr>
      </w:pPr>
    </w:p>
  </w:footnote>
  <w:footnote w:id="32">
    <w:p w14:paraId="7FBAA52F" w14:textId="77777777" w:rsidR="00BD743E" w:rsidRPr="00DF00D0" w:rsidRDefault="00BD743E" w:rsidP="00BD743E">
      <w:pPr>
        <w:pStyle w:val="FootnoteText"/>
        <w:rPr>
          <w:sz w:val="16"/>
          <w:szCs w:val="16"/>
        </w:rPr>
      </w:pPr>
    </w:p>
  </w:footnote>
  <w:footnote w:id="33">
    <w:p w14:paraId="668DD5C3" w14:textId="77777777" w:rsidR="00BD743E" w:rsidRPr="00DF00D0" w:rsidRDefault="00BD743E" w:rsidP="00BD743E">
      <w:pPr>
        <w:pStyle w:val="FootnoteText"/>
        <w:rPr>
          <w:sz w:val="16"/>
          <w:szCs w:val="16"/>
        </w:rPr>
      </w:pPr>
    </w:p>
  </w:footnote>
  <w:footnote w:id="34">
    <w:p w14:paraId="0F9A13D5" w14:textId="77777777" w:rsidR="00BD743E" w:rsidRPr="00DF00D0" w:rsidRDefault="00BD743E" w:rsidP="00BD743E">
      <w:pPr>
        <w:pStyle w:val="FootnoteText"/>
        <w:rPr>
          <w:sz w:val="16"/>
          <w:szCs w:val="16"/>
        </w:rPr>
      </w:pPr>
    </w:p>
  </w:footnote>
  <w:footnote w:id="35">
    <w:p w14:paraId="68CA6772" w14:textId="77777777" w:rsidR="00BD743E" w:rsidRPr="00DF00D0" w:rsidRDefault="00BD743E" w:rsidP="00BD743E">
      <w:pPr>
        <w:pStyle w:val="FootnoteText"/>
        <w:rPr>
          <w:sz w:val="16"/>
          <w:szCs w:val="16"/>
        </w:rPr>
      </w:pPr>
    </w:p>
  </w:footnote>
  <w:footnote w:id="36">
    <w:p w14:paraId="57DDEFEB" w14:textId="77777777" w:rsidR="00BD743E" w:rsidRPr="00DF00D0" w:rsidRDefault="00BD743E" w:rsidP="00BD743E">
      <w:pPr>
        <w:pStyle w:val="FootnoteText"/>
        <w:rPr>
          <w:sz w:val="16"/>
          <w:szCs w:val="16"/>
        </w:rPr>
      </w:pPr>
      <w:r>
        <w:rPr>
          <w:rStyle w:val="FootnoteReference"/>
        </w:rPr>
        <w:t>1</w:t>
      </w:r>
      <w:r w:rsidRPr="00DF00D0">
        <w:rPr>
          <w:sz w:val="16"/>
          <w:szCs w:val="16"/>
        </w:rPr>
        <w:t xml:space="preserve"> Data suppressed due to privacy protection</w:t>
      </w:r>
    </w:p>
  </w:footnote>
  <w:footnote w:id="37">
    <w:p w14:paraId="31D1C422" w14:textId="77777777" w:rsidR="00BD743E" w:rsidRPr="00DF00D0" w:rsidRDefault="00BD743E" w:rsidP="00BD743E">
      <w:pPr>
        <w:pStyle w:val="FootnoteText"/>
        <w:rPr>
          <w:sz w:val="16"/>
          <w:szCs w:val="16"/>
        </w:rPr>
      </w:pPr>
    </w:p>
  </w:footnote>
  <w:footnote w:id="38">
    <w:p w14:paraId="7DF217D4" w14:textId="77777777" w:rsidR="00BD743E" w:rsidRPr="00DF00D0" w:rsidRDefault="00BD743E" w:rsidP="00BD743E">
      <w:pPr>
        <w:pStyle w:val="FootnoteText"/>
        <w:rPr>
          <w:sz w:val="16"/>
          <w:szCs w:val="16"/>
        </w:rPr>
      </w:pPr>
    </w:p>
  </w:footnote>
  <w:footnote w:id="39">
    <w:p w14:paraId="4D43E98F" w14:textId="77777777" w:rsidR="00BD743E" w:rsidRPr="00DF00D0" w:rsidRDefault="00BD743E" w:rsidP="00BD743E">
      <w:pPr>
        <w:pStyle w:val="FootnoteText"/>
        <w:rPr>
          <w:sz w:val="16"/>
          <w:szCs w:val="16"/>
        </w:rPr>
      </w:pPr>
    </w:p>
  </w:footnote>
  <w:footnote w:id="40">
    <w:p w14:paraId="633663D1" w14:textId="77777777" w:rsidR="00BD743E" w:rsidRPr="00DF00D0" w:rsidRDefault="00BD743E" w:rsidP="00BD743E">
      <w:pPr>
        <w:pStyle w:val="FootnoteText"/>
        <w:rPr>
          <w:sz w:val="16"/>
          <w:szCs w:val="16"/>
        </w:rPr>
      </w:pPr>
    </w:p>
  </w:footnote>
  <w:footnote w:id="41">
    <w:p w14:paraId="16946DC8" w14:textId="77777777" w:rsidR="00BD743E" w:rsidRPr="00DF00D0" w:rsidRDefault="00BD743E" w:rsidP="00BD743E">
      <w:pPr>
        <w:pStyle w:val="FootnoteText"/>
        <w:rPr>
          <w:sz w:val="16"/>
          <w:szCs w:val="16"/>
        </w:rPr>
      </w:pPr>
    </w:p>
  </w:footnote>
  <w:footnote w:id="42">
    <w:p w14:paraId="5E33650F" w14:textId="77777777" w:rsidR="00BD743E" w:rsidRPr="00DF00D0" w:rsidRDefault="00BD743E" w:rsidP="00BD743E">
      <w:pPr>
        <w:pStyle w:val="FootnoteText"/>
        <w:rPr>
          <w:sz w:val="16"/>
          <w:szCs w:val="16"/>
        </w:rPr>
      </w:pPr>
    </w:p>
  </w:footnote>
  <w:footnote w:id="43">
    <w:p w14:paraId="31AAF325" w14:textId="77777777" w:rsidR="00BD743E" w:rsidRPr="00DF00D0" w:rsidRDefault="00BD743E" w:rsidP="00BD743E">
      <w:pPr>
        <w:pStyle w:val="FootnoteText"/>
        <w:rPr>
          <w:sz w:val="16"/>
          <w:szCs w:val="16"/>
        </w:rPr>
      </w:pPr>
    </w:p>
  </w:footnote>
  <w:footnote w:id="44">
    <w:p w14:paraId="6B9AE2DC" w14:textId="77777777" w:rsidR="00BD743E" w:rsidRPr="00DF00D0" w:rsidRDefault="00BD743E" w:rsidP="00BD743E">
      <w:pPr>
        <w:pStyle w:val="FootnoteText"/>
        <w:rPr>
          <w:sz w:val="16"/>
          <w:szCs w:val="16"/>
        </w:rPr>
      </w:pPr>
    </w:p>
  </w:footnote>
  <w:footnote w:id="45">
    <w:p w14:paraId="0549C191" w14:textId="77777777" w:rsidR="00BD743E" w:rsidRPr="00DF00D0" w:rsidRDefault="00BD743E" w:rsidP="00BD743E">
      <w:pPr>
        <w:pStyle w:val="FootnoteText"/>
        <w:rPr>
          <w:sz w:val="16"/>
          <w:szCs w:val="16"/>
        </w:rPr>
      </w:pPr>
      <w:r>
        <w:rPr>
          <w:rStyle w:val="FootnoteReference"/>
        </w:rPr>
        <w:t>1</w:t>
      </w:r>
      <w:r w:rsidRPr="00DF00D0">
        <w:rPr>
          <w:sz w:val="16"/>
          <w:szCs w:val="16"/>
        </w:rPr>
        <w:t xml:space="preserve"> Data suppressed due to privacy protection</w:t>
      </w:r>
    </w:p>
  </w:footnote>
  <w:footnote w:id="46">
    <w:p w14:paraId="09ED40F9" w14:textId="77777777" w:rsidR="00BD743E" w:rsidRPr="00DF00D0" w:rsidRDefault="00BD743E" w:rsidP="00BD743E">
      <w:pPr>
        <w:pStyle w:val="FootnoteText"/>
        <w:rPr>
          <w:sz w:val="16"/>
          <w:szCs w:val="16"/>
        </w:rPr>
      </w:pPr>
    </w:p>
  </w:footnote>
  <w:footnote w:id="47">
    <w:p w14:paraId="4A19FB35" w14:textId="77777777" w:rsidR="00BD743E" w:rsidRPr="00DF00D0" w:rsidRDefault="00BD743E" w:rsidP="00BD743E">
      <w:pPr>
        <w:pStyle w:val="FootnoteText"/>
        <w:rPr>
          <w:sz w:val="16"/>
          <w:szCs w:val="16"/>
        </w:rPr>
      </w:pPr>
    </w:p>
  </w:footnote>
  <w:footnote w:id="48">
    <w:p w14:paraId="2D532093" w14:textId="77777777" w:rsidR="00BD743E" w:rsidRPr="00DF00D0" w:rsidRDefault="00BD743E" w:rsidP="00BD743E">
      <w:pPr>
        <w:pStyle w:val="FootnoteText"/>
        <w:rPr>
          <w:sz w:val="16"/>
          <w:szCs w:val="16"/>
        </w:rPr>
      </w:pPr>
    </w:p>
  </w:footnote>
  <w:footnote w:id="49">
    <w:p w14:paraId="2E2FF1CE" w14:textId="77777777" w:rsidR="00BD743E" w:rsidRPr="00DF00D0" w:rsidRDefault="00BD743E" w:rsidP="00BD743E">
      <w:pPr>
        <w:pStyle w:val="FootnoteText"/>
        <w:rPr>
          <w:sz w:val="16"/>
          <w:szCs w:val="16"/>
        </w:rPr>
      </w:pPr>
    </w:p>
  </w:footnote>
  <w:footnote w:id="50">
    <w:p w14:paraId="626C01C9" w14:textId="77777777" w:rsidR="00BD743E" w:rsidRPr="00DF00D0" w:rsidRDefault="00BD743E" w:rsidP="00BD743E">
      <w:pPr>
        <w:pStyle w:val="FootnoteText"/>
        <w:rPr>
          <w:sz w:val="16"/>
          <w:szCs w:val="16"/>
        </w:rPr>
      </w:pPr>
    </w:p>
  </w:footnote>
  <w:footnote w:id="51">
    <w:p w14:paraId="4931AAF5" w14:textId="77777777" w:rsidR="00BD743E" w:rsidRPr="00DF00D0" w:rsidRDefault="00BD743E" w:rsidP="00BD743E">
      <w:pPr>
        <w:pStyle w:val="FootnoteText"/>
        <w:rPr>
          <w:sz w:val="16"/>
          <w:szCs w:val="16"/>
        </w:rPr>
      </w:pPr>
    </w:p>
  </w:footnote>
  <w:footnote w:id="52">
    <w:p w14:paraId="576905EE" w14:textId="77777777" w:rsidR="00BD743E" w:rsidRPr="00DF00D0" w:rsidRDefault="00BD743E" w:rsidP="00BD743E">
      <w:pPr>
        <w:pStyle w:val="FootnoteText"/>
        <w:rPr>
          <w:sz w:val="16"/>
          <w:szCs w:val="16"/>
        </w:rPr>
      </w:pPr>
    </w:p>
  </w:footnote>
  <w:footnote w:id="53">
    <w:p w14:paraId="5DA97D8E" w14:textId="77777777" w:rsidR="00BD743E" w:rsidRPr="00DF00D0" w:rsidRDefault="00BD743E" w:rsidP="00BD743E">
      <w:pPr>
        <w:pStyle w:val="FootnoteText"/>
        <w:rPr>
          <w:sz w:val="16"/>
          <w:szCs w:val="16"/>
        </w:rPr>
      </w:pPr>
    </w:p>
  </w:footnote>
  <w:footnote w:id="54">
    <w:p w14:paraId="3C6B6780" w14:textId="77777777" w:rsidR="00BD743E" w:rsidRPr="00DF00D0" w:rsidRDefault="00BD743E" w:rsidP="00BD743E">
      <w:pPr>
        <w:pStyle w:val="FootnoteText"/>
        <w:rPr>
          <w:sz w:val="16"/>
          <w:szCs w:val="16"/>
        </w:rPr>
      </w:pPr>
    </w:p>
  </w:footnote>
  <w:footnote w:id="55">
    <w:p w14:paraId="46EC7C87" w14:textId="77777777" w:rsidR="00BD743E" w:rsidRPr="00DF00D0" w:rsidRDefault="00BD743E" w:rsidP="00BD743E">
      <w:pPr>
        <w:pStyle w:val="FootnoteText"/>
        <w:rPr>
          <w:sz w:val="16"/>
          <w:szCs w:val="16"/>
        </w:rPr>
      </w:pPr>
    </w:p>
  </w:footnote>
  <w:footnote w:id="56">
    <w:p w14:paraId="1AC034F0" w14:textId="77777777" w:rsidR="00BD743E" w:rsidRPr="00DF00D0" w:rsidRDefault="00BD743E" w:rsidP="00BD743E">
      <w:pPr>
        <w:pStyle w:val="FootnoteText"/>
        <w:rPr>
          <w:sz w:val="16"/>
          <w:szCs w:val="16"/>
        </w:rPr>
      </w:pPr>
    </w:p>
  </w:footnote>
  <w:footnote w:id="57">
    <w:p w14:paraId="76FB630D" w14:textId="77777777" w:rsidR="00EA1A76" w:rsidRPr="00DF00D0" w:rsidRDefault="00EA1A76" w:rsidP="00EA1A76">
      <w:pPr>
        <w:pStyle w:val="FootnoteText"/>
        <w:rPr>
          <w:sz w:val="16"/>
          <w:szCs w:val="16"/>
        </w:rPr>
      </w:pPr>
      <w:r>
        <w:rPr>
          <w:rStyle w:val="FootnoteReference"/>
        </w:rPr>
        <w:t>1</w:t>
      </w:r>
      <w:r w:rsidRPr="00DF00D0">
        <w:rPr>
          <w:sz w:val="16"/>
          <w:szCs w:val="16"/>
        </w:rPr>
        <w:t xml:space="preserve"> Data suppressed due to privacy protection</w:t>
      </w:r>
    </w:p>
  </w:footnote>
  <w:footnote w:id="58">
    <w:p w14:paraId="1ED956BA" w14:textId="77777777" w:rsidR="00EA1A76" w:rsidRPr="00DF00D0" w:rsidRDefault="00EA1A76" w:rsidP="00EA1A76">
      <w:pPr>
        <w:pStyle w:val="FootnoteText"/>
        <w:rPr>
          <w:sz w:val="16"/>
          <w:szCs w:val="16"/>
        </w:rPr>
      </w:pPr>
    </w:p>
  </w:footnote>
  <w:footnote w:id="59">
    <w:p w14:paraId="0F752C7A" w14:textId="77777777" w:rsidR="00EA1A76" w:rsidRPr="00DF00D0" w:rsidRDefault="00EA1A76" w:rsidP="00EA1A76">
      <w:pPr>
        <w:pStyle w:val="FootnoteText"/>
        <w:rPr>
          <w:sz w:val="16"/>
          <w:szCs w:val="16"/>
        </w:rPr>
      </w:pPr>
    </w:p>
  </w:footnote>
  <w:footnote w:id="60">
    <w:p w14:paraId="51A60A6A" w14:textId="77777777" w:rsidR="00EA1A76" w:rsidRPr="00DF00D0" w:rsidRDefault="00EA1A76" w:rsidP="00EA1A76">
      <w:pPr>
        <w:pStyle w:val="FootnoteText"/>
        <w:rPr>
          <w:sz w:val="16"/>
          <w:szCs w:val="16"/>
        </w:rPr>
      </w:pPr>
    </w:p>
  </w:footnote>
  <w:footnote w:id="61">
    <w:p w14:paraId="1D6BF895" w14:textId="77777777" w:rsidR="00EA1A76" w:rsidRPr="00DF00D0" w:rsidRDefault="00EA1A76" w:rsidP="00EA1A76">
      <w:pPr>
        <w:pStyle w:val="FootnoteText"/>
        <w:rPr>
          <w:sz w:val="16"/>
          <w:szCs w:val="16"/>
        </w:rPr>
      </w:pPr>
    </w:p>
  </w:footnote>
  <w:footnote w:id="62">
    <w:p w14:paraId="69ED8596" w14:textId="77777777" w:rsidR="00EA1A76" w:rsidRPr="00DF00D0" w:rsidRDefault="00EA1A76" w:rsidP="00EA1A76">
      <w:pPr>
        <w:pStyle w:val="FootnoteText"/>
        <w:rPr>
          <w:sz w:val="16"/>
          <w:szCs w:val="16"/>
        </w:rPr>
      </w:pPr>
    </w:p>
  </w:footnote>
  <w:footnote w:id="63">
    <w:p w14:paraId="44406C10" w14:textId="77777777" w:rsidR="00BD743E" w:rsidRPr="00DF00D0" w:rsidRDefault="00BD743E" w:rsidP="00BD743E">
      <w:pPr>
        <w:pStyle w:val="FootnoteText"/>
        <w:rPr>
          <w:sz w:val="16"/>
          <w:szCs w:val="16"/>
        </w:rPr>
      </w:pPr>
    </w:p>
  </w:footnote>
  <w:footnote w:id="64">
    <w:p w14:paraId="2F276029" w14:textId="77777777" w:rsidR="00BD743E" w:rsidRPr="00DF00D0" w:rsidRDefault="00BD743E" w:rsidP="00BD743E">
      <w:pPr>
        <w:pStyle w:val="FootnoteText"/>
        <w:rPr>
          <w:sz w:val="16"/>
          <w:szCs w:val="16"/>
        </w:rPr>
      </w:pPr>
    </w:p>
  </w:footnote>
  <w:footnote w:id="65">
    <w:p w14:paraId="5161E92A" w14:textId="77777777" w:rsidR="00BD743E" w:rsidRPr="00DF00D0" w:rsidRDefault="00BD743E" w:rsidP="00BD743E">
      <w:pPr>
        <w:pStyle w:val="FootnoteText"/>
        <w:rPr>
          <w:sz w:val="16"/>
          <w:szCs w:val="16"/>
        </w:rPr>
      </w:pPr>
    </w:p>
  </w:footnote>
  <w:footnote w:id="66">
    <w:p w14:paraId="394FD808" w14:textId="77777777" w:rsidR="00BD743E" w:rsidRPr="00DF00D0" w:rsidRDefault="00BD743E" w:rsidP="00BD743E">
      <w:pPr>
        <w:pStyle w:val="FootnoteText"/>
        <w:rPr>
          <w:sz w:val="16"/>
          <w:szCs w:val="16"/>
        </w:rPr>
      </w:pPr>
    </w:p>
  </w:footnote>
  <w:footnote w:id="67">
    <w:p w14:paraId="0FA83266" w14:textId="77777777" w:rsidR="00BD743E" w:rsidRPr="00DF00D0" w:rsidRDefault="00BD743E" w:rsidP="00BD743E">
      <w:pPr>
        <w:pStyle w:val="FootnoteText"/>
        <w:rPr>
          <w:sz w:val="16"/>
          <w:szCs w:val="16"/>
        </w:rPr>
      </w:pPr>
    </w:p>
  </w:footnote>
  <w:footnote w:id="68">
    <w:p w14:paraId="61A3BD7F" w14:textId="77777777" w:rsidR="00BD743E" w:rsidRPr="00DF00D0" w:rsidRDefault="00BD743E" w:rsidP="00BD743E">
      <w:pPr>
        <w:pStyle w:val="FootnoteText"/>
        <w:rPr>
          <w:sz w:val="16"/>
          <w:szCs w:val="16"/>
        </w:rPr>
      </w:pPr>
    </w:p>
  </w:footnote>
  <w:footnote w:id="69">
    <w:p w14:paraId="5370F160" w14:textId="77777777" w:rsidR="00BD743E" w:rsidRPr="00DF00D0" w:rsidRDefault="00BD743E" w:rsidP="00BD743E">
      <w:pPr>
        <w:pStyle w:val="FootnoteText"/>
        <w:rPr>
          <w:sz w:val="16"/>
          <w:szCs w:val="16"/>
        </w:rPr>
      </w:pPr>
    </w:p>
  </w:footnote>
  <w:footnote w:id="70">
    <w:p w14:paraId="32F8483A" w14:textId="77777777" w:rsidR="00BD743E" w:rsidRPr="00DF00D0" w:rsidRDefault="00BD743E" w:rsidP="00BD743E">
      <w:pPr>
        <w:pStyle w:val="FootnoteText"/>
        <w:rPr>
          <w:sz w:val="16"/>
          <w:szCs w:val="16"/>
        </w:rPr>
      </w:pPr>
    </w:p>
  </w:footnote>
  <w:footnote w:id="71">
    <w:p w14:paraId="670FF61F" w14:textId="77777777" w:rsidR="00BD743E" w:rsidRPr="00DF00D0" w:rsidRDefault="00BD743E" w:rsidP="00BD743E">
      <w:pPr>
        <w:pStyle w:val="FootnoteText"/>
        <w:rPr>
          <w:sz w:val="16"/>
          <w:szCs w:val="16"/>
        </w:rPr>
      </w:pPr>
    </w:p>
  </w:footnote>
  <w:footnote w:id="72">
    <w:p w14:paraId="3CCFDDF5" w14:textId="77777777" w:rsidR="00BD743E" w:rsidRPr="00DF00D0" w:rsidRDefault="00BD743E" w:rsidP="00BD743E">
      <w:pPr>
        <w:pStyle w:val="FootnoteText"/>
        <w:rPr>
          <w:sz w:val="16"/>
          <w:szCs w:val="16"/>
        </w:rPr>
      </w:pPr>
    </w:p>
  </w:footnote>
  <w:footnote w:id="73">
    <w:p w14:paraId="224FA9BC" w14:textId="77777777" w:rsidR="00BD743E" w:rsidRPr="00DF00D0" w:rsidRDefault="00BD743E" w:rsidP="00BD743E">
      <w:pPr>
        <w:pStyle w:val="FootnoteText"/>
        <w:rPr>
          <w:sz w:val="16"/>
          <w:szCs w:val="16"/>
        </w:rPr>
      </w:pPr>
    </w:p>
  </w:footnote>
  <w:footnote w:id="74">
    <w:p w14:paraId="145329A7" w14:textId="77777777" w:rsidR="00BD743E" w:rsidRPr="00DF00D0" w:rsidRDefault="00BD743E" w:rsidP="00BD743E">
      <w:pPr>
        <w:pStyle w:val="FootnoteText"/>
        <w:rPr>
          <w:sz w:val="16"/>
          <w:szCs w:val="16"/>
        </w:rPr>
      </w:pPr>
    </w:p>
  </w:footnote>
  <w:footnote w:id="75">
    <w:p w14:paraId="331F0118" w14:textId="77777777" w:rsidR="00BD743E" w:rsidRPr="00DF00D0" w:rsidRDefault="00BD743E" w:rsidP="00BD743E">
      <w:pPr>
        <w:pStyle w:val="FootnoteText"/>
        <w:rPr>
          <w:sz w:val="16"/>
          <w:szCs w:val="16"/>
        </w:rPr>
      </w:pPr>
      <w:r>
        <w:rPr>
          <w:rStyle w:val="FootnoteReference"/>
        </w:rPr>
        <w:t>1</w:t>
      </w:r>
      <w:r w:rsidRPr="00DF00D0">
        <w:rPr>
          <w:sz w:val="16"/>
          <w:szCs w:val="16"/>
        </w:rPr>
        <w:t xml:space="preserve"> Data suppressed due to privacy protection</w:t>
      </w:r>
    </w:p>
  </w:footnote>
  <w:footnote w:id="76">
    <w:p w14:paraId="7C6270F4" w14:textId="77777777" w:rsidR="00BD743E" w:rsidRPr="00DF00D0" w:rsidRDefault="00BD743E" w:rsidP="00BD743E">
      <w:pPr>
        <w:pStyle w:val="FootnoteText"/>
        <w:rPr>
          <w:sz w:val="16"/>
          <w:szCs w:val="16"/>
        </w:rPr>
      </w:pPr>
    </w:p>
  </w:footnote>
  <w:footnote w:id="77">
    <w:p w14:paraId="632395D3" w14:textId="77777777" w:rsidR="00BD743E" w:rsidRPr="00DF00D0" w:rsidRDefault="00BD743E" w:rsidP="00BD743E">
      <w:pPr>
        <w:pStyle w:val="FootnoteText"/>
        <w:rPr>
          <w:sz w:val="16"/>
          <w:szCs w:val="16"/>
        </w:rPr>
      </w:pPr>
    </w:p>
  </w:footnote>
  <w:footnote w:id="78">
    <w:p w14:paraId="33F14AA4" w14:textId="77777777" w:rsidR="00BD743E" w:rsidRPr="00DF00D0" w:rsidRDefault="00BD743E" w:rsidP="00BD743E">
      <w:pPr>
        <w:pStyle w:val="FootnoteText"/>
        <w:rPr>
          <w:sz w:val="16"/>
          <w:szCs w:val="16"/>
        </w:rPr>
      </w:pPr>
    </w:p>
  </w:footnote>
  <w:footnote w:id="79">
    <w:p w14:paraId="6FDBEA53" w14:textId="77777777" w:rsidR="00BD743E" w:rsidRPr="00DF00D0" w:rsidRDefault="00BD743E" w:rsidP="00BD743E">
      <w:pPr>
        <w:pStyle w:val="FootnoteText"/>
        <w:rPr>
          <w:sz w:val="16"/>
          <w:szCs w:val="16"/>
        </w:rPr>
      </w:pPr>
    </w:p>
  </w:footnote>
  <w:footnote w:id="80">
    <w:p w14:paraId="1EA582FC" w14:textId="77777777" w:rsidR="00BD743E" w:rsidRPr="00DF00D0" w:rsidRDefault="00BD743E" w:rsidP="00BD743E">
      <w:pPr>
        <w:pStyle w:val="FootnoteText"/>
        <w:rPr>
          <w:sz w:val="16"/>
          <w:szCs w:val="16"/>
        </w:rPr>
      </w:pPr>
    </w:p>
  </w:footnote>
  <w:footnote w:id="81">
    <w:p w14:paraId="00B98057" w14:textId="77777777" w:rsidR="0047275B" w:rsidRPr="00DF00D0" w:rsidRDefault="0047275B" w:rsidP="0047275B">
      <w:pPr>
        <w:pStyle w:val="FootnoteText"/>
        <w:rPr>
          <w:sz w:val="16"/>
          <w:szCs w:val="16"/>
        </w:rPr>
      </w:pPr>
      <w:r>
        <w:rPr>
          <w:rStyle w:val="FootnoteReference"/>
        </w:rPr>
        <w:t>1</w:t>
      </w:r>
      <w:r w:rsidRPr="00DF00D0">
        <w:rPr>
          <w:sz w:val="16"/>
          <w:szCs w:val="16"/>
        </w:rPr>
        <w:t xml:space="preserve"> Data suppressed due to privacy protection</w:t>
      </w:r>
    </w:p>
  </w:footnote>
  <w:footnote w:id="82">
    <w:p w14:paraId="445B4CB7" w14:textId="77777777" w:rsidR="0047275B" w:rsidRPr="00DF00D0" w:rsidRDefault="0047275B" w:rsidP="0047275B">
      <w:pPr>
        <w:pStyle w:val="FootnoteText"/>
        <w:rPr>
          <w:sz w:val="16"/>
          <w:szCs w:val="16"/>
        </w:rPr>
      </w:pPr>
    </w:p>
  </w:footnote>
  <w:footnote w:id="83">
    <w:p w14:paraId="451EFC74" w14:textId="77777777" w:rsidR="0047275B" w:rsidRPr="00DF00D0" w:rsidRDefault="0047275B" w:rsidP="0047275B">
      <w:pPr>
        <w:pStyle w:val="FootnoteText"/>
        <w:rPr>
          <w:sz w:val="16"/>
          <w:szCs w:val="16"/>
        </w:rPr>
      </w:pPr>
    </w:p>
  </w:footnote>
  <w:footnote w:id="84">
    <w:p w14:paraId="6067A813" w14:textId="77777777" w:rsidR="0047275B" w:rsidRPr="00DF00D0" w:rsidRDefault="0047275B" w:rsidP="0047275B">
      <w:pPr>
        <w:pStyle w:val="FootnoteText"/>
        <w:rPr>
          <w:sz w:val="16"/>
          <w:szCs w:val="16"/>
        </w:rPr>
      </w:pPr>
    </w:p>
  </w:footnote>
  <w:footnote w:id="85">
    <w:p w14:paraId="61893DA3" w14:textId="77777777" w:rsidR="0047275B" w:rsidRPr="00DF00D0" w:rsidRDefault="0047275B" w:rsidP="0047275B">
      <w:pPr>
        <w:pStyle w:val="FootnoteText"/>
        <w:rPr>
          <w:sz w:val="16"/>
          <w:szCs w:val="16"/>
        </w:rPr>
      </w:pPr>
    </w:p>
  </w:footnote>
  <w:footnote w:id="86">
    <w:p w14:paraId="11CEF2BA" w14:textId="77777777" w:rsidR="0047275B" w:rsidRPr="00DF00D0" w:rsidRDefault="0047275B" w:rsidP="0047275B">
      <w:pPr>
        <w:pStyle w:val="FootnoteText"/>
        <w:rPr>
          <w:sz w:val="16"/>
          <w:szCs w:val="16"/>
        </w:rPr>
      </w:pPr>
    </w:p>
  </w:footnote>
  <w:footnote w:id="87">
    <w:p w14:paraId="1ECFF45D" w14:textId="77777777" w:rsidR="0047275B" w:rsidRPr="00DF00D0" w:rsidRDefault="0047275B" w:rsidP="0047275B">
      <w:pPr>
        <w:pStyle w:val="FootnoteText"/>
        <w:rPr>
          <w:sz w:val="16"/>
          <w:szCs w:val="16"/>
        </w:rPr>
      </w:pPr>
    </w:p>
  </w:footnote>
  <w:footnote w:id="88">
    <w:p w14:paraId="2FD8ABC2" w14:textId="77777777" w:rsidR="0047275B" w:rsidRPr="00DF00D0" w:rsidRDefault="0047275B" w:rsidP="0047275B">
      <w:pPr>
        <w:pStyle w:val="FootnoteText"/>
        <w:rPr>
          <w:sz w:val="16"/>
          <w:szCs w:val="16"/>
        </w:rPr>
      </w:pPr>
    </w:p>
  </w:footnote>
  <w:footnote w:id="89">
    <w:p w14:paraId="4DD34CC1" w14:textId="77777777" w:rsidR="0047275B" w:rsidRPr="00DF00D0" w:rsidRDefault="0047275B" w:rsidP="0047275B">
      <w:pPr>
        <w:pStyle w:val="FootnoteText"/>
        <w:rPr>
          <w:sz w:val="16"/>
          <w:szCs w:val="16"/>
        </w:rPr>
      </w:pPr>
    </w:p>
  </w:footnote>
  <w:footnote w:id="90">
    <w:p w14:paraId="2872CDD0" w14:textId="77777777" w:rsidR="0047275B" w:rsidRPr="00DF00D0" w:rsidRDefault="0047275B" w:rsidP="0047275B">
      <w:pPr>
        <w:pStyle w:val="FootnoteText"/>
        <w:rPr>
          <w:sz w:val="16"/>
          <w:szCs w:val="16"/>
        </w:rPr>
      </w:pPr>
    </w:p>
  </w:footnote>
  <w:footnote w:id="91">
    <w:p w14:paraId="319FBF7E" w14:textId="77777777" w:rsidR="0047275B" w:rsidRPr="00DF00D0" w:rsidRDefault="0047275B" w:rsidP="0047275B">
      <w:pPr>
        <w:pStyle w:val="FootnoteText"/>
        <w:rPr>
          <w:sz w:val="16"/>
          <w:szCs w:val="16"/>
        </w:rPr>
      </w:pPr>
    </w:p>
  </w:footnote>
  <w:footnote w:id="92">
    <w:p w14:paraId="352E1FBD" w14:textId="77777777" w:rsidR="0047275B" w:rsidRPr="00DF00D0" w:rsidRDefault="0047275B" w:rsidP="0047275B">
      <w:pPr>
        <w:pStyle w:val="FootnoteText"/>
        <w:rPr>
          <w:sz w:val="16"/>
          <w:szCs w:val="16"/>
        </w:rPr>
      </w:pPr>
    </w:p>
  </w:footnote>
  <w:footnote w:id="93">
    <w:p w14:paraId="5747E271" w14:textId="77777777" w:rsidR="0047275B" w:rsidRPr="00DF00D0" w:rsidRDefault="0047275B" w:rsidP="0047275B">
      <w:pPr>
        <w:pStyle w:val="FootnoteText"/>
        <w:rPr>
          <w:sz w:val="16"/>
          <w:szCs w:val="16"/>
        </w:rPr>
      </w:pPr>
    </w:p>
  </w:footnote>
  <w:footnote w:id="94">
    <w:p w14:paraId="38083103" w14:textId="77777777" w:rsidR="0047275B" w:rsidRPr="00DF00D0" w:rsidRDefault="0047275B" w:rsidP="0047275B">
      <w:pPr>
        <w:pStyle w:val="FootnoteText"/>
        <w:rPr>
          <w:sz w:val="16"/>
          <w:szCs w:val="16"/>
        </w:rPr>
      </w:pPr>
    </w:p>
  </w:footnote>
  <w:footnote w:id="95">
    <w:p w14:paraId="4428D0C2" w14:textId="77777777" w:rsidR="0047275B" w:rsidRPr="00DF00D0" w:rsidRDefault="0047275B" w:rsidP="0047275B">
      <w:pPr>
        <w:pStyle w:val="FootnoteText"/>
        <w:rPr>
          <w:sz w:val="16"/>
          <w:szCs w:val="16"/>
        </w:rPr>
      </w:pPr>
    </w:p>
  </w:footnote>
  <w:footnote w:id="96">
    <w:p w14:paraId="23274AE2" w14:textId="77777777" w:rsidR="0047275B" w:rsidRPr="00DF00D0" w:rsidRDefault="0047275B" w:rsidP="0047275B">
      <w:pPr>
        <w:pStyle w:val="FootnoteText"/>
        <w:rPr>
          <w:sz w:val="16"/>
          <w:szCs w:val="16"/>
        </w:rPr>
      </w:pPr>
    </w:p>
  </w:footnote>
  <w:footnote w:id="97">
    <w:p w14:paraId="5E757C0B" w14:textId="77777777" w:rsidR="0047275B" w:rsidRPr="00DF00D0" w:rsidRDefault="0047275B" w:rsidP="0047275B">
      <w:pPr>
        <w:pStyle w:val="FootnoteText"/>
        <w:rPr>
          <w:sz w:val="16"/>
          <w:szCs w:val="16"/>
        </w:rPr>
      </w:pPr>
    </w:p>
  </w:footnote>
  <w:footnote w:id="98">
    <w:p w14:paraId="2D7F54EA" w14:textId="77777777" w:rsidR="0047275B" w:rsidRPr="00DF00D0" w:rsidRDefault="0047275B" w:rsidP="0047275B">
      <w:pPr>
        <w:pStyle w:val="FootnoteText"/>
        <w:rPr>
          <w:sz w:val="16"/>
          <w:szCs w:val="16"/>
        </w:rPr>
      </w:pPr>
    </w:p>
  </w:footnote>
  <w:footnote w:id="99">
    <w:p w14:paraId="37D300D5" w14:textId="77777777" w:rsidR="0047275B" w:rsidRPr="00DF00D0" w:rsidRDefault="0047275B" w:rsidP="0047275B">
      <w:pPr>
        <w:pStyle w:val="FootnoteText"/>
        <w:rPr>
          <w:sz w:val="16"/>
          <w:szCs w:val="16"/>
        </w:rPr>
      </w:pPr>
    </w:p>
  </w:footnote>
  <w:footnote w:id="100">
    <w:p w14:paraId="087DB541" w14:textId="77777777" w:rsidR="0047275B" w:rsidRPr="00DF00D0" w:rsidRDefault="0047275B" w:rsidP="0047275B">
      <w:pPr>
        <w:pStyle w:val="FootnoteText"/>
        <w:rPr>
          <w:sz w:val="16"/>
          <w:szCs w:val="16"/>
        </w:rPr>
      </w:pPr>
    </w:p>
  </w:footnote>
  <w:footnote w:id="101">
    <w:p w14:paraId="0D071836" w14:textId="77777777" w:rsidR="0047275B" w:rsidRPr="00DF00D0" w:rsidRDefault="0047275B" w:rsidP="0047275B">
      <w:pPr>
        <w:pStyle w:val="FootnoteText"/>
        <w:rPr>
          <w:sz w:val="16"/>
          <w:szCs w:val="16"/>
        </w:rPr>
      </w:pPr>
    </w:p>
  </w:footnote>
  <w:footnote w:id="102">
    <w:p w14:paraId="4878EC75" w14:textId="77777777" w:rsidR="0047275B" w:rsidRPr="00DF00D0" w:rsidRDefault="0047275B" w:rsidP="0047275B">
      <w:pPr>
        <w:pStyle w:val="FootnoteText"/>
        <w:rPr>
          <w:sz w:val="16"/>
          <w:szCs w:val="16"/>
        </w:rPr>
      </w:pPr>
    </w:p>
  </w:footnote>
  <w:footnote w:id="103">
    <w:p w14:paraId="7BFF0B9B" w14:textId="77777777" w:rsidR="0047275B" w:rsidRPr="00DF00D0" w:rsidRDefault="0047275B" w:rsidP="0047275B">
      <w:pPr>
        <w:pStyle w:val="FootnoteText"/>
        <w:rPr>
          <w:sz w:val="16"/>
          <w:szCs w:val="16"/>
        </w:rPr>
      </w:pPr>
    </w:p>
  </w:footnote>
  <w:footnote w:id="104">
    <w:p w14:paraId="4EB16F38" w14:textId="77777777" w:rsidR="0047275B" w:rsidRPr="00DF00D0" w:rsidRDefault="0047275B" w:rsidP="0047275B">
      <w:pPr>
        <w:pStyle w:val="FootnoteText"/>
        <w:rPr>
          <w:sz w:val="16"/>
          <w:szCs w:val="16"/>
        </w:rPr>
      </w:pPr>
    </w:p>
  </w:footnote>
  <w:footnote w:id="105">
    <w:p w14:paraId="273C9E49" w14:textId="77777777" w:rsidR="004E0552" w:rsidRPr="00DF00D0" w:rsidRDefault="004E0552" w:rsidP="0047275B">
      <w:pPr>
        <w:pStyle w:val="FootnoteText"/>
        <w:rPr>
          <w:sz w:val="16"/>
          <w:szCs w:val="16"/>
        </w:rPr>
      </w:pPr>
    </w:p>
  </w:footnote>
  <w:footnote w:id="106">
    <w:p w14:paraId="4F389B62" w14:textId="77777777" w:rsidR="004E0552" w:rsidRPr="00DF00D0" w:rsidRDefault="004E0552" w:rsidP="0047275B">
      <w:pPr>
        <w:pStyle w:val="FootnoteText"/>
        <w:rPr>
          <w:sz w:val="16"/>
          <w:szCs w:val="16"/>
        </w:rPr>
      </w:pPr>
    </w:p>
  </w:footnote>
  <w:footnote w:id="107">
    <w:p w14:paraId="0BC505C5" w14:textId="77777777" w:rsidR="004E0552" w:rsidRPr="00DF00D0" w:rsidRDefault="004E0552" w:rsidP="0047275B">
      <w:pPr>
        <w:pStyle w:val="FootnoteText"/>
        <w:rPr>
          <w:sz w:val="16"/>
          <w:szCs w:val="16"/>
        </w:rPr>
      </w:pPr>
    </w:p>
  </w:footnote>
  <w:footnote w:id="108">
    <w:p w14:paraId="75F802F7" w14:textId="77777777" w:rsidR="004E0552" w:rsidRPr="00DF00D0" w:rsidRDefault="004E0552" w:rsidP="0047275B">
      <w:pPr>
        <w:pStyle w:val="FootnoteText"/>
        <w:rPr>
          <w:sz w:val="16"/>
          <w:szCs w:val="16"/>
        </w:rPr>
      </w:pPr>
    </w:p>
  </w:footnote>
  <w:footnote w:id="109">
    <w:p w14:paraId="151C3C4A" w14:textId="77777777" w:rsidR="004E0552" w:rsidRPr="00DF00D0" w:rsidRDefault="004E0552" w:rsidP="0047275B">
      <w:pPr>
        <w:pStyle w:val="FootnoteText"/>
        <w:rPr>
          <w:sz w:val="16"/>
          <w:szCs w:val="16"/>
        </w:rPr>
      </w:pPr>
      <w:r>
        <w:rPr>
          <w:rStyle w:val="FootnoteReference"/>
        </w:rPr>
        <w:t>1</w:t>
      </w:r>
      <w:r w:rsidRPr="00DF00D0">
        <w:rPr>
          <w:sz w:val="16"/>
          <w:szCs w:val="16"/>
        </w:rPr>
        <w:t xml:space="preserve"> Data suppressed due to privacy protection</w:t>
      </w:r>
    </w:p>
  </w:footnote>
  <w:footnote w:id="110">
    <w:p w14:paraId="30520523" w14:textId="77777777" w:rsidR="004E0552" w:rsidRPr="00DF00D0" w:rsidRDefault="004E0552" w:rsidP="0047275B">
      <w:pPr>
        <w:pStyle w:val="FootnoteText"/>
        <w:rPr>
          <w:sz w:val="16"/>
          <w:szCs w:val="16"/>
        </w:rPr>
      </w:pPr>
    </w:p>
  </w:footnote>
  <w:footnote w:id="111">
    <w:p w14:paraId="650B4F3A" w14:textId="77777777" w:rsidR="004E0552" w:rsidRPr="00DF00D0" w:rsidRDefault="004E0552" w:rsidP="0047275B">
      <w:pPr>
        <w:pStyle w:val="FootnoteText"/>
        <w:rPr>
          <w:sz w:val="16"/>
          <w:szCs w:val="16"/>
        </w:rPr>
      </w:pPr>
    </w:p>
  </w:footnote>
  <w:footnote w:id="112">
    <w:p w14:paraId="37E02F04" w14:textId="77777777" w:rsidR="004E0552" w:rsidRPr="00DF00D0" w:rsidRDefault="004E0552" w:rsidP="0047275B">
      <w:pPr>
        <w:pStyle w:val="FootnoteText"/>
        <w:rPr>
          <w:sz w:val="16"/>
          <w:szCs w:val="16"/>
        </w:rPr>
      </w:pPr>
    </w:p>
  </w:footnote>
  <w:footnote w:id="113">
    <w:p w14:paraId="2B26300D" w14:textId="77777777" w:rsidR="004E0552" w:rsidRPr="00DF00D0" w:rsidRDefault="004E0552" w:rsidP="0047275B">
      <w:pPr>
        <w:pStyle w:val="FootnoteText"/>
        <w:rPr>
          <w:sz w:val="16"/>
          <w:szCs w:val="16"/>
        </w:rPr>
      </w:pPr>
    </w:p>
  </w:footnote>
  <w:footnote w:id="114">
    <w:p w14:paraId="60ABA733" w14:textId="77777777" w:rsidR="004E0552" w:rsidRPr="00DF00D0" w:rsidRDefault="004E0552" w:rsidP="0047275B">
      <w:pPr>
        <w:pStyle w:val="FootnoteText"/>
        <w:rPr>
          <w:sz w:val="16"/>
          <w:szCs w:val="16"/>
        </w:rPr>
      </w:pPr>
    </w:p>
  </w:footnote>
  <w:footnote w:id="115">
    <w:p w14:paraId="7791380B" w14:textId="77777777" w:rsidR="004E0552" w:rsidRPr="00DF00D0" w:rsidRDefault="004E0552" w:rsidP="0047275B">
      <w:pPr>
        <w:pStyle w:val="FootnoteText"/>
        <w:rPr>
          <w:sz w:val="16"/>
          <w:szCs w:val="16"/>
        </w:rPr>
      </w:pPr>
    </w:p>
  </w:footnote>
  <w:footnote w:id="116">
    <w:p w14:paraId="4911C4D6" w14:textId="77777777" w:rsidR="004E0552" w:rsidRPr="00DF00D0" w:rsidRDefault="004E0552" w:rsidP="0047275B">
      <w:pPr>
        <w:pStyle w:val="FootnoteText"/>
        <w:rPr>
          <w:sz w:val="16"/>
          <w:szCs w:val="16"/>
        </w:rPr>
      </w:pPr>
    </w:p>
  </w:footnote>
  <w:footnote w:id="117">
    <w:p w14:paraId="26DF4D74" w14:textId="77777777" w:rsidR="00C833FD" w:rsidRPr="00DF00D0" w:rsidRDefault="00C833FD" w:rsidP="00C833FD">
      <w:pPr>
        <w:pStyle w:val="FootnoteText"/>
        <w:rPr>
          <w:sz w:val="16"/>
          <w:szCs w:val="16"/>
        </w:rPr>
      </w:pPr>
      <w:r>
        <w:rPr>
          <w:rStyle w:val="FootnoteReference"/>
        </w:rPr>
        <w:t>1</w:t>
      </w:r>
      <w:r w:rsidRPr="00DF00D0">
        <w:rPr>
          <w:sz w:val="16"/>
          <w:szCs w:val="16"/>
        </w:rPr>
        <w:t xml:space="preserve"> Data suppressed due to privacy protection</w:t>
      </w:r>
    </w:p>
  </w:footnote>
  <w:footnote w:id="118">
    <w:p w14:paraId="2F08B5B3" w14:textId="2CFB98F3" w:rsidR="00C833FD" w:rsidRPr="00DF00D0" w:rsidRDefault="00C833FD" w:rsidP="00C833FD">
      <w:pPr>
        <w:pStyle w:val="FootnoteText"/>
        <w:rPr>
          <w:sz w:val="16"/>
          <w:szCs w:val="16"/>
        </w:rPr>
      </w:pPr>
    </w:p>
  </w:footnote>
  <w:footnote w:id="119">
    <w:p w14:paraId="285B682E" w14:textId="6E735527" w:rsidR="00C833FD" w:rsidRPr="00DF00D0" w:rsidRDefault="00C833FD" w:rsidP="00C833FD">
      <w:pPr>
        <w:pStyle w:val="FootnoteText"/>
        <w:rPr>
          <w:sz w:val="16"/>
          <w:szCs w:val="16"/>
        </w:rPr>
      </w:pPr>
    </w:p>
  </w:footnote>
  <w:footnote w:id="120">
    <w:p w14:paraId="45CDD4A1" w14:textId="1BCDADDE" w:rsidR="00BD743E" w:rsidRPr="00DF00D0" w:rsidRDefault="00BD743E" w:rsidP="00BD743E">
      <w:pPr>
        <w:pStyle w:val="FootnoteText"/>
        <w:rPr>
          <w:sz w:val="16"/>
          <w:szCs w:val="16"/>
        </w:rPr>
      </w:pPr>
    </w:p>
  </w:footnote>
  <w:footnote w:id="121">
    <w:p w14:paraId="51181144" w14:textId="77777777" w:rsidR="00BD743E" w:rsidRPr="00DF00D0" w:rsidRDefault="00BD743E" w:rsidP="00BD743E">
      <w:pPr>
        <w:pStyle w:val="FootnoteText"/>
        <w:rPr>
          <w:sz w:val="16"/>
          <w:szCs w:val="16"/>
        </w:rPr>
      </w:pPr>
    </w:p>
  </w:footnote>
  <w:footnote w:id="122">
    <w:p w14:paraId="61609336" w14:textId="77777777" w:rsidR="00BD743E" w:rsidRPr="00DF00D0" w:rsidRDefault="00BD743E" w:rsidP="00BD743E">
      <w:pPr>
        <w:pStyle w:val="FootnoteText"/>
        <w:rPr>
          <w:sz w:val="16"/>
          <w:szCs w:val="16"/>
        </w:rPr>
      </w:pPr>
    </w:p>
  </w:footnote>
  <w:footnote w:id="123">
    <w:p w14:paraId="6682EE14" w14:textId="77777777" w:rsidR="002A7290" w:rsidRPr="00DF00D0" w:rsidRDefault="002A7290" w:rsidP="0047275B">
      <w:pPr>
        <w:pStyle w:val="FootnoteText"/>
        <w:rPr>
          <w:sz w:val="16"/>
          <w:szCs w:val="16"/>
        </w:rPr>
      </w:pPr>
    </w:p>
  </w:footnote>
  <w:footnote w:id="124">
    <w:p w14:paraId="3127ACFC" w14:textId="77777777" w:rsidR="002A7290" w:rsidRPr="00DF00D0" w:rsidRDefault="002A7290" w:rsidP="0047275B">
      <w:pPr>
        <w:pStyle w:val="FootnoteText"/>
        <w:rPr>
          <w:sz w:val="16"/>
          <w:szCs w:val="16"/>
        </w:rPr>
      </w:pPr>
    </w:p>
  </w:footnote>
  <w:footnote w:id="125">
    <w:p w14:paraId="0B1B1618" w14:textId="77777777" w:rsidR="002A7290" w:rsidRPr="00DF00D0" w:rsidRDefault="002A7290" w:rsidP="0047275B">
      <w:pPr>
        <w:pStyle w:val="FootnoteText"/>
        <w:rPr>
          <w:sz w:val="16"/>
          <w:szCs w:val="16"/>
        </w:rPr>
      </w:pPr>
    </w:p>
  </w:footnote>
  <w:footnote w:id="126">
    <w:p w14:paraId="55C73ABE" w14:textId="77777777" w:rsidR="002A7290" w:rsidRPr="00DF00D0" w:rsidRDefault="002A7290" w:rsidP="0047275B">
      <w:pPr>
        <w:pStyle w:val="FootnoteText"/>
        <w:rPr>
          <w:sz w:val="16"/>
          <w:szCs w:val="16"/>
        </w:rPr>
      </w:pPr>
    </w:p>
  </w:footnote>
  <w:footnote w:id="127">
    <w:p w14:paraId="345E6663" w14:textId="77777777" w:rsidR="00C833FD" w:rsidRPr="00DF00D0" w:rsidRDefault="00C833FD" w:rsidP="0047275B">
      <w:pPr>
        <w:pStyle w:val="FootnoteText"/>
        <w:rPr>
          <w:sz w:val="16"/>
          <w:szCs w:val="16"/>
        </w:rPr>
      </w:pPr>
    </w:p>
  </w:footnote>
  <w:footnote w:id="128">
    <w:p w14:paraId="2FE99CF2" w14:textId="77777777" w:rsidR="00C833FD" w:rsidRPr="00DF00D0" w:rsidRDefault="00C833FD" w:rsidP="00BD743E">
      <w:pPr>
        <w:pStyle w:val="FootnoteText"/>
        <w:rPr>
          <w:sz w:val="16"/>
          <w:szCs w:val="16"/>
        </w:rPr>
      </w:pPr>
    </w:p>
  </w:footnote>
  <w:footnote w:id="129">
    <w:p w14:paraId="13006B85" w14:textId="77777777" w:rsidR="00C833FD" w:rsidRPr="00DF00D0" w:rsidRDefault="00C833FD" w:rsidP="0047275B">
      <w:pPr>
        <w:pStyle w:val="FootnoteText"/>
        <w:rPr>
          <w:sz w:val="16"/>
          <w:szCs w:val="16"/>
        </w:rPr>
      </w:pPr>
    </w:p>
  </w:footnote>
  <w:footnote w:id="130">
    <w:p w14:paraId="3744FB12" w14:textId="77777777" w:rsidR="00C833FD" w:rsidRPr="00DF00D0" w:rsidRDefault="00C833FD" w:rsidP="0047275B">
      <w:pPr>
        <w:pStyle w:val="FootnoteText"/>
        <w:rPr>
          <w:sz w:val="16"/>
          <w:szCs w:val="16"/>
        </w:rPr>
      </w:pPr>
      <w:r>
        <w:rPr>
          <w:rStyle w:val="FootnoteReference"/>
        </w:rPr>
        <w:t>1</w:t>
      </w:r>
      <w:r w:rsidRPr="00DF00D0">
        <w:rPr>
          <w:sz w:val="16"/>
          <w:szCs w:val="16"/>
        </w:rPr>
        <w:t xml:space="preserve"> Data suppressed due to privacy protection</w:t>
      </w:r>
    </w:p>
  </w:footnote>
  <w:footnote w:id="131">
    <w:p w14:paraId="436014BB" w14:textId="77777777" w:rsidR="00C833FD" w:rsidRPr="00DF00D0" w:rsidRDefault="00C833FD" w:rsidP="0047275B">
      <w:pPr>
        <w:pStyle w:val="FootnoteText"/>
        <w:rPr>
          <w:sz w:val="16"/>
          <w:szCs w:val="16"/>
        </w:rPr>
      </w:pPr>
    </w:p>
  </w:footnote>
  <w:footnote w:id="132">
    <w:p w14:paraId="3C6310B2" w14:textId="77777777" w:rsidR="00C833FD" w:rsidRPr="00DF00D0" w:rsidRDefault="00C833FD" w:rsidP="00BD743E">
      <w:pPr>
        <w:pStyle w:val="FootnoteText"/>
        <w:rPr>
          <w:sz w:val="16"/>
          <w:szCs w:val="16"/>
        </w:rPr>
      </w:pPr>
    </w:p>
  </w:footnote>
  <w:footnote w:id="133">
    <w:p w14:paraId="1DE0CD9E" w14:textId="77777777" w:rsidR="00C833FD" w:rsidRPr="00DF00D0" w:rsidRDefault="00C833FD" w:rsidP="0047275B">
      <w:pPr>
        <w:pStyle w:val="FootnoteText"/>
        <w:rPr>
          <w:sz w:val="16"/>
          <w:szCs w:val="16"/>
        </w:rPr>
      </w:pPr>
    </w:p>
  </w:footnote>
  <w:footnote w:id="134">
    <w:p w14:paraId="65001C7A" w14:textId="77777777" w:rsidR="00C833FD" w:rsidRPr="00DF00D0" w:rsidRDefault="00C833FD" w:rsidP="0047275B">
      <w:pPr>
        <w:pStyle w:val="FootnoteText"/>
        <w:rPr>
          <w:sz w:val="16"/>
          <w:szCs w:val="16"/>
        </w:rPr>
      </w:pPr>
    </w:p>
  </w:footnote>
  <w:footnote w:id="135">
    <w:p w14:paraId="306A8DCF" w14:textId="77777777" w:rsidR="00C833FD" w:rsidRPr="00DF00D0" w:rsidRDefault="00C833FD" w:rsidP="0047275B">
      <w:pPr>
        <w:pStyle w:val="FootnoteText"/>
        <w:rPr>
          <w:sz w:val="16"/>
          <w:szCs w:val="16"/>
        </w:rPr>
      </w:pPr>
    </w:p>
  </w:footnote>
  <w:footnote w:id="136">
    <w:p w14:paraId="354D97C4" w14:textId="77777777" w:rsidR="00C833FD" w:rsidRPr="00DF00D0" w:rsidRDefault="00C833FD" w:rsidP="00BD743E">
      <w:pPr>
        <w:pStyle w:val="FootnoteText"/>
        <w:rPr>
          <w:sz w:val="16"/>
          <w:szCs w:val="16"/>
        </w:rPr>
      </w:pPr>
    </w:p>
  </w:footnote>
  <w:footnote w:id="137">
    <w:p w14:paraId="4833BC83" w14:textId="77777777" w:rsidR="00C833FD" w:rsidRPr="00DF00D0" w:rsidRDefault="00C833FD" w:rsidP="0047275B">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072329">
    <w:abstractNumId w:val="23"/>
  </w:num>
  <w:num w:numId="2" w16cid:durableId="1460954940">
    <w:abstractNumId w:val="11"/>
  </w:num>
  <w:num w:numId="3" w16cid:durableId="1984651256">
    <w:abstractNumId w:val="21"/>
  </w:num>
  <w:num w:numId="4" w16cid:durableId="1455099378">
    <w:abstractNumId w:val="25"/>
  </w:num>
  <w:num w:numId="5" w16cid:durableId="58947164">
    <w:abstractNumId w:val="0"/>
  </w:num>
  <w:num w:numId="6" w16cid:durableId="1641227970">
    <w:abstractNumId w:val="16"/>
  </w:num>
  <w:num w:numId="7" w16cid:durableId="513614490">
    <w:abstractNumId w:val="8"/>
  </w:num>
  <w:num w:numId="8" w16cid:durableId="733625964">
    <w:abstractNumId w:val="10"/>
  </w:num>
  <w:num w:numId="9" w16cid:durableId="1785421182">
    <w:abstractNumId w:val="12"/>
  </w:num>
  <w:num w:numId="10" w16cid:durableId="1188906592">
    <w:abstractNumId w:val="14"/>
  </w:num>
  <w:num w:numId="11" w16cid:durableId="317075902">
    <w:abstractNumId w:val="18"/>
  </w:num>
  <w:num w:numId="12" w16cid:durableId="1530751939">
    <w:abstractNumId w:val="20"/>
  </w:num>
  <w:num w:numId="13" w16cid:durableId="109906914">
    <w:abstractNumId w:val="9"/>
  </w:num>
  <w:num w:numId="14" w16cid:durableId="38016821">
    <w:abstractNumId w:val="15"/>
  </w:num>
  <w:num w:numId="15" w16cid:durableId="193353769">
    <w:abstractNumId w:val="13"/>
  </w:num>
  <w:num w:numId="16" w16cid:durableId="1703357939">
    <w:abstractNumId w:val="22"/>
  </w:num>
  <w:num w:numId="17" w16cid:durableId="56831550">
    <w:abstractNumId w:val="2"/>
  </w:num>
  <w:num w:numId="18" w16cid:durableId="1384257289">
    <w:abstractNumId w:val="7"/>
  </w:num>
  <w:num w:numId="19" w16cid:durableId="205220440">
    <w:abstractNumId w:val="1"/>
  </w:num>
  <w:num w:numId="20" w16cid:durableId="400248541">
    <w:abstractNumId w:val="19"/>
  </w:num>
  <w:num w:numId="21" w16cid:durableId="509098920">
    <w:abstractNumId w:val="24"/>
  </w:num>
  <w:num w:numId="22" w16cid:durableId="944191137">
    <w:abstractNumId w:val="6"/>
  </w:num>
  <w:num w:numId="23" w16cid:durableId="909576230">
    <w:abstractNumId w:val="3"/>
  </w:num>
  <w:num w:numId="24" w16cid:durableId="1900433703">
    <w:abstractNumId w:val="4"/>
  </w:num>
  <w:num w:numId="25" w16cid:durableId="17707485">
    <w:abstractNumId w:val="5"/>
  </w:num>
  <w:num w:numId="26" w16cid:durableId="180951911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4FDE"/>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DC3"/>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A7290"/>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275B"/>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181"/>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52"/>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301"/>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B7D32"/>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6E8"/>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775"/>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C17"/>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10"/>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0BE"/>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B5A"/>
    <w:rsid w:val="00954EDD"/>
    <w:rsid w:val="009550A6"/>
    <w:rsid w:val="0095537B"/>
    <w:rsid w:val="009553C6"/>
    <w:rsid w:val="00955FDB"/>
    <w:rsid w:val="0095611C"/>
    <w:rsid w:val="009567E3"/>
    <w:rsid w:val="009569B8"/>
    <w:rsid w:val="00956BFB"/>
    <w:rsid w:val="00956DB0"/>
    <w:rsid w:val="00956DFE"/>
    <w:rsid w:val="00956F82"/>
    <w:rsid w:val="009570FD"/>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5E4A"/>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43E"/>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3F6"/>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3FD"/>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22B"/>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12E"/>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1A76"/>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4C85"/>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DBD"/>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42E8D2-76D4-46A7-A053-292CC8065059}"/>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79</Pages>
  <Words>49983</Words>
  <Characters>284906</Characters>
  <Application>Microsoft Office Word</Application>
  <DocSecurity>0</DocSecurity>
  <Lines>2374</Lines>
  <Paragraphs>668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12</cp:revision>
  <cp:lastPrinted>2014-08-19T16:56:00Z</cp:lastPrinted>
  <dcterms:created xsi:type="dcterms:W3CDTF">2022-08-05T21:32:00Z</dcterms:created>
  <dcterms:modified xsi:type="dcterms:W3CDTF">2022-10-04T22:05:00Z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e30e20f7-5fa2-4b1c-9cb4-67cb9a2ea654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