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Florida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Florida Department of Health (FDOH) is the lead agency for Part C of the Individuals with Disabilities Education Act (IDEA) in Florida. Within FDOH, the Division of Children's Medical Services (CMS), Bureau of Early Steps and Newborn Screening is responsible for the program oversight, which includes, but is not limited to: the development and implementation of the state policies that are consistent with Part C of IDEA regulations; state law and agency policies and procedures; oversight of the dispute resolution system; programmatic and contract monitoring of Local Early Steps Programs (LES); continuous improvement process; local determinations process; public reporting; development and implementation of statewide personnel standards; a professional development system; federal reporting; federal grant management; and fiscal oversight and accountability.</w:t>
      </w:r>
      <w:r w:rsidRPr="00ED172B">
        <w:rPr>
          <w:color w:val="000000" w:themeColor="text1"/>
        </w:rPr>
        <w:br/>
      </w:r>
      <w:r w:rsidRPr="00ED172B">
        <w:rPr>
          <w:color w:val="000000" w:themeColor="text1"/>
        </w:rPr>
        <w:br/>
        <w:t>On March 1, 2020, Florida officially reported its first COVID-19 cases. In response, Florida’s State Surgeon General declared a Public Health Emergency, determining that COVID-19 was a threat to public health in the state of Florida. The Surgeon General renewed that declaration on April 30, 2020, June 29, 2020, August 28, 2020, October 23, 2020, December 29, 2020, February 26, 2021, and April 27, 2021 as COVID-19 continued to pose a threat to public health.</w:t>
      </w:r>
      <w:r w:rsidRPr="00ED172B">
        <w:rPr>
          <w:color w:val="000000" w:themeColor="text1"/>
        </w:rPr>
        <w:br/>
      </w:r>
      <w:r w:rsidRPr="00ED172B">
        <w:rPr>
          <w:color w:val="000000" w:themeColor="text1"/>
        </w:rPr>
        <w:br/>
        <w:t>On March 9, 2020, Florida’s Governor issued an Executive Order declaring a State of Emergency for COVID-19. Florida public schools were temporarily closed beginning in March 2020 and then later closed for the remainder of the 2020 spring semester, through June 2020. In addition, all mandated school testing was cancelled. On April 1, 2020, Florida’s Governor issued a statewide stay-at-home order, requiring all persons in Florida to limit movements and personal interactions outside of the home to only those necessary to obtain or provide essential services or conduct essential activities.</w:t>
      </w:r>
      <w:r w:rsidRPr="00ED172B">
        <w:rPr>
          <w:color w:val="000000" w:themeColor="text1"/>
        </w:rPr>
        <w:br/>
      </w:r>
      <w:r w:rsidRPr="00ED172B">
        <w:rPr>
          <w:color w:val="000000" w:themeColor="text1"/>
        </w:rPr>
        <w:br/>
        <w:t>Florida’s Governor created a phased plan, titled Plan for Florida’s Recovery (https://floridahealthcovid19.gov/plan-for-floridas-recovery/). Phase 1 of the Plan took effect May 4, 2020, and was updated May 11, 14, and 15, 2020. Phase 2 of the Plan took effect June 5, 2020, for all Florida counties except Miami-Dade, Broward, and Palm Beach. Phase 3 of the Plan took effect September 25, 2020, for all Florida counties.</w:t>
      </w:r>
      <w:r w:rsidRPr="00ED172B">
        <w:rPr>
          <w:color w:val="000000" w:themeColor="text1"/>
        </w:rPr>
        <w:br/>
      </w:r>
      <w:r w:rsidRPr="00ED172B">
        <w:rPr>
          <w:color w:val="000000" w:themeColor="text1"/>
        </w:rPr>
        <w:br/>
        <w:t xml:space="preserve">The Early Steps State Office conducted targeted and specific outreach to each LES Program to inquire about operational status and the impact of the COVID-19 pandemic. These outreach efforts examined and focused on the following: </w:t>
      </w:r>
      <w:r w:rsidRPr="00ED172B">
        <w:rPr>
          <w:color w:val="000000" w:themeColor="text1"/>
        </w:rPr>
        <w:br/>
        <w:t>• Active positive COVID-19 cases</w:t>
      </w:r>
      <w:r w:rsidRPr="00ED172B">
        <w:rPr>
          <w:color w:val="000000" w:themeColor="text1"/>
        </w:rPr>
        <w:br/>
        <w:t>• Comparison in referrals pre-Covid-19</w:t>
      </w:r>
      <w:r w:rsidRPr="00ED172B">
        <w:rPr>
          <w:color w:val="000000" w:themeColor="text1"/>
        </w:rPr>
        <w:br/>
        <w:t>• Individualized Family Support Plan updates</w:t>
      </w:r>
      <w:r w:rsidRPr="00ED172B">
        <w:rPr>
          <w:color w:val="000000" w:themeColor="text1"/>
        </w:rPr>
        <w:br/>
        <w:t>• In-person or telehealth/virtual meetings</w:t>
      </w:r>
      <w:r w:rsidRPr="00ED172B">
        <w:rPr>
          <w:color w:val="000000" w:themeColor="text1"/>
        </w:rPr>
        <w:br/>
        <w:t>• Overall COVID-19 status in service regions</w:t>
      </w:r>
      <w:r w:rsidRPr="00ED172B">
        <w:rPr>
          <w:color w:val="000000" w:themeColor="text1"/>
        </w:rPr>
        <w:br/>
        <w:t xml:space="preserve">• Updates on Personal Protective Equipment (PPE) and access </w:t>
      </w:r>
      <w:r w:rsidRPr="00ED172B">
        <w:rPr>
          <w:color w:val="000000" w:themeColor="text1"/>
        </w:rPr>
        <w:br/>
        <w:t xml:space="preserve">• Impacts on travel </w:t>
      </w:r>
      <w:r w:rsidRPr="00ED172B">
        <w:rPr>
          <w:color w:val="000000" w:themeColor="text1"/>
        </w:rPr>
        <w:br/>
        <w:t>• School district relationship status</w:t>
      </w:r>
      <w:r w:rsidRPr="00ED172B">
        <w:rPr>
          <w:color w:val="000000" w:themeColor="text1"/>
        </w:rPr>
        <w:br/>
        <w:t>• Future plans during and post the pandemic</w:t>
      </w:r>
      <w:r w:rsidRPr="00ED172B">
        <w:rPr>
          <w:color w:val="000000" w:themeColor="text1"/>
        </w:rPr>
        <w:br/>
      </w:r>
      <w:r w:rsidRPr="00ED172B">
        <w:rPr>
          <w:color w:val="000000" w:themeColor="text1"/>
        </w:rPr>
        <w:br/>
        <w:t>Based on the data gathered and collected from these program interviews, the Early Steps State Office developed COVID-19 guidance, that was made available on-line, for public access. The website included essential information about resources, as well as federal and state guidance. Frequently asked questions were also developed and maintained on the website for the LES Programs or provider reference.</w:t>
      </w:r>
      <w:r w:rsidRPr="00ED172B">
        <w:rPr>
          <w:color w:val="000000" w:themeColor="text1"/>
        </w:rPr>
        <w:br/>
      </w:r>
      <w:r w:rsidRPr="00ED172B">
        <w:rPr>
          <w:color w:val="000000" w:themeColor="text1"/>
        </w:rPr>
        <w:br/>
        <w:t>The Early Steps State Office implemented system enhancements to the existing program data system to monitor and track services related to the COVID-19 health pandemic. The data system has been updated (and will continue to be updated as necessary) to include barrier and suspension codes that will allow the LES Program to document delays in services related to the impact of COVID-19 for recipients and providers. The system enhancements will also allow for documentation of delay in services due to COVID-19 and monitoring of the use of telehealth services. During the initial phases of these enhancements, weekly analysis of barrier codes was conducted. This information was used to assess the ongoing impact of COVID-19 on the program and the success of the recent telehealth services. All programs and providers received training on how to use the new COVID-19 related barrier and suspension codes. LES Programs and providers continue to request individualized training, as necessary, from the state office.</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Early Steps Program is administered throughout the state in 15 geographic regions through contracts with 13 organizations. LES Programs are the contracted entities that evaluate and assess all referred infants and toddlers. The LES Programs determine eligibility and provide direct early intervention services for eligible infants and toddlers by working with internal and community service providers, and other community resources. </w:t>
      </w:r>
      <w:r w:rsidRPr="00ED172B">
        <w:rPr>
          <w:color w:val="000000" w:themeColor="text1"/>
        </w:rPr>
        <w:br/>
      </w:r>
      <w:r w:rsidRPr="00ED172B">
        <w:rPr>
          <w:color w:val="000000" w:themeColor="text1"/>
        </w:rPr>
        <w:br/>
        <w:t>The Early Steps Program maintains a statewide interagency coordinating council, the Florida Interagency Coordinating Council for Infants and Toddlers (FICCIT). Per Part C of IDEA federal regulation 34 CFR § 303.604, the role of FICCIT is to advise and assist Florida's Early Steps Program in the performance of its responsibilities.</w:t>
      </w:r>
      <w:r w:rsidRPr="00ED172B">
        <w:rPr>
          <w:color w:val="000000" w:themeColor="text1"/>
        </w:rPr>
        <w:br/>
      </w:r>
      <w:r w:rsidRPr="00ED172B">
        <w:rPr>
          <w:color w:val="000000" w:themeColor="text1"/>
        </w:rPr>
        <w:br/>
        <w:t>The Early Steps State Office comprises a Program Administrator, who is the designated Part C Coordinator; three unit supervisors; programmatic staff, who provide program consultation for LES Programs; budgetary and contract management staff; data analysts; and additional resources within FDOH, as needed.</w:t>
      </w:r>
      <w:r w:rsidRPr="00ED172B">
        <w:rPr>
          <w:color w:val="000000" w:themeColor="text1"/>
        </w:rPr>
        <w:br/>
      </w:r>
      <w:r w:rsidRPr="00ED172B">
        <w:rPr>
          <w:color w:val="000000" w:themeColor="text1"/>
        </w:rPr>
        <w:br/>
        <w:t>New Interactive Robust Data Administration System</w:t>
      </w:r>
      <w:r w:rsidRPr="00ED172B">
        <w:rPr>
          <w:color w:val="000000" w:themeColor="text1"/>
        </w:rPr>
        <w:br/>
        <w:t xml:space="preserve">Florida continues to enhance the current legacy data system, including adding new codes, removing obsolete codes, and clarifying code definitions. During FY 2020-2021, a new data administration system vendor had been procured and work had begun developing a new interactive data administration system. However, due to various challenges faced throughout the project, it was determined the produced data system would not result in a viable solution for the program. The relationship with the vendor was terminated on June 29, 2021. The process to procure a new vendor that will successfully develop and implement a new Early Steps Data System has been initiated. Many lessons were learned throughout this process and as a result the Early Steps State Office has enhanced the infrastructure needed to manage and successfully launch this project with the required data </w:t>
      </w:r>
      <w:r w:rsidRPr="00ED172B">
        <w:rPr>
          <w:color w:val="000000" w:themeColor="text1"/>
        </w:rPr>
        <w:lastRenderedPageBreak/>
        <w:t xml:space="preserve">elements for federal reporting. A new and dedicated project manager has been added to the team, as well as three business analysts, to allow for more data analysis and expertise, as the new data system work continues.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Florida's General Supervision System</w:t>
      </w:r>
      <w:r w:rsidRPr="00ED172B">
        <w:rPr>
          <w:color w:val="000000" w:themeColor="text1"/>
          <w:szCs w:val="16"/>
        </w:rPr>
        <w:br/>
        <w:t>The FDOH Bureau of Early Steps and Newborn Screening within the Division of Children's Medical Services is responsible for the general supervision system. The Early Steps State Office carries out the following general supervision activities in accordance with Part C of IDEA federal regulations, state law and agency policies and procedures: development and oversight of a state performance plan and annual performance report; policies and procedures for effective IDEA implementation; programmatic monitoring activities, including strategies for improvement and corrective actions; a local determinations process; public reporting and contracting; desk and on-site monitoring of all 15 LES Programs; a fiscal management system; a data system to gather data on processes and results; an effective dispute resolution system, including mediation, state complaints, and due process hearings; technical assistance related to the implementation of the IDEA; statewide personnel standards and professional development; and coordination and oversight of the FICCIT.</w:t>
      </w:r>
      <w:r w:rsidRPr="00ED172B">
        <w:rPr>
          <w:color w:val="000000" w:themeColor="text1"/>
          <w:szCs w:val="16"/>
        </w:rPr>
        <w:br/>
      </w:r>
      <w:r w:rsidRPr="00ED172B">
        <w:rPr>
          <w:color w:val="000000" w:themeColor="text1"/>
          <w:szCs w:val="16"/>
        </w:rPr>
        <w:br/>
        <w:t>LES Programs are the contracted entities that evaluate and assess all referred infants and toddlers for determination of eligibility. LES Programs provide direct early intervention services for eligible infants and toddlers by working with internal and community service providers, and other community resources.</w:t>
      </w:r>
      <w:r w:rsidRPr="00ED172B">
        <w:rPr>
          <w:color w:val="000000" w:themeColor="text1"/>
          <w:szCs w:val="16"/>
        </w:rPr>
        <w:br/>
      </w:r>
      <w:r w:rsidRPr="00ED172B">
        <w:rPr>
          <w:color w:val="000000" w:themeColor="text1"/>
          <w:szCs w:val="16"/>
        </w:rPr>
        <w:br/>
        <w:t>All 15 LES Programs are monitored annually. The monitoring consists of a review of child record documentation and data. Items reviewed include timely Individualized Family Support Plan (IFSP), timely service delivery, services in natural environments, a quality review of the IFSP, and service delivery determinations. Additional contract monitoring is completed for all 15 LES Programs to ensure all contractual and administrative fiscal requirements are being met. Maintenance of effort information is collected and tracked monthly based on reported information from LES invoices and Medicaid and analyzed at the end of the year to determine if the requirements under 34 CFR §303.225(a)(2) is met from year to year.</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State Office Technical Assistance Provision</w:t>
      </w:r>
      <w:r w:rsidRPr="00ED172B">
        <w:rPr>
          <w:color w:val="000000" w:themeColor="text1"/>
          <w:szCs w:val="16"/>
        </w:rPr>
        <w:br/>
        <w:t xml:space="preserve">Technical assistance (TA) is provided in response to requests from individual programs or if identified by the Early Steps State Office. Focused TA is provided through statewide policy clarifications via email, conference calls, or webinars and, when necessary, individual local technical calls. TA is related to strategies for meeting federal timelines for evaluations, IFSP meetings, service delivery, transition planning, implementation of evidence-based practices and ensuring efficient use of resources. Monthly business conference calls with Directors and Coordinators are utilized to provide TA and maintain open and clear statewide communication with LES Programs. The LES Programs are provided a functional directory to contact Early Steps State Office staff for issues the program may have. The Early Steps State Office continues to implement on-going data manager calls, where state data managers provide feedback and in-service training on recent database system changes, how to implement those changes, and where or how to submit requests or changes to the data system. </w:t>
      </w:r>
      <w:r w:rsidRPr="00ED172B">
        <w:rPr>
          <w:color w:val="000000" w:themeColor="text1"/>
          <w:szCs w:val="16"/>
        </w:rPr>
        <w:br/>
      </w:r>
      <w:r w:rsidRPr="00ED172B">
        <w:rPr>
          <w:color w:val="000000" w:themeColor="text1"/>
          <w:szCs w:val="16"/>
        </w:rPr>
        <w:br/>
        <w:t>The Early Steps State Office has made efforts in developing a Technical Assistance Framework to assist programs to identify sustainable improvement strategies. Teams have been organized around a continuum of supports, including training, technical assistance, policies, and technology improvements to assist the LESs in improving performance and compliance. The Early Steps State Office will use this framework to also help those programs where compliance is difficult to meet or for those programs who have not corrected noncompliance with specific indicators. TA framework teams’ leads for the state office have been established.</w:t>
      </w:r>
      <w:r w:rsidRPr="00ED172B">
        <w:rPr>
          <w:color w:val="000000" w:themeColor="text1"/>
          <w:szCs w:val="16"/>
        </w:rPr>
        <w:br/>
      </w:r>
      <w:r w:rsidRPr="00ED172B">
        <w:rPr>
          <w:color w:val="000000" w:themeColor="text1"/>
          <w:szCs w:val="16"/>
        </w:rPr>
        <w:br/>
        <w:t>Technical Assistance Received by The State</w:t>
      </w:r>
      <w:r w:rsidRPr="00ED172B">
        <w:rPr>
          <w:color w:val="000000" w:themeColor="text1"/>
          <w:szCs w:val="16"/>
        </w:rPr>
        <w:br/>
        <w:t>The Early Steps State Office requests and utilizes technical assistance from national, state or local content experts on an ongoing basis, and materials created by OSEP-sponsored centers, such as the Early Childhood Technical Assistance Center (ECTA), the Center for IDEA Early Childhood Data Systems (DaSy), the IDEA Data Center (IDC), the Center for IDEA Fiscal Reporting (CIFR), and the Early Childhood Personnel Center (ECPC) are utilized.</w:t>
      </w:r>
      <w:r w:rsidRPr="00ED172B">
        <w:rPr>
          <w:color w:val="000000" w:themeColor="text1"/>
          <w:szCs w:val="16"/>
        </w:rPr>
        <w:br/>
      </w:r>
      <w:r w:rsidRPr="00ED172B">
        <w:rPr>
          <w:color w:val="000000" w:themeColor="text1"/>
          <w:szCs w:val="16"/>
        </w:rPr>
        <w:br/>
        <w:t>Florida has regular contact with OSEP lead Susan Kauffman, through email and conference calls. Technical assistance calls with Early Steps State Office staff, Susan Kauffman from OSEP, and ECTA providers, Sherry Franklin and Thomas McGhee were held monthly throughout the year. Topics discussed during these communications included: Strategies for improvement regarding Accountability, Child Outcomes, and Data Integrity. The Part C Coordinator that recently joined the program has also received individual TA on various topics from ECTA Providers.</w:t>
      </w:r>
      <w:r w:rsidRPr="00ED172B">
        <w:rPr>
          <w:color w:val="000000" w:themeColor="text1"/>
          <w:szCs w:val="16"/>
        </w:rPr>
        <w:br/>
      </w:r>
      <w:r w:rsidRPr="00ED172B">
        <w:rPr>
          <w:color w:val="000000" w:themeColor="text1"/>
          <w:szCs w:val="16"/>
        </w:rPr>
        <w:br/>
        <w:t xml:space="preserve">The Part C Coordinator and applicable state office staff attended the 2020 Improving Data, Improving Outcomes Virtual Conference on October 19-22, 2020, and 2021 Leadership and Project Director’s Conference July 19-22, 2021. In addition, the Part C Coordinator and lead agency staff, as appropriate, have participated in standing bi-weekly TA calls with staff from TA centers, including ECTA, and DaSy, as well as monthly OSEP calls. TA was provided to the State on a variety of topics, including state general supervision structures, accountability and monitoring, State Systemic Improvement Plan, as well as the collection and reporting of IDEA 618 data. Drafts of data reports and narratives for federal reporting have been provided to TA providers for review and input prior to submission. </w:t>
      </w:r>
      <w:r w:rsidRPr="00ED172B">
        <w:rPr>
          <w:color w:val="000000" w:themeColor="text1"/>
          <w:szCs w:val="16"/>
        </w:rPr>
        <w:br/>
      </w:r>
      <w:r w:rsidRPr="00ED172B">
        <w:rPr>
          <w:color w:val="000000" w:themeColor="text1"/>
          <w:szCs w:val="16"/>
        </w:rPr>
        <w:br/>
        <w:t>Early Steps State Office staff attended the following calls or webinars in FY 2020-2021: OSEP Part C SPP/APR technical assistance, Responding to COVID-19: Ongoing Considerations for Part C, Preparing for Your Next Virtual Stakeholder Meeting, and ongoing ITCA COVID-19 meetings. Information was used from these calls and webinars to strengthen understanding of federal reporting requirements and develop policy and guidance to continue service provision during the public health crisis.</w:t>
      </w:r>
      <w:r w:rsidRPr="00ED172B">
        <w:rPr>
          <w:color w:val="000000" w:themeColor="text1"/>
          <w:szCs w:val="16"/>
        </w:rPr>
        <w:br/>
      </w:r>
      <w:r w:rsidRPr="00ED172B">
        <w:rPr>
          <w:color w:val="000000" w:themeColor="text1"/>
          <w:szCs w:val="16"/>
        </w:rPr>
        <w:br/>
        <w:t>The Quality Assurance, Accountability and Monitoring Unit staff participated in the Effective Strategies for Correcting Longstanding Noncompliance Working Series on October 13, November 4, and November 17, 2020, and the Effective Monitoring Working Series March 18, April 29, June 24, 2021. Both series allowed staff to share ideas and strategies for performance improvement. Staff used new strategies to review program data and ensure correction of noncompliance of LES Programs for FFY 2019.</w:t>
      </w:r>
      <w:r w:rsidRPr="00ED172B">
        <w:rPr>
          <w:color w:val="000000" w:themeColor="text1"/>
          <w:szCs w:val="16"/>
        </w:rPr>
        <w:br/>
      </w:r>
      <w:r w:rsidRPr="00ED172B">
        <w:rPr>
          <w:color w:val="000000" w:themeColor="text1"/>
          <w:szCs w:val="16"/>
        </w:rPr>
        <w:br/>
      </w:r>
      <w:r w:rsidRPr="00ED172B">
        <w:rPr>
          <w:color w:val="000000" w:themeColor="text1"/>
          <w:szCs w:val="16"/>
        </w:rPr>
        <w:br/>
        <w:t xml:space="preserve">Quality Assurance &amp; Accountability Effortsof the input and edits provided by TA providers related to federal reports were incorporated into the reports prior to submission. State leads have been established to work on revising the manuals as needed. In addition, as a result of the recent TA cohort that staff were able to participate in, new processes have been implemented surrounding how to analyze, organize, and collect data from LES Programs, to </w:t>
      </w:r>
      <w:r w:rsidRPr="00ED172B">
        <w:rPr>
          <w:color w:val="000000" w:themeColor="text1"/>
          <w:szCs w:val="16"/>
        </w:rPr>
        <w:lastRenderedPageBreak/>
        <w:t>ensure that programs have corrected any outstanding noncompliance.</w:t>
      </w:r>
      <w:r w:rsidRPr="00ED172B">
        <w:rPr>
          <w:color w:val="000000" w:themeColor="text1"/>
          <w:szCs w:val="16"/>
        </w:rPr>
        <w:br/>
      </w:r>
      <w:r w:rsidRPr="00ED172B">
        <w:rPr>
          <w:color w:val="000000" w:themeColor="text1"/>
          <w:szCs w:val="16"/>
        </w:rPr>
        <w:br/>
        <w:t xml:space="preserve">Materials created by ECTA and DaSy are shared and discussed by the state office during on-going technical assistance calls with LES Program directors, including improvement strategies regarding provider enrollment, service delivery, and the child outcomes summary process. </w:t>
      </w:r>
      <w:r w:rsidRPr="00ED172B">
        <w:rPr>
          <w:color w:val="000000" w:themeColor="text1"/>
          <w:szCs w:val="16"/>
        </w:rPr>
        <w:br/>
      </w:r>
      <w:r w:rsidRPr="00ED172B">
        <w:rPr>
          <w:color w:val="000000" w:themeColor="text1"/>
          <w:szCs w:val="16"/>
        </w:rPr>
        <w:br/>
        <w:t>Lead agency staff continue to review the monitoring and accountability tools of other states in the peer-to-peer group and working with TA providers to implement methods to increase compliance and performance of LES Programs. Much of the input and edits provided by TA providers related to federal reports were incorporated into the reports prior to submission. State leads have been established to work on revising the manuals as needed. In addition, as a result of the recent TA cohort that staff were able to participate in, new processes have been implemented surrounding how to analyze, organize, and collect data from LES Programs, to ensure that programs have corrected any outstanding noncompliance.</w:t>
      </w:r>
      <w:r w:rsidRPr="00ED172B">
        <w:rPr>
          <w:color w:val="000000" w:themeColor="text1"/>
          <w:szCs w:val="16"/>
        </w:rPr>
        <w:br/>
      </w:r>
      <w:r w:rsidRPr="00ED172B">
        <w:rPr>
          <w:color w:val="000000" w:themeColor="text1"/>
          <w:szCs w:val="16"/>
        </w:rPr>
        <w:br/>
        <w:t xml:space="preserve">Materials created by ECTA and DaSy are shared and discussed by the state office during on-going technical assistance calls with LES Program directors, including improvement strategies regarding provider enrollment, service delivery, and the child outcomes summary process.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professional development system includes mandatory pre-service training consisting of three orientation modules, service coordinator apprenticeship training, and data system training. The trainings are in the process of being updated and revised, to coincide with policy updates, evidence-based practices, and new information. </w:t>
      </w:r>
      <w:r w:rsidRPr="00ED172B">
        <w:rPr>
          <w:color w:val="000000" w:themeColor="text1"/>
          <w:szCs w:val="16"/>
        </w:rPr>
        <w:br/>
      </w:r>
      <w:r w:rsidRPr="00ED172B">
        <w:rPr>
          <w:color w:val="000000" w:themeColor="text1"/>
          <w:szCs w:val="16"/>
        </w:rPr>
        <w:br/>
        <w:t xml:space="preserve">In-service training includes the Autism Navigator for Early Intervention Providers, a web-based instructional training program; an interactive e-learning community to support use of the Autism Navigator; and a train-the-trainer system for training assessors on the Battelle Developmental Inventory, Second Edition (BDI-2) assessment. </w:t>
      </w:r>
      <w:r w:rsidRPr="00ED172B">
        <w:rPr>
          <w:color w:val="000000" w:themeColor="text1"/>
          <w:szCs w:val="16"/>
        </w:rPr>
        <w:br/>
      </w:r>
      <w:r w:rsidRPr="00ED172B">
        <w:rPr>
          <w:color w:val="000000" w:themeColor="text1"/>
          <w:szCs w:val="16"/>
        </w:rPr>
        <w:br/>
        <w:t xml:space="preserve">The Early Steps State Office is working to enhance the professional development infrastructure and increase training opportunities at the state and local level.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Interagency Coordinating Council</w:t>
      </w:r>
      <w:r w:rsidRPr="00ED172B">
        <w:rPr>
          <w:color w:val="000000" w:themeColor="text1"/>
          <w:szCs w:val="16"/>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szCs w:val="16"/>
        </w:rPr>
        <w:br/>
      </w:r>
      <w:r w:rsidRPr="00ED172B">
        <w:rPr>
          <w:color w:val="000000" w:themeColor="text1"/>
          <w:szCs w:val="16"/>
        </w:rPr>
        <w:br/>
        <w:t>Stakeholder Workgroups</w:t>
      </w:r>
      <w:r w:rsidRPr="00ED172B">
        <w:rPr>
          <w:color w:val="000000" w:themeColor="text1"/>
          <w:szCs w:val="16"/>
        </w:rPr>
        <w:br/>
        <w:t xml:space="preserve">In accordance with Section 391.308(2)(c), Florida Statutes, the Early Steps Program is required to: </w:t>
      </w:r>
      <w:r w:rsidRPr="00ED172B">
        <w:rPr>
          <w:color w:val="000000" w:themeColor="text1"/>
          <w:szCs w:val="16"/>
        </w:rPr>
        <w:br/>
      </w:r>
      <w:r w:rsidRPr="00ED172B">
        <w:rPr>
          <w:color w:val="000000" w:themeColor="text1"/>
          <w:szCs w:val="16"/>
        </w:rPr>
        <w:br/>
        <w:t xml:space="preserve">Develop a State Plan annually and ensure the State Plan is developed through an inclusive process that involves families, local programs, health care providers, and other stakeholders. </w:t>
      </w:r>
      <w:r w:rsidRPr="00ED172B">
        <w:rPr>
          <w:color w:val="000000" w:themeColor="text1"/>
          <w:szCs w:val="16"/>
        </w:rPr>
        <w:br/>
      </w:r>
      <w:r w:rsidRPr="00ED172B">
        <w:rPr>
          <w:color w:val="000000" w:themeColor="text1"/>
          <w:szCs w:val="16"/>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szCs w:val="16"/>
        </w:rPr>
        <w:br/>
      </w:r>
      <w:r w:rsidRPr="00ED172B">
        <w:rPr>
          <w:color w:val="000000" w:themeColor="text1"/>
          <w:szCs w:val="16"/>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szCs w:val="16"/>
        </w:rPr>
        <w:br/>
      </w:r>
      <w:r w:rsidRPr="00ED172B">
        <w:rPr>
          <w:color w:val="000000" w:themeColor="text1"/>
          <w:szCs w:val="16"/>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szCs w:val="16"/>
        </w:rPr>
        <w:br/>
        <w:t>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members of the FICCIT and Family Resource Staff (FRS) staff participated in various stakeholder meetings to discuss, analyze, and review data to recommended targets and evaluate program performance.  Each LES must employ at least one FRS to ensure family involvement. The FRS must be </w:t>
      </w:r>
      <w:r w:rsidRPr="00ED172B">
        <w:rPr>
          <w:color w:val="000000" w:themeColor="text1"/>
          <w:szCs w:val="16"/>
        </w:rPr>
        <w:lastRenderedPageBreak/>
        <w:t xml:space="preserve">a parent or primary caregiver of a child who received early intervention services or would have been eligible for Early Steps Program services. The FRS ensure the experiences and opinions of families are represented in the Early Steps Program system. Information was shared with the FRSs to allow them to communicate and seek input from local families on strategies and activities to improve outcomes for infants and toddlers and their families.  </w:t>
      </w:r>
      <w:r w:rsidRPr="00ED172B">
        <w:rPr>
          <w:color w:val="000000" w:themeColor="text1"/>
          <w:szCs w:val="16"/>
        </w:rPr>
        <w:br/>
      </w:r>
      <w:r w:rsidRPr="00ED172B">
        <w:rPr>
          <w:color w:val="000000" w:themeColor="text1"/>
          <w:szCs w:val="16"/>
        </w:rPr>
        <w:br/>
        <w:t xml:space="preserve">Florida has a State Parent Consultant who is a parent of two children who previously received early intervention services from the Early Steps Program. This position is responsible for providing technical assistance to LESs on including and engaging with families. FRSs and parent members of the FICCIT participated in various stakeholder meetings to discuss, analyze, and review data to make recommendations and evaluate program performance. A meeting was recently held with eighteen FRSs to discuss and analyze Early Steps Program performance data and discuss recommended targets for FY 2020-2025. </w:t>
      </w:r>
      <w:r w:rsidRPr="00ED172B">
        <w:rPr>
          <w:color w:val="000000" w:themeColor="text1"/>
          <w:szCs w:val="16"/>
        </w:rPr>
        <w:br/>
      </w:r>
      <w:r w:rsidRPr="00ED172B">
        <w:rPr>
          <w:color w:val="000000" w:themeColor="text1"/>
          <w:szCs w:val="16"/>
        </w:rPr>
        <w:br/>
        <w:t xml:space="preserve">FRSs convene monthly in a peer learning collaborative to support each other by sharing practices and ideas aimed at increasing the participation and involvement of families enrolled in the program. Being parents of children who have disabilities themselves, and active members of their communities, FRSs are skilled at making connections with and obtaining feedback from families on personal experiences and priorities and relaying that information to the local office and the state office. FRSs recruit the participation of families through support groups, play groups, surveys (local and state), committees, and other community activities, virtually and in-person. </w:t>
      </w:r>
      <w:r w:rsidRPr="00ED172B">
        <w:rPr>
          <w:color w:val="000000" w:themeColor="text1"/>
          <w:szCs w:val="16"/>
        </w:rPr>
        <w:br/>
      </w:r>
      <w:r w:rsidRPr="00ED172B">
        <w:rPr>
          <w:color w:val="000000" w:themeColor="text1"/>
          <w:szCs w:val="16"/>
        </w:rPr>
        <w:br/>
        <w:t xml:space="preserve">At the recommendation of the FRSs, the Early Steps Program is in the early stages of formulating guidance that will help families feel knowledgeable, confident, and prepared to participate fully on statewide workgroups. Further development of guidance and practices to support strong family engagement on state workgroups and FICCIT is ongoing.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As mentioned above, FRSs have an important role in all areas where family representation is sought, which includes the implementation of activities designed to improve outcomes for the diverse population of children and families served by the program across the state. FRSs come from a variety of ethnic and racial backgrounds, cultural traditions, socioeconomic status, etc. and all have a child and/or children biological, adopted, and/or fostered who have a range of disabilities involving physical limitations, genetic and/or metabolic conditions, developmental and/or intellectual conditions, and vision and/or hearing differences. These diverse backgrounds and experiences allow for the FRSs to fill a critical role that ensures the experiences and opinions of families, based on demographics and/or, are represented in the Early Steps Program system. </w:t>
      </w:r>
      <w:r w:rsidRPr="00ED172B">
        <w:rPr>
          <w:color w:val="000000" w:themeColor="text1"/>
          <w:szCs w:val="16"/>
        </w:rPr>
        <w:br/>
      </w:r>
      <w:r w:rsidRPr="00ED172B">
        <w:rPr>
          <w:color w:val="000000" w:themeColor="text1"/>
          <w:szCs w:val="16"/>
        </w:rPr>
        <w:br/>
        <w:t>As work continues towards the SSIP goals, and FL-EPIC enters the next stages of scaling and sustainability, the FRS role is reaching beyond involvement in stakeholder workgroups and into influencing the implementation of practices that impact families. In many of the LESs, the FRS has been invited to participate as member on the FL-EPIC Leadership Team. Likewise, some LESs have begun including FRSs in the Child Outcome Summary (COS) process in various ways, such as being included in COS meetings with families to assist families in understanding the process and their role, and to provide feedback and guidance to the IFSP team on the COS process through the lenses of the family. FRSs are being consulted when developing materials intended for families to ensure that the materials are family-centered and culturally responsive. FRSs are also involved in the target setting process and the FRS seek input from local families on strategies and activities to improve outcomes for infants and toddlers and their families. FRSs are an incredible source of knowledge and inspiration for families and for the Program. The State Parent Consultant meets with the FRSs on a monthly basis. Educational materials were provided to all local early steps programs and FRSs in order to engage and increase knowledge and understanding of the target setting process, increase capacity to provide support in development of program improvement activities and improve overall participation.</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All FICCIT and workgroup meetings were publicly noticed seven days prior to each meeting being held in the Florida Administrative Register to solicit participation and involvement from the public and obtain input for target setting, analyzing data, and developing improvement strategies. The meetings were noticed in order to solicit public input. The stakeholder workgroups met on September 29, October 4, 8, 11, 19, and December 21, 2021.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Results of target setting, and data analysis will be posted and made available to the public on the Early Steps Program webpage at http://www.cms-kids.com/providers/early_steps/reports/program_performance.htm. The information will be posted no later than 120 days following the state’s submission of the SPP/APR.</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Florida reported to the public on the FFY 2019 performance of each LES Program in the state by posting local performance profiles on the Early Steps Program website on May 26, 2021. This reporting can be found at:</w:t>
      </w:r>
      <w:r w:rsidRPr="00ED172B">
        <w:rPr>
          <w:color w:val="000000" w:themeColor="text1"/>
          <w:szCs w:val="16"/>
        </w:rPr>
        <w:br/>
        <w:t xml:space="preserve">http://www.cms-kids.com/providers/early_steps/reports/program_performance.html </w:t>
      </w:r>
      <w:r w:rsidRPr="00ED172B">
        <w:rPr>
          <w:color w:val="000000" w:themeColor="text1"/>
          <w:szCs w:val="16"/>
        </w:rPr>
        <w:br/>
      </w:r>
      <w:r w:rsidRPr="00ED172B">
        <w:rPr>
          <w:color w:val="000000" w:themeColor="text1"/>
          <w:szCs w:val="16"/>
        </w:rPr>
        <w:br/>
        <w:t>The Early Steps State Office ensures this reporting is updated annually no later than 120 days following the state’s submission of the SPP/APR. Also available to the public on this website are the State Performance Plan/Annual Performance Report (SPP/APR) submitted February 2021, Florida’s Determination Letter, the State’s Annual Report, and the State Plan.</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lastRenderedPageBreak/>
        <w:b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57.00%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86.43%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89.03%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88.67%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89.39%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90.30%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280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330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90.30%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96.97%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included family schedule conflicts, child illness, and unsuccessful attempts to contact the family. Systems related reasons causing delays in receiving timely services were due to appointments not scheduled within the 30-day timeline and delayed referral between Service Coordinator and Provider causing delays in scheduling.</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Florida's criteria for "timely" receipt of early intervention services is as soon as possible, but within 30 calendar days from when the family consented to the service, unless there is documentation of a child or family related issue or natural disaster which caused the delay.</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a random sample of child records based on the local program's size. A total of 330 records were reviewed for this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Shortly after the COVID-19 pandemic began, the state Medicaid agency and private insurers began to cover telehealth services for children in Florida’s Part C Program. In addition, IDEA, Part C funds were used to fund telehealth services. The increase in the performance on this indicator is attributed to the fact that providers did not need to travel to provide services virtually and were able to better accommodate family schedules.</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a second round of reviews of child records for each of the seven LES Programs with findings of noncompliance. In November 2020, the Early Steps State Office reviewed updated data through a subsequent sample of 138 records for the seven programs. This was done by reviewing the record for each child’s IFSP documents and case notes with service start date information. All seven LES Programs achieved 100% compliance in this review. </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Thirty-two children in the seven LES Programs did not receive early intervention services in a timely manner. For each individual case of noncompliance, the Early Steps State Office verified that the responsible LES Program initiated services for each of the 32 children, although late. Verification was completed by requiring the LES Programs to provide follow up with documentation that confirms services were initiated.</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2018</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a subsequent review of child records for the one remaining LES Program with a finding of noncompliance. Data samples were reviewed for the period between February and May 2021 and again in October 2021. The Early Steps State Office reviewed an updated sample of 30 records for the LES Program. This was done by reviewing the record for each child’s IFSP documents and case notes with service start date information. The LES Program achieved 100% compliance in the subsequent review of the sample of records conducted in October 2021. </w:t>
      </w:r>
    </w:p>
    <w:p w14:paraId="6C821079" w14:textId="06CA6D74" w:rsidR="002F1A9A" w:rsidRPr="00ED172B" w:rsidRDefault="002F1A9A">
      <w:pPr>
        <w:rPr>
          <w:b/>
          <w:color w:val="000000" w:themeColor="text1"/>
        </w:rPr>
      </w:pPr>
      <w:r w:rsidRPr="00ED172B">
        <w:rPr>
          <w:b/>
          <w:color w:val="000000" w:themeColor="text1"/>
        </w:rPr>
        <w:lastRenderedPageBreak/>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Four children in the one remaining LES Program did not receive early intervention services in a timely manner. For each individual case of noncompliance, the Early Steps State Office verified that the LES Program initiated services for each of the four children, although late. Verification was completed by requiring the LES Programs to provide follow up with documentation that confirms services were initiated.</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one remaining finding of noncompliance identified in FFY 2018 was corrected.  When reporting on the correction of noncompliance, the State must report, in the FFY 2020 SPP/APR, that it has verified that the EIS program or provider with findings of noncompliance identified in FFY 2019 and the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45.00%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89.00%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91.00%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92.00%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94.11%</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92.56%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92.29%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92.89%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94.11%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90.06%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90.06%</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90.10%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90.30%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91.00%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91.50%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92.00%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 xml:space="preserve">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w:t>
      </w:r>
      <w:r w:rsidRPr="00ED172B">
        <w:rPr>
          <w:color w:val="000000" w:themeColor="text1"/>
        </w:rPr>
        <w:lastRenderedPageBreak/>
        <w:t>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14,193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15,712</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14,193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15,712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90.06%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90.06%</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90.33%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Early Steps State Office will continue to work with the LES offices on process improvement strategies to increase provider availability in natural environment settings. To ensure continuity of services during the pandemic, the state Medicaid agency and private insurers reimbursed providers for virtual early intervention services during the FY 2020-2021. The Early Steps State Office continues to advocate for the option of providing virtual services to ensure families have access to services based on the families needs and routines.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33.50%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35.00%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32.00%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26.03%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29.07%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29.12%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28.52%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29.75%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26.03%</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32.00%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26.03%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50.54%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66.09%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67.67%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60.10%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50.54%</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50.54%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94.12%</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74.60%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74.27%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53.40%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53.18%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53.49%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74.63%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74.27%</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74.60%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74.27%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66.67%</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46.00%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47.78%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41.12%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40.95%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50.91%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47.78%</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lastRenderedPageBreak/>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47.78%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94.12%</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86.80%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84.36%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51.36%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52.44%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51.33%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86.75%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84.36%</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86.80%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84.36%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69.70%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69.80%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69.90%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89.10%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87.66%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67.60%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64.86%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89.05%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87.66%</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89.10%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87.66%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94.12%</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26.03%</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26.04%</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26.05%</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26.06%</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26.50%</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27.00%</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Target A1 ALL &gt;=</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r w:rsidRPr="00ED172B">
              <w:rPr>
                <w:color w:val="000000" w:themeColor="text1"/>
              </w:rPr>
              <w:t>26.03%</w:t>
            </w:r>
          </w:p>
        </w:tc>
        <w:tc>
          <w:tcPr>
            <w:tcW w:w="714" w:type="pct"/>
            <w:vAlign w:val="center"/>
          </w:tcPr>
          <w:p w14:paraId="18F14A21" w14:textId="45B3CBBA" w:rsidR="00F4238C" w:rsidRPr="00ED172B" w:rsidRDefault="00F4238C" w:rsidP="00F4238C">
            <w:pPr>
              <w:jc w:val="center"/>
              <w:rPr>
                <w:color w:val="000000" w:themeColor="text1"/>
              </w:rPr>
            </w:pPr>
            <w:r w:rsidRPr="00ED172B">
              <w:rPr>
                <w:color w:val="000000" w:themeColor="text1"/>
              </w:rPr>
              <w:t>26.04%</w:t>
            </w:r>
          </w:p>
        </w:tc>
        <w:tc>
          <w:tcPr>
            <w:tcW w:w="714" w:type="pct"/>
            <w:vAlign w:val="center"/>
          </w:tcPr>
          <w:p w14:paraId="7BB59493" w14:textId="1D9B7ABC" w:rsidR="00F4238C" w:rsidRPr="00ED172B" w:rsidRDefault="00F4238C" w:rsidP="00F4238C">
            <w:pPr>
              <w:jc w:val="center"/>
              <w:rPr>
                <w:color w:val="000000" w:themeColor="text1"/>
              </w:rPr>
            </w:pPr>
            <w:r w:rsidRPr="00ED172B">
              <w:rPr>
                <w:color w:val="000000" w:themeColor="text1"/>
              </w:rPr>
              <w:t>26.05%</w:t>
            </w:r>
          </w:p>
        </w:tc>
        <w:tc>
          <w:tcPr>
            <w:tcW w:w="714" w:type="pct"/>
            <w:vAlign w:val="center"/>
          </w:tcPr>
          <w:p w14:paraId="0011BB46" w14:textId="70C041CE" w:rsidR="00F4238C" w:rsidRPr="00ED172B" w:rsidRDefault="00F4238C" w:rsidP="00F4238C">
            <w:pPr>
              <w:jc w:val="center"/>
              <w:rPr>
                <w:color w:val="000000" w:themeColor="text1"/>
              </w:rPr>
            </w:pPr>
            <w:r w:rsidRPr="00ED172B">
              <w:rPr>
                <w:color w:val="000000" w:themeColor="text1"/>
              </w:rPr>
              <w:t>26.06%</w:t>
            </w:r>
          </w:p>
        </w:tc>
        <w:tc>
          <w:tcPr>
            <w:tcW w:w="714" w:type="pct"/>
            <w:vAlign w:val="center"/>
          </w:tcPr>
          <w:p w14:paraId="434A2740" w14:textId="1AA96EEE" w:rsidR="00F4238C" w:rsidRPr="00ED172B" w:rsidRDefault="00F4238C" w:rsidP="00F4238C">
            <w:pPr>
              <w:jc w:val="center"/>
              <w:rPr>
                <w:color w:val="000000" w:themeColor="text1"/>
              </w:rPr>
            </w:pPr>
            <w:r w:rsidRPr="00ED172B">
              <w:rPr>
                <w:color w:val="000000" w:themeColor="text1"/>
              </w:rPr>
              <w:t>26.50%</w:t>
            </w:r>
          </w:p>
        </w:tc>
        <w:tc>
          <w:tcPr>
            <w:tcW w:w="714" w:type="pct"/>
            <w:vAlign w:val="center"/>
          </w:tcPr>
          <w:p w14:paraId="0ED08C49" w14:textId="711153EF" w:rsidR="00F4238C" w:rsidRPr="00ED172B" w:rsidRDefault="00F4238C" w:rsidP="00F4238C">
            <w:pPr>
              <w:jc w:val="center"/>
              <w:rPr>
                <w:color w:val="000000" w:themeColor="text1"/>
              </w:rPr>
            </w:pPr>
            <w:r w:rsidRPr="00ED172B">
              <w:rPr>
                <w:color w:val="000000" w:themeColor="text1"/>
              </w:rPr>
              <w:t>27.00%</w:t>
            </w: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50.54%</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50.55%</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50.56%</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51.00%</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53.00%</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55.00%</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Target A2 ALL &gt;=</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r w:rsidRPr="00ED172B">
              <w:rPr>
                <w:color w:val="000000" w:themeColor="text1"/>
              </w:rPr>
              <w:t>50.54%</w:t>
            </w:r>
          </w:p>
        </w:tc>
        <w:tc>
          <w:tcPr>
            <w:tcW w:w="714" w:type="pct"/>
            <w:vAlign w:val="center"/>
          </w:tcPr>
          <w:p w14:paraId="4B772F30" w14:textId="33A8E96C" w:rsidR="00F4238C" w:rsidRPr="00ED172B" w:rsidRDefault="00F4238C" w:rsidP="00F4238C">
            <w:pPr>
              <w:jc w:val="center"/>
              <w:rPr>
                <w:color w:val="000000" w:themeColor="text1"/>
              </w:rPr>
            </w:pPr>
            <w:r w:rsidRPr="00ED172B">
              <w:rPr>
                <w:color w:val="000000" w:themeColor="text1"/>
              </w:rPr>
              <w:t>50.55%</w:t>
            </w:r>
          </w:p>
        </w:tc>
        <w:tc>
          <w:tcPr>
            <w:tcW w:w="714" w:type="pct"/>
            <w:vAlign w:val="center"/>
          </w:tcPr>
          <w:p w14:paraId="365A27CB" w14:textId="720FA5E7" w:rsidR="00F4238C" w:rsidRPr="00ED172B" w:rsidRDefault="00F4238C" w:rsidP="00F4238C">
            <w:pPr>
              <w:jc w:val="center"/>
              <w:rPr>
                <w:color w:val="000000" w:themeColor="text1"/>
              </w:rPr>
            </w:pPr>
            <w:r w:rsidRPr="00ED172B">
              <w:rPr>
                <w:color w:val="000000" w:themeColor="text1"/>
              </w:rPr>
              <w:t>50.56%</w:t>
            </w:r>
          </w:p>
        </w:tc>
        <w:tc>
          <w:tcPr>
            <w:tcW w:w="714" w:type="pct"/>
            <w:vAlign w:val="center"/>
          </w:tcPr>
          <w:p w14:paraId="3BB56B0A" w14:textId="5D5C8EAB" w:rsidR="00F4238C" w:rsidRPr="00ED172B" w:rsidRDefault="00F4238C" w:rsidP="00F4238C">
            <w:pPr>
              <w:jc w:val="center"/>
              <w:rPr>
                <w:color w:val="000000" w:themeColor="text1"/>
              </w:rPr>
            </w:pPr>
            <w:r w:rsidRPr="00ED172B">
              <w:rPr>
                <w:color w:val="000000" w:themeColor="text1"/>
              </w:rPr>
              <w:t>51.00%</w:t>
            </w:r>
          </w:p>
        </w:tc>
        <w:tc>
          <w:tcPr>
            <w:tcW w:w="714" w:type="pct"/>
            <w:vAlign w:val="center"/>
          </w:tcPr>
          <w:p w14:paraId="39D845BC" w14:textId="42DA2AC9" w:rsidR="00F4238C" w:rsidRPr="00ED172B" w:rsidRDefault="00F4238C" w:rsidP="00F4238C">
            <w:pPr>
              <w:jc w:val="center"/>
              <w:rPr>
                <w:color w:val="000000" w:themeColor="text1"/>
              </w:rPr>
            </w:pPr>
            <w:r w:rsidRPr="00ED172B">
              <w:rPr>
                <w:color w:val="000000" w:themeColor="text1"/>
              </w:rPr>
              <w:t>53.00%</w:t>
            </w:r>
          </w:p>
        </w:tc>
        <w:tc>
          <w:tcPr>
            <w:tcW w:w="714" w:type="pct"/>
            <w:vAlign w:val="center"/>
          </w:tcPr>
          <w:p w14:paraId="38F814BD" w14:textId="46A833BE" w:rsidR="00F4238C" w:rsidRPr="00ED172B" w:rsidRDefault="00F4238C" w:rsidP="00F4238C">
            <w:pPr>
              <w:jc w:val="center"/>
              <w:rPr>
                <w:color w:val="000000" w:themeColor="text1"/>
              </w:rPr>
            </w:pPr>
            <w:r w:rsidRPr="00ED172B">
              <w:rPr>
                <w:color w:val="000000" w:themeColor="text1"/>
              </w:rPr>
              <w:t>55.00%</w:t>
            </w: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74.27%</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74.30%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74.63%</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74.90%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75.20%</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75.50%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Target B1 ALL &gt;=</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r w:rsidRPr="00ED172B">
              <w:rPr>
                <w:color w:val="000000" w:themeColor="text1"/>
              </w:rPr>
              <w:t>74.27%</w:t>
            </w:r>
          </w:p>
        </w:tc>
        <w:tc>
          <w:tcPr>
            <w:tcW w:w="714" w:type="pct"/>
            <w:vAlign w:val="center"/>
          </w:tcPr>
          <w:p w14:paraId="52251FE8" w14:textId="79AC3921" w:rsidR="00F4238C" w:rsidRPr="00ED172B" w:rsidRDefault="00F4238C" w:rsidP="00F4238C">
            <w:pPr>
              <w:jc w:val="center"/>
              <w:rPr>
                <w:color w:val="000000" w:themeColor="text1"/>
              </w:rPr>
            </w:pPr>
            <w:r w:rsidRPr="00ED172B">
              <w:rPr>
                <w:color w:val="000000" w:themeColor="text1"/>
              </w:rPr>
              <w:t>74.30%</w:t>
            </w:r>
          </w:p>
        </w:tc>
        <w:tc>
          <w:tcPr>
            <w:tcW w:w="714" w:type="pct"/>
            <w:vAlign w:val="center"/>
          </w:tcPr>
          <w:p w14:paraId="7545D98D" w14:textId="5F1899A1" w:rsidR="00F4238C" w:rsidRPr="00ED172B" w:rsidRDefault="00F4238C" w:rsidP="00F4238C">
            <w:pPr>
              <w:jc w:val="center"/>
              <w:rPr>
                <w:color w:val="000000" w:themeColor="text1"/>
              </w:rPr>
            </w:pPr>
            <w:r w:rsidRPr="00ED172B">
              <w:rPr>
                <w:color w:val="000000" w:themeColor="text1"/>
              </w:rPr>
              <w:t>74.63%</w:t>
            </w:r>
          </w:p>
        </w:tc>
        <w:tc>
          <w:tcPr>
            <w:tcW w:w="714" w:type="pct"/>
            <w:vAlign w:val="center"/>
          </w:tcPr>
          <w:p w14:paraId="13B7E100" w14:textId="4DCA8C08" w:rsidR="00F4238C" w:rsidRPr="00ED172B" w:rsidRDefault="00F4238C" w:rsidP="00F4238C">
            <w:pPr>
              <w:jc w:val="center"/>
              <w:rPr>
                <w:color w:val="000000" w:themeColor="text1"/>
              </w:rPr>
            </w:pPr>
            <w:r w:rsidRPr="00ED172B">
              <w:rPr>
                <w:color w:val="000000" w:themeColor="text1"/>
              </w:rPr>
              <w:t>74.90%</w:t>
            </w:r>
          </w:p>
        </w:tc>
        <w:tc>
          <w:tcPr>
            <w:tcW w:w="714" w:type="pct"/>
            <w:vAlign w:val="center"/>
          </w:tcPr>
          <w:p w14:paraId="103F6A56" w14:textId="6E6AE0E0" w:rsidR="00F4238C" w:rsidRPr="00ED172B" w:rsidRDefault="00F4238C" w:rsidP="00F4238C">
            <w:pPr>
              <w:jc w:val="center"/>
              <w:rPr>
                <w:color w:val="000000" w:themeColor="text1"/>
              </w:rPr>
            </w:pPr>
            <w:r w:rsidRPr="00ED172B">
              <w:rPr>
                <w:color w:val="000000" w:themeColor="text1"/>
              </w:rPr>
              <w:t>75.20%</w:t>
            </w:r>
          </w:p>
        </w:tc>
        <w:tc>
          <w:tcPr>
            <w:tcW w:w="714" w:type="pct"/>
            <w:vAlign w:val="center"/>
          </w:tcPr>
          <w:p w14:paraId="6BDF1498" w14:textId="1541E6A4" w:rsidR="00F4238C" w:rsidRPr="00ED172B" w:rsidRDefault="00F4238C" w:rsidP="00F4238C">
            <w:pPr>
              <w:jc w:val="center"/>
              <w:rPr>
                <w:color w:val="000000" w:themeColor="text1"/>
              </w:rPr>
            </w:pPr>
            <w:r w:rsidRPr="00ED172B">
              <w:rPr>
                <w:color w:val="000000" w:themeColor="text1"/>
              </w:rPr>
              <w:t>75.50%</w:t>
            </w: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47.78%</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47.80%</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47.90%</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48.50%</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49.50%</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50.91%</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Target B2 ALL &gt;=</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r w:rsidRPr="00ED172B">
              <w:rPr>
                <w:color w:val="000000" w:themeColor="text1"/>
              </w:rPr>
              <w:t>47.78%</w:t>
            </w:r>
          </w:p>
        </w:tc>
        <w:tc>
          <w:tcPr>
            <w:tcW w:w="714" w:type="pct"/>
            <w:vAlign w:val="center"/>
          </w:tcPr>
          <w:p w14:paraId="214BF16B" w14:textId="4A46F5F2" w:rsidR="00F4238C" w:rsidRPr="00ED172B" w:rsidRDefault="00F4238C" w:rsidP="00F4238C">
            <w:pPr>
              <w:jc w:val="center"/>
              <w:rPr>
                <w:color w:val="000000" w:themeColor="text1"/>
              </w:rPr>
            </w:pPr>
            <w:r w:rsidRPr="00ED172B">
              <w:rPr>
                <w:color w:val="000000" w:themeColor="text1"/>
              </w:rPr>
              <w:t>47.80%</w:t>
            </w:r>
          </w:p>
        </w:tc>
        <w:tc>
          <w:tcPr>
            <w:tcW w:w="714" w:type="pct"/>
            <w:vAlign w:val="center"/>
          </w:tcPr>
          <w:p w14:paraId="7979654B" w14:textId="1F561C35" w:rsidR="00F4238C" w:rsidRPr="00ED172B" w:rsidRDefault="00F4238C" w:rsidP="00F4238C">
            <w:pPr>
              <w:jc w:val="center"/>
              <w:rPr>
                <w:color w:val="000000" w:themeColor="text1"/>
              </w:rPr>
            </w:pPr>
            <w:r w:rsidRPr="00ED172B">
              <w:rPr>
                <w:color w:val="000000" w:themeColor="text1"/>
              </w:rPr>
              <w:t>47.90%</w:t>
            </w:r>
          </w:p>
        </w:tc>
        <w:tc>
          <w:tcPr>
            <w:tcW w:w="714" w:type="pct"/>
            <w:vAlign w:val="center"/>
          </w:tcPr>
          <w:p w14:paraId="412FDCC4" w14:textId="4584E82F" w:rsidR="00F4238C" w:rsidRPr="00ED172B" w:rsidRDefault="00F4238C" w:rsidP="00F4238C">
            <w:pPr>
              <w:jc w:val="center"/>
              <w:rPr>
                <w:color w:val="000000" w:themeColor="text1"/>
              </w:rPr>
            </w:pPr>
            <w:r w:rsidRPr="00ED172B">
              <w:rPr>
                <w:color w:val="000000" w:themeColor="text1"/>
              </w:rPr>
              <w:t>48.50%</w:t>
            </w:r>
          </w:p>
        </w:tc>
        <w:tc>
          <w:tcPr>
            <w:tcW w:w="714" w:type="pct"/>
            <w:vAlign w:val="center"/>
          </w:tcPr>
          <w:p w14:paraId="6435220B" w14:textId="16CC1F21" w:rsidR="00F4238C" w:rsidRPr="00ED172B" w:rsidRDefault="00F4238C" w:rsidP="00F4238C">
            <w:pPr>
              <w:jc w:val="center"/>
              <w:rPr>
                <w:color w:val="000000" w:themeColor="text1"/>
              </w:rPr>
            </w:pPr>
            <w:r w:rsidRPr="00ED172B">
              <w:rPr>
                <w:color w:val="000000" w:themeColor="text1"/>
              </w:rPr>
              <w:t>49.50%</w:t>
            </w:r>
          </w:p>
        </w:tc>
        <w:tc>
          <w:tcPr>
            <w:tcW w:w="714" w:type="pct"/>
            <w:vAlign w:val="center"/>
          </w:tcPr>
          <w:p w14:paraId="6567EDD7" w14:textId="2FD2F67A" w:rsidR="00F4238C" w:rsidRPr="00ED172B" w:rsidRDefault="00F4238C" w:rsidP="00F4238C">
            <w:pPr>
              <w:jc w:val="center"/>
              <w:rPr>
                <w:color w:val="000000" w:themeColor="text1"/>
              </w:rPr>
            </w:pPr>
            <w:r w:rsidRPr="00ED172B">
              <w:rPr>
                <w:color w:val="000000" w:themeColor="text1"/>
              </w:rPr>
              <w:t>50.91%</w:t>
            </w: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84.36%</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84.38%</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84.40%</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84.42%</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84.44%</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84.46%</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Target C1 ALL &gt;=</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r w:rsidRPr="00ED172B">
              <w:rPr>
                <w:color w:val="000000" w:themeColor="text1"/>
              </w:rPr>
              <w:t>84.36%</w:t>
            </w:r>
          </w:p>
        </w:tc>
        <w:tc>
          <w:tcPr>
            <w:tcW w:w="714" w:type="pct"/>
            <w:vAlign w:val="center"/>
          </w:tcPr>
          <w:p w14:paraId="6909A06F" w14:textId="3647C8C0" w:rsidR="00F4238C" w:rsidRPr="00ED172B" w:rsidRDefault="00F4238C" w:rsidP="00F4238C">
            <w:pPr>
              <w:jc w:val="center"/>
              <w:rPr>
                <w:color w:val="000000" w:themeColor="text1"/>
              </w:rPr>
            </w:pPr>
            <w:r w:rsidRPr="00ED172B">
              <w:rPr>
                <w:color w:val="000000" w:themeColor="text1"/>
              </w:rPr>
              <w:t>84.38%</w:t>
            </w:r>
          </w:p>
        </w:tc>
        <w:tc>
          <w:tcPr>
            <w:tcW w:w="714" w:type="pct"/>
            <w:vAlign w:val="center"/>
          </w:tcPr>
          <w:p w14:paraId="315CB3D8" w14:textId="7AED48C9" w:rsidR="00F4238C" w:rsidRPr="00ED172B" w:rsidRDefault="00F4238C" w:rsidP="00F4238C">
            <w:pPr>
              <w:jc w:val="center"/>
              <w:rPr>
                <w:color w:val="000000" w:themeColor="text1"/>
              </w:rPr>
            </w:pPr>
            <w:r w:rsidRPr="00ED172B">
              <w:rPr>
                <w:color w:val="000000" w:themeColor="text1"/>
              </w:rPr>
              <w:t>84.40%</w:t>
            </w:r>
          </w:p>
        </w:tc>
        <w:tc>
          <w:tcPr>
            <w:tcW w:w="714" w:type="pct"/>
            <w:vAlign w:val="center"/>
          </w:tcPr>
          <w:p w14:paraId="4C6C2010" w14:textId="7C0E3B74" w:rsidR="00F4238C" w:rsidRPr="00ED172B" w:rsidRDefault="00F4238C" w:rsidP="00F4238C">
            <w:pPr>
              <w:jc w:val="center"/>
              <w:rPr>
                <w:color w:val="000000" w:themeColor="text1"/>
              </w:rPr>
            </w:pPr>
            <w:r w:rsidRPr="00ED172B">
              <w:rPr>
                <w:color w:val="000000" w:themeColor="text1"/>
              </w:rPr>
              <w:t>84.42%</w:t>
            </w:r>
          </w:p>
        </w:tc>
        <w:tc>
          <w:tcPr>
            <w:tcW w:w="714" w:type="pct"/>
            <w:vAlign w:val="center"/>
          </w:tcPr>
          <w:p w14:paraId="6B16E14C" w14:textId="490BDBD5" w:rsidR="00F4238C" w:rsidRPr="00ED172B" w:rsidRDefault="00F4238C" w:rsidP="00F4238C">
            <w:pPr>
              <w:jc w:val="center"/>
              <w:rPr>
                <w:color w:val="000000" w:themeColor="text1"/>
              </w:rPr>
            </w:pPr>
            <w:r w:rsidRPr="00ED172B">
              <w:rPr>
                <w:color w:val="000000" w:themeColor="text1"/>
              </w:rPr>
              <w:t>84.44%</w:t>
            </w:r>
          </w:p>
        </w:tc>
        <w:tc>
          <w:tcPr>
            <w:tcW w:w="714" w:type="pct"/>
            <w:vAlign w:val="center"/>
          </w:tcPr>
          <w:p w14:paraId="67CE187E" w14:textId="66FD5C9C" w:rsidR="00F4238C" w:rsidRPr="00ED172B" w:rsidRDefault="00F4238C" w:rsidP="00F4238C">
            <w:pPr>
              <w:jc w:val="center"/>
              <w:rPr>
                <w:color w:val="000000" w:themeColor="text1"/>
              </w:rPr>
            </w:pPr>
            <w:r w:rsidRPr="00ED172B">
              <w:rPr>
                <w:color w:val="000000" w:themeColor="text1"/>
              </w:rPr>
              <w:t>84.46%</w:t>
            </w: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87.66%</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87.68%</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87.70%</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87.72%</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87.74%</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87.76%</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Target C2 ALL &gt;=</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r w:rsidRPr="00ED172B">
              <w:rPr>
                <w:color w:val="000000" w:themeColor="text1"/>
              </w:rPr>
              <w:t>87.66%</w:t>
            </w:r>
          </w:p>
        </w:tc>
        <w:tc>
          <w:tcPr>
            <w:tcW w:w="714" w:type="pct"/>
            <w:vAlign w:val="center"/>
          </w:tcPr>
          <w:p w14:paraId="18ABAD92" w14:textId="4929D32A" w:rsidR="00F4238C" w:rsidRPr="00ED172B" w:rsidRDefault="00F4238C" w:rsidP="00F4238C">
            <w:pPr>
              <w:jc w:val="center"/>
              <w:rPr>
                <w:color w:val="000000" w:themeColor="text1"/>
              </w:rPr>
            </w:pPr>
            <w:r w:rsidRPr="00ED172B">
              <w:rPr>
                <w:color w:val="000000" w:themeColor="text1"/>
              </w:rPr>
              <w:t>87.68%</w:t>
            </w:r>
          </w:p>
        </w:tc>
        <w:tc>
          <w:tcPr>
            <w:tcW w:w="714" w:type="pct"/>
            <w:vAlign w:val="center"/>
          </w:tcPr>
          <w:p w14:paraId="0D2E81AD" w14:textId="6496C520" w:rsidR="00F4238C" w:rsidRPr="00ED172B" w:rsidRDefault="00F4238C" w:rsidP="00F4238C">
            <w:pPr>
              <w:jc w:val="center"/>
              <w:rPr>
                <w:color w:val="000000" w:themeColor="text1"/>
              </w:rPr>
            </w:pPr>
            <w:r w:rsidRPr="00ED172B">
              <w:rPr>
                <w:color w:val="000000" w:themeColor="text1"/>
              </w:rPr>
              <w:t>87.70%</w:t>
            </w:r>
          </w:p>
        </w:tc>
        <w:tc>
          <w:tcPr>
            <w:tcW w:w="714" w:type="pct"/>
            <w:vAlign w:val="center"/>
          </w:tcPr>
          <w:p w14:paraId="4C316FD6" w14:textId="071558C9" w:rsidR="00F4238C" w:rsidRPr="00ED172B" w:rsidRDefault="00F4238C" w:rsidP="00F4238C">
            <w:pPr>
              <w:jc w:val="center"/>
              <w:rPr>
                <w:color w:val="000000" w:themeColor="text1"/>
              </w:rPr>
            </w:pPr>
            <w:r w:rsidRPr="00ED172B">
              <w:rPr>
                <w:color w:val="000000" w:themeColor="text1"/>
              </w:rPr>
              <w:t>87.72%</w:t>
            </w:r>
          </w:p>
        </w:tc>
        <w:tc>
          <w:tcPr>
            <w:tcW w:w="714" w:type="pct"/>
            <w:vAlign w:val="center"/>
          </w:tcPr>
          <w:p w14:paraId="1F9C421B" w14:textId="58FBC9AB" w:rsidR="00F4238C" w:rsidRPr="00ED172B" w:rsidRDefault="00F4238C" w:rsidP="00F4238C">
            <w:pPr>
              <w:jc w:val="center"/>
              <w:rPr>
                <w:color w:val="000000" w:themeColor="text1"/>
              </w:rPr>
            </w:pPr>
            <w:r w:rsidRPr="00ED172B">
              <w:rPr>
                <w:color w:val="000000" w:themeColor="text1"/>
              </w:rPr>
              <w:t>87.74%</w:t>
            </w:r>
          </w:p>
        </w:tc>
        <w:tc>
          <w:tcPr>
            <w:tcW w:w="714" w:type="pct"/>
            <w:vAlign w:val="center"/>
          </w:tcPr>
          <w:p w14:paraId="48A0C5B9" w14:textId="4E749D3B" w:rsidR="00F4238C" w:rsidRPr="00ED172B" w:rsidRDefault="00F4238C" w:rsidP="00F4238C">
            <w:pPr>
              <w:jc w:val="center"/>
              <w:rPr>
                <w:color w:val="000000" w:themeColor="text1"/>
              </w:rPr>
            </w:pPr>
            <w:r w:rsidRPr="00ED172B">
              <w:rPr>
                <w:color w:val="000000" w:themeColor="text1"/>
              </w:rPr>
              <w:t>87.76%</w:t>
            </w: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1,884</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30</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1.60%</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807</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43.11%</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178</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9.51%</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121</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6.46%</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736</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39.32%</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lastRenderedPageBreak/>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30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1.59%</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809</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42.94%</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178</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9.45%</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122</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6.48%</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745</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39.54%</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299</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1,136</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26.03%</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26.03%</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26.32%</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857</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1,872</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50.54%</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50.54%</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45.78%</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which resulted in an incomplete data set for this fiscal year.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 and resulted in a large reduction of completed assessments.</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300</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1,139</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50.00%</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26.03%</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26.34%</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867</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1,884</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50.54%</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46.02%</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10527D97" w14:textId="1A31261A" w:rsidR="00A01E85" w:rsidRPr="00ED172B" w:rsidRDefault="00A01E85" w:rsidP="00A01E85">
      <w:pPr>
        <w:rPr>
          <w:rFonts w:cs="Arial"/>
          <w:b/>
          <w:i/>
          <w:color w:val="000000" w:themeColor="text1"/>
          <w:szCs w:val="16"/>
        </w:rPr>
      </w:pPr>
      <w:r w:rsidRPr="00ED172B">
        <w:rPr>
          <w:b/>
          <w:color w:val="000000" w:themeColor="text1"/>
        </w:rPr>
        <w:t>Provide reasons for A2 AR/ALL slippage, if applicable</w:t>
      </w:r>
    </w:p>
    <w:p w14:paraId="47A8B982" w14:textId="2214B659"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which resulted in an incomplete data set for this fiscal year.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 and resulted in a large reduction of completed assessments.</w:t>
      </w:r>
    </w:p>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lastRenderedPageBreak/>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0.64%</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480</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25.64%</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550</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29.38%</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535</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28.58%</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295</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15.76%</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0.64%</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484</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25.69%</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550</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29.19%</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536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28.45%</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302</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16.03%</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1,085</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1,577</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74.27%</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74.27%</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68.80%</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830</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1,872</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47.78%</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47.78%</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44.34%</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20A5E901" w14:textId="53AFAA99" w:rsidR="00A01E85" w:rsidRPr="00ED172B" w:rsidRDefault="00A01E85" w:rsidP="00A01E85">
      <w:pPr>
        <w:rPr>
          <w:rFonts w:cs="Arial"/>
          <w:b/>
          <w:i/>
          <w:color w:val="000000" w:themeColor="text1"/>
          <w:szCs w:val="16"/>
        </w:rPr>
      </w:pPr>
      <w:r w:rsidRPr="00ED172B">
        <w:rPr>
          <w:b/>
          <w:color w:val="000000" w:themeColor="text1"/>
        </w:rPr>
        <w:t>Provide reasons for B1 slippage, if applicable</w:t>
      </w:r>
      <w:r w:rsidRPr="00ED172B">
        <w:rPr>
          <w:rFonts w:cs="Arial"/>
          <w:b/>
          <w:color w:val="000000" w:themeColor="text1"/>
          <w:szCs w:val="16"/>
        </w:rPr>
        <w:t xml:space="preserve"> </w:t>
      </w:r>
    </w:p>
    <w:p w14:paraId="17E8971E" w14:textId="636BADDC"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substantially increased their rate of growth by the time they </w:t>
            </w:r>
            <w:r w:rsidRPr="00ED172B">
              <w:rPr>
                <w:rFonts w:cs="Arial"/>
                <w:color w:val="000000" w:themeColor="text1"/>
                <w:szCs w:val="16"/>
              </w:rPr>
              <w:lastRenderedPageBreak/>
              <w:t>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1,086</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1,582</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66.67%</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74.27%</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68.65%</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838</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1,884</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47.78%</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44.48%</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0B55CFCB" w14:textId="4D471DBC"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B2 AR/ALL slippage, if applicable </w:t>
      </w:r>
    </w:p>
    <w:p w14:paraId="761150DF" w14:textId="2FEE0757" w:rsidR="00A01E85" w:rsidRDefault="001E39E3" w:rsidP="001E39E3">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14</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0.75%</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235</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12.55%</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154</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8.23%</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546</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29.17%</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923</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49.31%</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14</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0.74%</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237</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12.58%</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154</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8.17%</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547</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29.03%</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932</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49.47%</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700</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949</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84.36%</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84.36%</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73.76%</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1,469</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1,872</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87.66%</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87.66%</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78.47%</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6D98A7CF" w14:textId="7493D54A"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C1 slippage, if applicable </w:t>
      </w:r>
    </w:p>
    <w:p w14:paraId="146AAB62" w14:textId="760455BF" w:rsidR="00A01E85" w:rsidRDefault="005C14C2" w:rsidP="005C14C2">
      <w:pPr>
        <w:rPr>
          <w:color w:val="000000" w:themeColor="text1"/>
        </w:rPr>
      </w:pPr>
      <w:r w:rsidRPr="00ED172B">
        <w:rPr>
          <w:color w:val="000000" w:themeColor="text1"/>
        </w:rPr>
        <w:t xml:space="preserve">Florida’s statewide slippage is attributed to be a result of data quality issues related to the collection and reporting of statewide child outcomes data. The COVID-19 pandemic greatly reduced the number of exit assessments conducted in during the FY 2020-2021. There was an average of 4,200 less children with completed assessments across the three outcome areas. The Early Steps Program allowed the use of telemedicine as an alternative </w:t>
      </w:r>
      <w:r w:rsidRPr="00ED172B">
        <w:rPr>
          <w:color w:val="000000" w:themeColor="text1"/>
        </w:rPr>
        <w:lastRenderedPageBreak/>
        <w:t>option for service delivery during the public health emergency; however, the use of the BDI-2 and its design to be used with a child in a face-to-face setting did not lend itself as usable evaluation tool during this time.</w:t>
      </w:r>
    </w:p>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701</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952</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84.36%</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73.63%</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1,479</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1,884</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87.66%</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78.50%</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1CBB0034" w14:textId="1575EF83" w:rsidR="00A01E85" w:rsidRPr="00ED172B" w:rsidRDefault="00A01E85" w:rsidP="00A01E85">
      <w:pPr>
        <w:rPr>
          <w:rFonts w:cs="Arial"/>
          <w:b/>
          <w:i/>
          <w:color w:val="000000" w:themeColor="text1"/>
          <w:szCs w:val="16"/>
        </w:rPr>
      </w:pPr>
      <w:r w:rsidRPr="00ED172B">
        <w:rPr>
          <w:b/>
          <w:color w:val="000000" w:themeColor="text1"/>
        </w:rPr>
        <w:t xml:space="preserve">Provide reasons for C1 AR/ALL slippage, if applicable </w:t>
      </w:r>
    </w:p>
    <w:p w14:paraId="4D0388EE" w14:textId="682575E7" w:rsidR="00A01E85" w:rsidRDefault="005C14C2" w:rsidP="005C14C2">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1BA8FB96" w14:textId="75927CD2" w:rsidR="00A01E85" w:rsidRPr="00ED172B" w:rsidRDefault="00A01E85" w:rsidP="00A01E85">
      <w:pPr>
        <w:rPr>
          <w:rFonts w:cs="Arial"/>
          <w:b/>
          <w:i/>
          <w:color w:val="000000" w:themeColor="text1"/>
          <w:szCs w:val="16"/>
        </w:rPr>
      </w:pPr>
      <w:r w:rsidRPr="00ED172B">
        <w:rPr>
          <w:b/>
          <w:color w:val="000000" w:themeColor="text1"/>
        </w:rPr>
        <w:t>Provide reasons for C2 AR/ALL slippage, if applicable</w:t>
      </w:r>
      <w:r w:rsidRPr="00ED172B">
        <w:rPr>
          <w:rFonts w:cs="Arial"/>
          <w:b/>
          <w:color w:val="000000" w:themeColor="text1"/>
          <w:szCs w:val="16"/>
        </w:rPr>
        <w:t xml:space="preserve"> </w:t>
      </w:r>
    </w:p>
    <w:p w14:paraId="3CC87D43" w14:textId="7871A901" w:rsidR="00A01E85" w:rsidRPr="00ED172B" w:rsidRDefault="005C14C2" w:rsidP="005C14C2">
      <w:pPr>
        <w:rPr>
          <w:color w:val="000000" w:themeColor="text1"/>
        </w:rPr>
      </w:pPr>
      <w:r w:rsidRPr="00ED172B">
        <w:rPr>
          <w:color w:val="000000" w:themeColor="text1"/>
        </w:rPr>
        <w:t>Florida’s statewide slippage is attributed to be a result of data quality issues related to the collection and reporting of statewide child outcomes data. The COVID-19 pandemic greatly reduced the number of exit assessments conducted in during the FY 2020-2021. There was an average of 4,200 less children with completed assessments across the three outcome areas. The Early Steps Program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15,209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2,288</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Early Steps Program used the Battelle Developmental Inventory, 2nd Edition (BDI-2) as the primary entry and exit evaluation to measure child outcomes. The BDI-2 is a "standardized, individually administered assessment battery of key developmental skills in children from birth through seven years of age" [Source: Battelle Developmental Inventory – Examiner’s Manual]. Florida’s child outcomes measurement system uses scores from the Personal-Social domain of the BDI-2 to determine category placement for Indicator 3A, scores from the Cognitive and Communication domains of the BDI-2 to determine category placement for Indicator 3B, and scores from the Adaptive and Motor domains of the BDI-2 to determine category placement for Indicator 3C. The actual target data are derived from assessments administered upon entry into and exit from Early Steps for eligible children in all LES Programs. Local Early Steps Program employees enter results for assessments in the BDI-2 Data Manager online scoring and reporting program. Data are exported from the Data Manager and a de-identified data file, consisting of all records with sufficient data to be included in the state report is sent to the University of Miami, whose staff completes the analyses that produces the category assignments. </w:t>
      </w:r>
      <w:r w:rsidRPr="00ED172B">
        <w:rPr>
          <w:rFonts w:cs="Arial"/>
          <w:color w:val="000000" w:themeColor="text1"/>
          <w:szCs w:val="16"/>
        </w:rPr>
        <w:br/>
      </w:r>
      <w:r w:rsidRPr="00ED172B">
        <w:rPr>
          <w:rFonts w:cs="Arial"/>
          <w:color w:val="000000" w:themeColor="text1"/>
          <w:szCs w:val="16"/>
        </w:rPr>
        <w:br/>
        <w:t xml:space="preserve">The Early Steps Program decided at the end of FY 2019-2020 to transition from the BDI-2 as Florida’s tool to determine a child’s entry-exit progress and replace it with the Early Childhood Outcomes Center (ECO) Child Outcome Summary (COS) process. Early Steps began using the COS with all children entering the program on or after December 1, 2020. For those children who received an entry assessment before December 1, 2020, Early Steps will continue using the BDI-2 tool for their exit assessment. There were 24 children who were in the program for six months and received an entry and exit </w:t>
      </w:r>
      <w:r w:rsidRPr="00ED172B">
        <w:rPr>
          <w:rFonts w:cs="Arial"/>
          <w:color w:val="000000" w:themeColor="text1"/>
          <w:szCs w:val="16"/>
        </w:rPr>
        <w:lastRenderedPageBreak/>
        <w:t>COS rating. The COS process uses multiple sources of information rather than only one standardized tool. This process guides a team of parents, providers, and other community members who interact with a child during their daily routines to share and discuss all the available evidence of how that child functions. The team comes to a consensus that aligns with a rating scale. The data are entered on a COS Data Calculator Spreadsheet and sent to the Early Steps State Office and provided to the University of Miami to complete the analyses.</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BDI-2 and COS data were combined and reported together for this Indicator. </w:t>
      </w:r>
      <w:r w:rsidRPr="00ED172B">
        <w:rPr>
          <w:rFonts w:cs="Arial"/>
          <w:color w:val="000000" w:themeColor="text1"/>
          <w:szCs w:val="16"/>
        </w:rPr>
        <w:br/>
      </w:r>
      <w:r w:rsidRPr="00ED172B">
        <w:rPr>
          <w:rFonts w:cs="Arial"/>
          <w:color w:val="000000" w:themeColor="text1"/>
          <w:szCs w:val="16"/>
        </w:rPr>
        <w:br/>
        <w:t>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is believed to impact our ability to compare future data to historical data and previous target data that was set when the BDI-2 was the exclusive tool to measure child outcomes. After reviewing historical data with stakeholder workgroups, Florida would like to reset the baseline data for Indicator 3 using FY2019 data; for 3A1 from 31.80 % to 26.03%, 3A,2 from 68.80% to 50.54%, for 3B1 from 54.20% to 74.27%, 3B2 from 44.00% to 47.76% and 3C1 from 54.10% to 84.36% and 3C2 from 69.40% to 87.66%</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84.60%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55.90%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82.20%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80.54%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83.96%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86.44%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81.49%</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52.50%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79.19%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77.66%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81.17%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81.49%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92.26%</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57.60%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90.95%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92.04%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92.05%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92.26%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93.28%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87.00%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87.50%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88.00%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88.50%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89.00%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89.50%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83.60%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83.80%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84.00%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84.20%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84.40%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84.60%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93.40%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93.60%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93.80%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94.00%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94.20%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94.40%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2,441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1,428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58.50%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1,251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1,428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1,206</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1,428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1,349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1,428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86.44%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87.00%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87.61%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83.60%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84.45%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93.28%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93.40%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94.47%</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61.60%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58.50%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Family Resource Specialist from each LES will identify all families who are eligible to take the family survey and attempt multiple contacts to ensure survey completion. Additional survey methods are being explored in order to increase access.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The Early Steps State Office continues to work with the Family Resource Specialists to educate families on the importance of collecting Family Outcomes data and to promote the increase of overall responses for all families enrolled in the Part C Program. Family Survey Leads meet monthly during the Family Survey period to discuss strategies to streamline methods of distribution and ideas to increase responsiveness of all families.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representativeness of the survey was assessed by examining the demographic characteristics of the children by the parents that responded to the survey with the demographic characteristics of children enrolled in Florida Part C Program. The race/ethnicity as received in survey response data &lt;1% indicated American Indian or Alaskan Native and .2% were reported in Child Count; 2% indicated Asian and 2.02% were reported in the Child Count; 19% indicated Black or African American and 20.13% were reported in Child Count; 39% indicated Hispanic/Latino and 39.9% were reported in Child Count; 4% indicated Muti-racial and 3.48% were reported in Child Count; &lt;1% indicated Native Hawaiian or Other Pacific Islander and .08% were reported in Child Count; 36% indicated White and 34.2% were reported in Child Count.</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ECTA Center Response Rate and Representativeness Calculator was used and the families responding to the survey are representative of the overall demographics of the infants, toddlers and families enrolled in the Part C Program. However, there was a slight difference of -3% for African American or Black representative in the response rate.</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National Center for Special Education Accountability Monitoring (NCSEAM) survey was utilized as the measurement tool for Indicator 4. All families with children who had an initial IFSP for at least six months and exiting the program between February 1, 2021, and May 1, 2021, were offered the opportunity to submit a survey. The distribution process utilized personal contact with the families by the Service Coordinator, Family Resource Specialist, and providers working with the child and family.</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lastRenderedPageBreak/>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0.73%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0.73%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0.74%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0.74%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0.71%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0.87%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0.74%</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0.75%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0.77%</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0.80%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0.87%</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 xml:space="preserve">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w:t>
      </w:r>
      <w:r w:rsidRPr="00ED172B">
        <w:rPr>
          <w:color w:val="000000" w:themeColor="text1"/>
        </w:rPr>
        <w:lastRenderedPageBreak/>
        <w:t>data for Indicator 3 using FY 2019 data: for 3A1 from 31.80 % to 26.03%, 3A2 from 68.80% to 50.54%, 3B1 from 54.20% to 74.27%, 3B2 from 44.00% to 47.78%, 3C1 from 54.10% to 84.36% and 3C2 from 69.40% to 87.66%.</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1,480</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219,558</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1,480</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219,558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0.87%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For FY 2020-2021, Florida Part C experienced a 3 percent decrease in the percentage of children determined eligible compared to FY 2019-2020. The decrease is attributed to effects of the COVID-19 pandemic throughout the fiscal year which caused families to delay referral and evaluation.</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Early Steps Program is working on a comprehensive marketing plan to increase public awareness materials, revitalize website information, and develop tools to educate physicians, hospitals, birthing facilities and community agencies to increase visibility of the program.</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2012</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1.89%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1.91%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1.93%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2.47%</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1.98%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2.17%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2.29%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2.47%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2.84%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2.85%</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2.90%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3.05%</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3.10%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3.15%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15,712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669,471</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15,712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669,471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For FY 2020-2021, Florida Part C experienced a 3 percent decrease in the percentage of children determined eligible compared to FY 2019-2020. The decrease is attributed to effects of the COVID-19 pandemic throughout the fiscal year which caused families to delay referral and evaluation.</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Early Steps Program is working on a comprehensive marketing plan to increase public awareness materials, revitalize website information and develop tools to educate physicians, hospitals, birthing facilities and community agencies to increase visibility of the program. Each LES is working to identify a staff member in each program to fulfill the role as Child Find Specialist. This member will work to ensure infants and toddlers in each community who are eligible for services are identified, located, and evaluated for early intervention services.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95.36%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96.13%</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84.33%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90.30%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91.21%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261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330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91.21%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98.18%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Exceptional family circumstances included family schedule conflicts, child illness and unsuccessful attempts to contact the family. Other system related delays were due to evaluation appointments not scheduled within the 45-day timeline.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All 15 LES Programs are monitored annually. This year's monitoring utilized a review of child record documentation and data. The monitoring sample was comprised of randomly selected child records based on local program size. A total of 330 records were reviewed. State staff reviewed each record to determine if an initial IFSP meeting was conducted within Part C's 45-day timeline.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To ensure noncompliant practices have been revised and the LES Programs are correctly implementing the regulatory requirements, the Early Steps State Office conducted a subsequent review of child records for each of the six LES Programs with a finding of noncompliance for this indicator. The data was from the months of September through November 2020. The Early Steps State Office reviewed updated data through a subsequent sample of 93 records for the six programs. This was done by reviewing the referral and IFSP dates in the data system and verifying the information with the referral form and IFSP documents provided by the LES Programs. The six programs achieved 100% compliance in the subsequent review.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Twenty-nine children did not receive an initial evaluation and assessment and an initial IFSP meeting conducted within Part C's 45-day timeline. For each individual case of noncompliance, the Early Steps State Office verified that the LES Program conducted the evaluation and assessment and Individualized Family Support Plan (IFSP) meeting for each child, although late. The verification was based on follow up reporting and reviews by the LES Program with documentation of individual children whose evaluation and assessment and initial IFSP meeting had not been completed within the original 45 days.</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74D5DEEF" w14:textId="33CC54A6" w:rsidR="008203B4" w:rsidRPr="00A40EE1" w:rsidRDefault="000D0117" w:rsidP="005C3FFD">
      <w:pPr>
        <w:pStyle w:val="Heading2"/>
      </w:pPr>
      <w:r w:rsidRPr="00A40EE1">
        <w:t xml:space="preserve">7 - </w:t>
      </w:r>
      <w:r w:rsidR="008203B4" w:rsidRPr="00A40EE1">
        <w:t>OSEP Response</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93.57%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93.23%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91.00%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95.45%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92.73%</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296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330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92.73%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98.18%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28</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Exceptional family circumstances included family schedule conflicts, child illness and unsuccessful attempts to contact the family. Other system related  delays were due to service coordinator error in scheduling timely transition conferences with the family which resulted in the IFSP with transition steps and services at least 90 days, and at the discretion of all parties, not more than nine months, prior to the toddler's third birthday being late.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randomly selected child records based on local program size. A total of 330 records were reviewed. The Early Steps State Office will continue to monitor and ensure adequate training is conducted and that best practices for transition are being followed.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Shortly after the COVID-19 pandemic began, the state Medicaid agency and private insurers began to cover telehealth services for children in Florida’s Part C Program. In addition, IDEA, Part C funds were used to fund telehealth services. The increase in the performance of this indicator is attributed to the fact that providers did not need to travel to hold to conduct the transition conference and complete the IFSP with transition steps and services.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a second review of child records for each of the seven LES Programs with findings of noncompliance. The Early Steps State Office reviewed updated data through a subsequent sample of 108 records for the seven LES Programs. This was conducted by reviewing a subsequent sample of IFSP records to ensure steps and services were provided within at least 90 days and not more than nine months prior to the toddler’s third birthday. The seven LES Programs achieved 100% compliance in the subsequent review of the sample of records.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Twenty-four children did not receive an IFSP with transition steps and services within at least 90 days and at the discretion of all parties, not more than nine months prior to the toddler's third birthday. The Early Steps State Office verified that that the LES Programs developed an IFSP with transition steps and services, although late, for the 24 children. This verification was based on follow up reporting and review of documentation provided by the LES Programs.</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88.00%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85.56%</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96.44%</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95.29%</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96.30%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97.53%</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316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330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97.53%</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98.44%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9</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Several LES Programs did not track the notification due date in a timely manner when the child entered the program very close to 90 days before the child’s third birthday which resulted in the notifications being sent late to the Local Education Agency and State Education Agency.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data source for this indicator comes from monitoring. All 15 LES Programs are monitored annually. This year's monitoring utilized a review of child record documentation and data verifying both notification to each Local Education Agency and the State Education Agency. The monitoring sample was comprised of randomly selected child records based on local program size. A total of 330 records were reviewed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15 LES Programs are monitored annually for this indicator. This year's monitoring utilized a review of child record documentation and data. The monitoring sample was comprised of randomly selected child records based on local program size. A total of 330 records were reviewed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Early Steps State Office will continue to monitor and offer training to ensure LES Programs run reports for tracking due dates to ensure timely notification.</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To ensure noncompliant practices have been revised and the LES Programs are correctly implementing the regulatory requirements, the Early Steps State Office conducted a subsequent review of child records for each of the four LES Programs with findings of noncompliance. The Early Steps State Office reviewed a subsequent sample of 52 records for the four LES Programs with findings. The four LES Programs achieved 100% compliance on the subsequent reviews. This review verified correction of all four programs with findings. This was completed by reviewing a subsequent sample of notification lists sent to the Local Education Agency and State Education Agency and verifying the information was sent in a timely manner at least 90 days prior to the toddler’s third birthday.</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Notification to the State Education Agency (SEA) and the Local Education Agency (LEA) where the toddler resides was late for eleven children. The Early Steps State Office verified that the LES Program provided notification to the State Education Agency (SEA) and the Local Education Agency (LEA) where the toddler resides. Although notification was sent outside of the 90-day notification period requirement, it did occur prior to each toddler’s third birthday for all eleven toddlers. This verification was based on follow up reporting and review of documentation provided by the LES Program.</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93.93%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93.53%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92.00%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95.76%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92.73%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296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330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92.73%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98.18%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Exceptional family circumstances included family schedule conflicts, child illness and unsuccessful attempts to contact the family. Other systems related delays were due to service coordinator error in scheduling timely transition conferences with the family which resulted in the transition conference not being held at least 90 days, and at the discretion of all parties, not more than nine months, prior to the toddler's third birthday.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randomly selected child records based on local program size. A total of 330 records were reviewed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Shortly after the COVID-19 pandemic began, the state Medicaid agency and private insurers began to cover telehealth services for children in Florida’s Part C Program. In addition, IDEA, Part C funds were used to fund telehealth services. The increase in the percentage of this indicator is attributed to the fact that providers did not need to travel in order to conduct the transition conference.</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To ensure noncompliant practices have been revised and the LES Programs are correctly implementing the regulatory requirements, the Early Steps State Office conducted a second review of child records for each of the seven LES Programs with findings of noncompliance. The Early Steps State Office reviewed updated data through a subsequent sample of 108 records for the seven LES Programs. This was completed by reviewing a subsequent sample of IFSP records to ensure the transition conference was conducted within at least 90 days and not more than nine months prior to the toddler’s third birthday. The seven LES Programs achieved 100% compliance in the subsequent review of the sample of records.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Twenty-four children did not receive a transition conference within at least 90 days and at the discretion of all parties, not more than nine months prior to the toddler's third birthday. The Early Steps State Office verified that the LES Program did conduct a transition conference. Although late, the transition conference was held before the toddler’s third birthday for all twenty four children. This verification was based on follow up reporting and review of documentation provided by the LES Program.</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p>
    <w:p w14:paraId="409A40FB" w14:textId="7F33A15E" w:rsidR="00DC16A4" w:rsidRPr="00ED172B" w:rsidRDefault="00C93FA8">
      <w:pPr>
        <w:rPr>
          <w:b/>
          <w:color w:val="000000" w:themeColor="text1"/>
        </w:rPr>
      </w:pPr>
      <w:bookmarkStart w:id="54" w:name="_Toc382731913"/>
      <w:bookmarkStart w:id="55"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Florida is transitioning the methodology for collecting Indicator 3 Early Child Outcomes data from the Battelle Developmental Inventory, 2nd Edition (BDI-</w:t>
      </w:r>
      <w:r w:rsidRPr="00ED172B">
        <w:rPr>
          <w:color w:val="000000" w:themeColor="text1"/>
        </w:rPr>
        <w:lastRenderedPageBreak/>
        <w:t>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2A44ABCF" w14:textId="6B1152E6" w:rsidR="00F80C9C" w:rsidRPr="00ED172B" w:rsidRDefault="004761C7" w:rsidP="00B83404">
      <w:pPr>
        <w:rPr>
          <w:color w:val="000000" w:themeColor="text1"/>
        </w:rPr>
      </w:pPr>
      <w:r w:rsidRPr="00ED172B">
        <w:rPr>
          <w:rFonts w:cs="Arial"/>
          <w:color w:val="000000" w:themeColor="text1"/>
          <w:szCs w:val="16"/>
        </w:rPr>
        <w:t>Florida did not have any hearing requests during this time period and no resolution sessions held.</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6EF25D87" w14:textId="3CCD9C77" w:rsidR="0097671A" w:rsidRPr="00ED172B" w:rsidRDefault="0097671A" w:rsidP="00B83404">
      <w:pPr>
        <w:rPr>
          <w:color w:val="000000" w:themeColor="text1"/>
        </w:rPr>
      </w:pPr>
      <w:r w:rsidRPr="00ED172B">
        <w:rPr>
          <w:b/>
          <w:color w:val="000000" w:themeColor="text1"/>
        </w:rPr>
        <w:t>Targets</w:t>
      </w: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TARGETS1"/>
      </w:tblPr>
      <w:tblGrid>
        <w:gridCol w:w="723"/>
        <w:gridCol w:w="886"/>
        <w:gridCol w:w="885"/>
        <w:gridCol w:w="885"/>
        <w:gridCol w:w="885"/>
        <w:gridCol w:w="885"/>
        <w:gridCol w:w="885"/>
        <w:gridCol w:w="885"/>
        <w:gridCol w:w="880"/>
        <w:gridCol w:w="880"/>
        <w:gridCol w:w="880"/>
        <w:gridCol w:w="880"/>
        <w:gridCol w:w="878"/>
      </w:tblGrid>
      <w:tr w:rsidR="00DE5B96" w:rsidRPr="00ED172B" w14:paraId="5E671CD2" w14:textId="139BA0A4" w:rsidTr="00DE5B96">
        <w:trPr>
          <w:trHeight w:val="410"/>
          <w:tblHeader/>
        </w:trPr>
        <w:tc>
          <w:tcPr>
            <w:tcW w:w="319" w:type="pct"/>
            <w:tcBorders>
              <w:bottom w:val="single" w:sz="4" w:space="0" w:color="auto"/>
            </w:tcBorders>
            <w:shd w:val="clear" w:color="auto" w:fill="auto"/>
          </w:tcPr>
          <w:p w14:paraId="62FAFC27" w14:textId="77777777" w:rsidR="00DE5B96" w:rsidRPr="00ED172B" w:rsidRDefault="00DE5B96" w:rsidP="00DE5B96">
            <w:pPr>
              <w:jc w:val="center"/>
              <w:rPr>
                <w:b/>
                <w:color w:val="000000" w:themeColor="text1"/>
              </w:rPr>
            </w:pPr>
            <w:r w:rsidRPr="00ED172B">
              <w:rPr>
                <w:b/>
                <w:color w:val="000000" w:themeColor="text1"/>
              </w:rPr>
              <w:t>FFY</w:t>
            </w:r>
          </w:p>
        </w:tc>
        <w:tc>
          <w:tcPr>
            <w:tcW w:w="391" w:type="pct"/>
            <w:shd w:val="clear" w:color="auto" w:fill="auto"/>
            <w:vAlign w:val="center"/>
          </w:tcPr>
          <w:p w14:paraId="3A6B15A6" w14:textId="3EFC9563" w:rsidR="00DE5B96" w:rsidRPr="00227B50" w:rsidRDefault="00DE5B96" w:rsidP="00DE5B96">
            <w:pPr>
              <w:jc w:val="center"/>
              <w:rPr>
                <w:b/>
                <w:color w:val="000000" w:themeColor="text1"/>
              </w:rPr>
            </w:pPr>
            <w:r w:rsidRPr="00227B50">
              <w:rPr>
                <w:b/>
                <w:color w:val="000000" w:themeColor="text1"/>
              </w:rPr>
              <w:t>2020 (low)</w:t>
            </w:r>
          </w:p>
        </w:tc>
        <w:tc>
          <w:tcPr>
            <w:tcW w:w="391" w:type="pct"/>
            <w:shd w:val="clear" w:color="auto" w:fill="auto"/>
            <w:vAlign w:val="center"/>
          </w:tcPr>
          <w:p w14:paraId="51A8449A" w14:textId="7AFBD419" w:rsidR="00DE5B96" w:rsidRPr="00227B50" w:rsidRDefault="00DE5B96" w:rsidP="00DE5B96">
            <w:pPr>
              <w:jc w:val="center"/>
              <w:rPr>
                <w:b/>
                <w:color w:val="000000" w:themeColor="text1"/>
              </w:rPr>
            </w:pPr>
            <w:r w:rsidRPr="00227B50">
              <w:rPr>
                <w:b/>
                <w:color w:val="000000" w:themeColor="text1"/>
              </w:rPr>
              <w:t>2020 (high)</w:t>
            </w:r>
          </w:p>
        </w:tc>
        <w:tc>
          <w:tcPr>
            <w:tcW w:w="391" w:type="pct"/>
            <w:vAlign w:val="center"/>
          </w:tcPr>
          <w:p w14:paraId="4E9CF51C" w14:textId="14270D10" w:rsidR="00DE5B96" w:rsidRPr="00227B50" w:rsidRDefault="00DE5B96" w:rsidP="00DE5B96">
            <w:pPr>
              <w:jc w:val="center"/>
              <w:rPr>
                <w:b/>
                <w:color w:val="000000" w:themeColor="text1"/>
              </w:rPr>
            </w:pPr>
            <w:r w:rsidRPr="00227B50">
              <w:rPr>
                <w:b/>
                <w:color w:val="000000" w:themeColor="text1"/>
              </w:rPr>
              <w:t>2021 (low)</w:t>
            </w:r>
          </w:p>
        </w:tc>
        <w:tc>
          <w:tcPr>
            <w:tcW w:w="391" w:type="pct"/>
            <w:vAlign w:val="center"/>
          </w:tcPr>
          <w:p w14:paraId="76742057" w14:textId="06054426" w:rsidR="00DE5B96" w:rsidRPr="00227B50" w:rsidRDefault="00DE5B96" w:rsidP="00DE5B96">
            <w:pPr>
              <w:jc w:val="center"/>
              <w:rPr>
                <w:b/>
                <w:color w:val="000000" w:themeColor="text1"/>
              </w:rPr>
            </w:pPr>
            <w:r w:rsidRPr="00227B50">
              <w:rPr>
                <w:b/>
                <w:color w:val="000000" w:themeColor="text1"/>
              </w:rPr>
              <w:t>2021 (high)</w:t>
            </w:r>
          </w:p>
        </w:tc>
        <w:tc>
          <w:tcPr>
            <w:tcW w:w="391" w:type="pct"/>
            <w:vAlign w:val="center"/>
          </w:tcPr>
          <w:p w14:paraId="794544C5" w14:textId="02CA8B79" w:rsidR="00DE5B96" w:rsidRPr="00227B50" w:rsidRDefault="00DE5B96" w:rsidP="00DE5B96">
            <w:pPr>
              <w:jc w:val="center"/>
              <w:rPr>
                <w:b/>
                <w:color w:val="000000" w:themeColor="text1"/>
              </w:rPr>
            </w:pPr>
            <w:r w:rsidRPr="00227B50">
              <w:rPr>
                <w:b/>
                <w:color w:val="000000" w:themeColor="text1"/>
              </w:rPr>
              <w:t>2022 (low)</w:t>
            </w:r>
          </w:p>
        </w:tc>
        <w:tc>
          <w:tcPr>
            <w:tcW w:w="391" w:type="pct"/>
            <w:vAlign w:val="center"/>
          </w:tcPr>
          <w:p w14:paraId="716C2144" w14:textId="7841703C" w:rsidR="00DE5B96" w:rsidRPr="00227B50" w:rsidRDefault="00DE5B96" w:rsidP="00DE5B96">
            <w:pPr>
              <w:jc w:val="center"/>
              <w:rPr>
                <w:b/>
                <w:color w:val="000000" w:themeColor="text1"/>
              </w:rPr>
            </w:pPr>
            <w:r w:rsidRPr="00227B50">
              <w:rPr>
                <w:b/>
                <w:color w:val="000000" w:themeColor="text1"/>
              </w:rPr>
              <w:t>2022 (high)</w:t>
            </w:r>
          </w:p>
        </w:tc>
        <w:tc>
          <w:tcPr>
            <w:tcW w:w="391" w:type="pct"/>
            <w:vAlign w:val="center"/>
          </w:tcPr>
          <w:p w14:paraId="48FB4810" w14:textId="01A0DE3C" w:rsidR="00DE5B96" w:rsidRPr="00227B50" w:rsidRDefault="00DE5B96" w:rsidP="00DE5B96">
            <w:pPr>
              <w:jc w:val="center"/>
              <w:rPr>
                <w:b/>
                <w:color w:val="000000" w:themeColor="text1"/>
              </w:rPr>
            </w:pPr>
            <w:r w:rsidRPr="00227B50">
              <w:rPr>
                <w:b/>
                <w:color w:val="000000" w:themeColor="text1"/>
              </w:rPr>
              <w:t>2023 (low)</w:t>
            </w:r>
          </w:p>
        </w:tc>
        <w:tc>
          <w:tcPr>
            <w:tcW w:w="389" w:type="pct"/>
            <w:vAlign w:val="center"/>
          </w:tcPr>
          <w:p w14:paraId="6B0858E3" w14:textId="584A8BE6" w:rsidR="00DE5B96" w:rsidRPr="00227B50" w:rsidRDefault="00DE5B96" w:rsidP="00DE5B96">
            <w:pPr>
              <w:jc w:val="center"/>
              <w:rPr>
                <w:b/>
                <w:color w:val="000000" w:themeColor="text1"/>
              </w:rPr>
            </w:pPr>
            <w:r w:rsidRPr="00227B50">
              <w:rPr>
                <w:b/>
                <w:color w:val="000000" w:themeColor="text1"/>
              </w:rPr>
              <w:t>2023 (high)</w:t>
            </w:r>
          </w:p>
        </w:tc>
        <w:tc>
          <w:tcPr>
            <w:tcW w:w="389" w:type="pct"/>
            <w:vAlign w:val="center"/>
          </w:tcPr>
          <w:p w14:paraId="3BB18772" w14:textId="15932523" w:rsidR="00DE5B96" w:rsidRPr="00227B50" w:rsidRDefault="00DE5B96" w:rsidP="00DE5B96">
            <w:pPr>
              <w:jc w:val="center"/>
              <w:rPr>
                <w:b/>
                <w:color w:val="000000" w:themeColor="text1"/>
              </w:rPr>
            </w:pPr>
            <w:r w:rsidRPr="00227B50">
              <w:rPr>
                <w:b/>
                <w:color w:val="000000" w:themeColor="text1"/>
              </w:rPr>
              <w:t>2024 (low)</w:t>
            </w:r>
          </w:p>
        </w:tc>
        <w:tc>
          <w:tcPr>
            <w:tcW w:w="389" w:type="pct"/>
            <w:vAlign w:val="center"/>
          </w:tcPr>
          <w:p w14:paraId="24A5FD8D" w14:textId="474FECA1" w:rsidR="00DE5B96" w:rsidRPr="00227B50" w:rsidRDefault="00DE5B96" w:rsidP="00DE5B96">
            <w:pPr>
              <w:jc w:val="center"/>
              <w:rPr>
                <w:b/>
                <w:color w:val="000000" w:themeColor="text1"/>
              </w:rPr>
            </w:pPr>
            <w:r w:rsidRPr="00227B50">
              <w:rPr>
                <w:b/>
                <w:color w:val="000000" w:themeColor="text1"/>
              </w:rPr>
              <w:t>2024 (high)</w:t>
            </w:r>
          </w:p>
        </w:tc>
        <w:tc>
          <w:tcPr>
            <w:tcW w:w="389" w:type="pct"/>
            <w:vAlign w:val="center"/>
          </w:tcPr>
          <w:p w14:paraId="546E5CDD" w14:textId="39DEF1DF" w:rsidR="00DE5B96" w:rsidRPr="00227B50" w:rsidRDefault="00DE5B96" w:rsidP="00DE5B96">
            <w:pPr>
              <w:jc w:val="center"/>
              <w:rPr>
                <w:b/>
                <w:color w:val="000000" w:themeColor="text1"/>
              </w:rPr>
            </w:pPr>
            <w:r w:rsidRPr="00227B50">
              <w:rPr>
                <w:b/>
                <w:color w:val="000000" w:themeColor="text1"/>
              </w:rPr>
              <w:t>2025 (low)</w:t>
            </w:r>
          </w:p>
        </w:tc>
        <w:tc>
          <w:tcPr>
            <w:tcW w:w="388" w:type="pct"/>
            <w:vAlign w:val="center"/>
          </w:tcPr>
          <w:p w14:paraId="28ED6759" w14:textId="1D8F36A1" w:rsidR="00DE5B96" w:rsidRPr="00227B50" w:rsidRDefault="00DE5B96" w:rsidP="00DE5B96">
            <w:pPr>
              <w:jc w:val="center"/>
              <w:rPr>
                <w:b/>
                <w:color w:val="000000" w:themeColor="text1"/>
              </w:rPr>
            </w:pPr>
            <w:r w:rsidRPr="00227B50">
              <w:rPr>
                <w:b/>
                <w:color w:val="000000" w:themeColor="text1"/>
              </w:rPr>
              <w:t>2025 (high)</w:t>
            </w:r>
          </w:p>
        </w:tc>
      </w:tr>
      <w:tr w:rsidR="00DE5B96" w:rsidRPr="00ED172B" w14:paraId="69CC71E4" w14:textId="36A28BBD" w:rsidTr="00DE5B96">
        <w:trPr>
          <w:trHeight w:val="418"/>
        </w:trPr>
        <w:tc>
          <w:tcPr>
            <w:tcW w:w="319" w:type="pct"/>
            <w:shd w:val="clear" w:color="auto" w:fill="auto"/>
          </w:tcPr>
          <w:p w14:paraId="34C9937C" w14:textId="7AC2900D" w:rsidR="00DE5B96" w:rsidRPr="00ED172B" w:rsidRDefault="00DE5B96" w:rsidP="00DE5B96">
            <w:pPr>
              <w:rPr>
                <w:rFonts w:cs="Arial"/>
                <w:color w:val="000000" w:themeColor="text1"/>
                <w:szCs w:val="16"/>
              </w:rPr>
            </w:pPr>
            <w:r w:rsidRPr="00ED172B">
              <w:rPr>
                <w:rFonts w:cs="Arial"/>
                <w:color w:val="000000" w:themeColor="text1"/>
                <w:szCs w:val="16"/>
              </w:rPr>
              <w:t>Target</w:t>
            </w:r>
          </w:p>
        </w:tc>
        <w:tc>
          <w:tcPr>
            <w:tcW w:w="391" w:type="pct"/>
            <w:shd w:val="clear" w:color="auto" w:fill="auto"/>
            <w:vAlign w:val="center"/>
          </w:tcPr>
          <w:p w14:paraId="342BC4CE" w14:textId="21C3A72F" w:rsidR="00DE5B96" w:rsidRPr="00ED172B" w:rsidRDefault="00DE5B96" w:rsidP="00DE5B96">
            <w:pPr>
              <w:rPr>
                <w:rFonts w:cs="Arial"/>
                <w:color w:val="000000" w:themeColor="text1"/>
                <w:szCs w:val="16"/>
              </w:rPr>
            </w:pPr>
          </w:p>
        </w:tc>
        <w:tc>
          <w:tcPr>
            <w:tcW w:w="391" w:type="pct"/>
            <w:shd w:val="clear" w:color="auto" w:fill="auto"/>
            <w:vAlign w:val="center"/>
          </w:tcPr>
          <w:p w14:paraId="0E29D4A0" w14:textId="4F86017C" w:rsidR="00DE5B96" w:rsidRPr="00ED172B" w:rsidRDefault="00DE5B96" w:rsidP="00DE5B96">
            <w:pPr>
              <w:rPr>
                <w:rFonts w:cs="Arial"/>
                <w:color w:val="000000" w:themeColor="text1"/>
                <w:szCs w:val="16"/>
              </w:rPr>
            </w:pPr>
          </w:p>
        </w:tc>
        <w:tc>
          <w:tcPr>
            <w:tcW w:w="391" w:type="pct"/>
            <w:vAlign w:val="center"/>
          </w:tcPr>
          <w:p w14:paraId="6DE99A30" w14:textId="160B0A05" w:rsidR="00DE5B96" w:rsidRPr="00ED172B" w:rsidRDefault="00DE5B96" w:rsidP="00DE5B96">
            <w:pPr>
              <w:rPr>
                <w:rFonts w:cs="Arial"/>
                <w:color w:val="000000" w:themeColor="text1"/>
                <w:szCs w:val="16"/>
              </w:rPr>
            </w:pPr>
          </w:p>
        </w:tc>
        <w:tc>
          <w:tcPr>
            <w:tcW w:w="391" w:type="pct"/>
            <w:vAlign w:val="center"/>
          </w:tcPr>
          <w:p w14:paraId="35CD13FB" w14:textId="74F821E8" w:rsidR="00DE5B96" w:rsidRPr="00ED172B" w:rsidRDefault="00DE5B96" w:rsidP="00DE5B96">
            <w:pPr>
              <w:rPr>
                <w:rFonts w:cs="Arial"/>
                <w:color w:val="000000" w:themeColor="text1"/>
                <w:szCs w:val="16"/>
              </w:rPr>
            </w:pPr>
          </w:p>
        </w:tc>
        <w:tc>
          <w:tcPr>
            <w:tcW w:w="391" w:type="pct"/>
            <w:vAlign w:val="center"/>
          </w:tcPr>
          <w:p w14:paraId="617E1760" w14:textId="79CD61C7" w:rsidR="00DE5B96" w:rsidRPr="00ED172B" w:rsidRDefault="00DE5B96" w:rsidP="00DE5B96">
            <w:pPr>
              <w:rPr>
                <w:rFonts w:cs="Arial"/>
                <w:color w:val="000000" w:themeColor="text1"/>
                <w:szCs w:val="16"/>
              </w:rPr>
            </w:pPr>
          </w:p>
        </w:tc>
        <w:tc>
          <w:tcPr>
            <w:tcW w:w="391" w:type="pct"/>
            <w:vAlign w:val="center"/>
          </w:tcPr>
          <w:p w14:paraId="3D53B204" w14:textId="3985173E" w:rsidR="00DE5B96" w:rsidRPr="00ED172B" w:rsidRDefault="00DE5B96" w:rsidP="00DE5B96">
            <w:pPr>
              <w:rPr>
                <w:rFonts w:cs="Arial"/>
                <w:color w:val="000000" w:themeColor="text1"/>
                <w:szCs w:val="16"/>
              </w:rPr>
            </w:pPr>
          </w:p>
        </w:tc>
        <w:tc>
          <w:tcPr>
            <w:tcW w:w="391" w:type="pct"/>
            <w:vAlign w:val="center"/>
          </w:tcPr>
          <w:p w14:paraId="505DBD9C" w14:textId="4BB7B7FF" w:rsidR="00DE5B96" w:rsidRPr="00ED172B" w:rsidRDefault="00DE5B96" w:rsidP="00DE5B96">
            <w:pPr>
              <w:rPr>
                <w:rFonts w:cs="Arial"/>
                <w:color w:val="000000" w:themeColor="text1"/>
                <w:szCs w:val="16"/>
              </w:rPr>
            </w:pPr>
          </w:p>
        </w:tc>
        <w:tc>
          <w:tcPr>
            <w:tcW w:w="389" w:type="pct"/>
            <w:vAlign w:val="center"/>
          </w:tcPr>
          <w:p w14:paraId="373FE1CA" w14:textId="3936A6CA" w:rsidR="00DE5B96" w:rsidRPr="00ED172B" w:rsidRDefault="00DE5B96" w:rsidP="00DE5B96">
            <w:pPr>
              <w:rPr>
                <w:rFonts w:cs="Arial"/>
                <w:color w:val="000000" w:themeColor="text1"/>
                <w:szCs w:val="16"/>
              </w:rPr>
            </w:pPr>
          </w:p>
        </w:tc>
        <w:tc>
          <w:tcPr>
            <w:tcW w:w="389" w:type="pct"/>
            <w:vAlign w:val="center"/>
          </w:tcPr>
          <w:p w14:paraId="15813A1A" w14:textId="00ED5249" w:rsidR="00DE5B96" w:rsidRPr="00ED172B" w:rsidRDefault="00DE5B96" w:rsidP="00DE5B96">
            <w:pPr>
              <w:rPr>
                <w:rFonts w:cs="Arial"/>
                <w:color w:val="000000" w:themeColor="text1"/>
                <w:szCs w:val="16"/>
              </w:rPr>
            </w:pPr>
          </w:p>
        </w:tc>
        <w:tc>
          <w:tcPr>
            <w:tcW w:w="389" w:type="pct"/>
            <w:vAlign w:val="center"/>
          </w:tcPr>
          <w:p w14:paraId="199EAFCB" w14:textId="26AA4532" w:rsidR="00DE5B96" w:rsidRPr="00ED172B" w:rsidRDefault="00DE5B96" w:rsidP="00DE5B96">
            <w:pPr>
              <w:rPr>
                <w:rFonts w:cs="Arial"/>
                <w:color w:val="000000" w:themeColor="text1"/>
                <w:szCs w:val="16"/>
              </w:rPr>
            </w:pPr>
          </w:p>
        </w:tc>
        <w:tc>
          <w:tcPr>
            <w:tcW w:w="389" w:type="pct"/>
            <w:vAlign w:val="center"/>
          </w:tcPr>
          <w:p w14:paraId="14D7934D" w14:textId="28FB1F1F" w:rsidR="00DE5B96" w:rsidRPr="00ED172B" w:rsidRDefault="00DE5B96" w:rsidP="00DE5B96">
            <w:pPr>
              <w:rPr>
                <w:rFonts w:cs="Arial"/>
                <w:color w:val="000000" w:themeColor="text1"/>
                <w:szCs w:val="16"/>
              </w:rPr>
            </w:pPr>
          </w:p>
        </w:tc>
        <w:tc>
          <w:tcPr>
            <w:tcW w:w="388" w:type="pct"/>
            <w:vAlign w:val="center"/>
          </w:tcPr>
          <w:p w14:paraId="2D3AA8F2" w14:textId="7A4447BC" w:rsidR="00DE5B96" w:rsidRPr="00ED172B" w:rsidRDefault="00DE5B96" w:rsidP="00DE5B96">
            <w:pPr>
              <w:rPr>
                <w:rFonts w:cs="Arial"/>
                <w:color w:val="000000" w:themeColor="text1"/>
                <w:szCs w:val="16"/>
              </w:rPr>
            </w:pPr>
          </w:p>
        </w:tc>
      </w:tr>
    </w:tbl>
    <w:p w14:paraId="633A157D" w14:textId="77777777" w:rsidR="0097671A" w:rsidRPr="00ED172B" w:rsidRDefault="0097671A" w:rsidP="00B83404">
      <w:pPr>
        <w:rPr>
          <w:color w:val="000000" w:themeColor="text1"/>
        </w:rPr>
      </w:pPr>
    </w:p>
    <w:p w14:paraId="46573832" w14:textId="55BB6A67"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1"/>
      </w:tblPr>
      <w:tblGrid>
        <w:gridCol w:w="2335"/>
        <w:gridCol w:w="1802"/>
        <w:gridCol w:w="1439"/>
        <w:gridCol w:w="1170"/>
        <w:gridCol w:w="1174"/>
        <w:gridCol w:w="1081"/>
        <w:gridCol w:w="902"/>
        <w:gridCol w:w="887"/>
      </w:tblGrid>
      <w:tr w:rsidR="00ED172B" w:rsidRPr="00ED172B" w14:paraId="5659506B" w14:textId="77777777" w:rsidTr="00986B99">
        <w:trPr>
          <w:trHeight w:val="354"/>
          <w:tblHeader/>
        </w:trPr>
        <w:tc>
          <w:tcPr>
            <w:tcW w:w="1082" w:type="pct"/>
            <w:shd w:val="clear" w:color="auto" w:fill="auto"/>
            <w:vAlign w:val="bottom"/>
          </w:tcPr>
          <w:p w14:paraId="1B13C390"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60422648"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64C3701F" w14:textId="11EDE27D" w:rsidR="00CA3CD2"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0D117357" w14:textId="6E168C8E" w:rsidR="00CA3CD2" w:rsidRPr="00ED172B" w:rsidRDefault="00F22D09" w:rsidP="00CD79C5">
            <w:pPr>
              <w:jc w:val="center"/>
              <w:rPr>
                <w:rFonts w:cs="Arial"/>
                <w:b/>
                <w:color w:val="000000" w:themeColor="text1"/>
                <w:szCs w:val="16"/>
              </w:rPr>
            </w:pPr>
            <w:r>
              <w:rPr>
                <w:rFonts w:cs="Arial"/>
                <w:b/>
                <w:color w:val="000000" w:themeColor="text1"/>
                <w:szCs w:val="16"/>
              </w:rPr>
              <w:t>FFY 2020 Target (low)</w:t>
            </w:r>
          </w:p>
        </w:tc>
        <w:tc>
          <w:tcPr>
            <w:tcW w:w="544" w:type="pct"/>
            <w:shd w:val="clear" w:color="auto" w:fill="auto"/>
            <w:vAlign w:val="bottom"/>
          </w:tcPr>
          <w:p w14:paraId="38B1388B" w14:textId="721B17CC" w:rsidR="00CA3CD2" w:rsidRPr="00ED172B" w:rsidRDefault="00F22D09" w:rsidP="00CD79C5">
            <w:pPr>
              <w:jc w:val="center"/>
              <w:rPr>
                <w:rFonts w:cs="Arial"/>
                <w:b/>
                <w:color w:val="000000" w:themeColor="text1"/>
                <w:szCs w:val="16"/>
              </w:rPr>
            </w:pPr>
            <w:r>
              <w:rPr>
                <w:rFonts w:cs="Arial"/>
                <w:b/>
                <w:color w:val="000000" w:themeColor="text1"/>
                <w:szCs w:val="16"/>
              </w:rPr>
              <w:t>FFY 2020 Target (high)</w:t>
            </w:r>
          </w:p>
        </w:tc>
        <w:tc>
          <w:tcPr>
            <w:tcW w:w="501" w:type="pct"/>
            <w:shd w:val="clear" w:color="auto" w:fill="auto"/>
            <w:vAlign w:val="bottom"/>
          </w:tcPr>
          <w:p w14:paraId="01D2F9D4" w14:textId="146CE2D3" w:rsidR="00CA3CD2"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15C6D884"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Status</w:t>
            </w:r>
          </w:p>
        </w:tc>
        <w:tc>
          <w:tcPr>
            <w:tcW w:w="411" w:type="pct"/>
            <w:shd w:val="clear" w:color="auto" w:fill="auto"/>
            <w:vAlign w:val="bottom"/>
          </w:tcPr>
          <w:p w14:paraId="086CF0AA" w14:textId="77777777" w:rsidR="00CA3CD2" w:rsidRPr="00ED172B" w:rsidRDefault="00CA3CD2"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DDEE5AE" w14:textId="77777777" w:rsidTr="00986B99">
        <w:trPr>
          <w:trHeight w:val="361"/>
        </w:trPr>
        <w:tc>
          <w:tcPr>
            <w:tcW w:w="1082" w:type="pct"/>
            <w:shd w:val="clear" w:color="auto" w:fill="auto"/>
            <w:vAlign w:val="center"/>
          </w:tcPr>
          <w:p w14:paraId="3B6F0E96" w14:textId="02F98C1C"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2E8F51AE" w14:textId="4B77AFCD"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4B3D5B19" w14:textId="75975C41" w:rsidR="0097671A" w:rsidRPr="00ED172B" w:rsidRDefault="0097671A" w:rsidP="00B83404">
            <w:pPr>
              <w:jc w:val="center"/>
              <w:rPr>
                <w:rFonts w:cs="Arial"/>
                <w:color w:val="000000" w:themeColor="text1"/>
                <w:szCs w:val="16"/>
              </w:rPr>
            </w:pPr>
          </w:p>
        </w:tc>
        <w:tc>
          <w:tcPr>
            <w:tcW w:w="542" w:type="pct"/>
            <w:shd w:val="clear" w:color="auto" w:fill="auto"/>
            <w:vAlign w:val="center"/>
          </w:tcPr>
          <w:p w14:paraId="0BDCB496" w14:textId="593DBFD3" w:rsidR="0097671A" w:rsidRPr="00ED172B" w:rsidRDefault="0097671A" w:rsidP="00B83404">
            <w:pPr>
              <w:jc w:val="center"/>
              <w:rPr>
                <w:rFonts w:cs="Arial"/>
                <w:color w:val="000000" w:themeColor="text1"/>
                <w:szCs w:val="16"/>
              </w:rPr>
            </w:pPr>
          </w:p>
        </w:tc>
        <w:tc>
          <w:tcPr>
            <w:tcW w:w="544" w:type="pct"/>
            <w:shd w:val="clear" w:color="auto" w:fill="auto"/>
            <w:vAlign w:val="center"/>
          </w:tcPr>
          <w:p w14:paraId="2D08A48D" w14:textId="072A38DA" w:rsidR="0097671A" w:rsidRPr="00ED172B" w:rsidRDefault="0097671A" w:rsidP="00B83404">
            <w:pPr>
              <w:jc w:val="center"/>
              <w:rPr>
                <w:rFonts w:cs="Arial"/>
                <w:color w:val="000000" w:themeColor="text1"/>
                <w:szCs w:val="16"/>
              </w:rPr>
            </w:pPr>
          </w:p>
        </w:tc>
        <w:tc>
          <w:tcPr>
            <w:tcW w:w="501" w:type="pct"/>
            <w:shd w:val="clear" w:color="auto" w:fill="auto"/>
            <w:vAlign w:val="center"/>
          </w:tcPr>
          <w:p w14:paraId="3F9D88B1" w14:textId="09A1A4C4"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1991D57B" w14:textId="29EB9B33" w:rsidR="0097671A" w:rsidRPr="00ED172B" w:rsidRDefault="00320806" w:rsidP="00320806">
            <w:pPr>
              <w:jc w:val="center"/>
              <w:rPr>
                <w:color w:val="000000" w:themeColor="text1"/>
              </w:rPr>
            </w:pPr>
            <w:r w:rsidRPr="00ED172B">
              <w:rPr>
                <w:color w:val="000000" w:themeColor="text1"/>
              </w:rPr>
              <w:t>N/A</w:t>
            </w:r>
          </w:p>
        </w:tc>
        <w:tc>
          <w:tcPr>
            <w:tcW w:w="411" w:type="pct"/>
            <w:shd w:val="clear" w:color="auto" w:fill="auto"/>
            <w:vAlign w:val="center"/>
          </w:tcPr>
          <w:p w14:paraId="0AB787BC" w14:textId="26F9245F"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59" w:name="_Toc382731916"/>
      <w:bookmarkStart w:id="60"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w:t>
      </w:r>
      <w:r w:rsidRPr="00ED172B">
        <w:rPr>
          <w:color w:val="000000" w:themeColor="text1"/>
        </w:rPr>
        <w:lastRenderedPageBreak/>
        <w:t>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9"/>
    <w:bookmarkEnd w:id="60"/>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agreements related to due process complaints, no mediation agreements not related to due process complaints and no mediations held.</w:t>
      </w:r>
    </w:p>
    <w:p w14:paraId="51685558" w14:textId="51A1E7FE" w:rsidR="00DC0682" w:rsidRPr="00A40EE1" w:rsidRDefault="000D0117" w:rsidP="007B0787">
      <w:pPr>
        <w:pStyle w:val="Heading2"/>
      </w:pPr>
      <w:bookmarkStart w:id="61" w:name="_Hlk79570511"/>
      <w:r w:rsidRPr="00A40EE1">
        <w:t xml:space="preserve">10 - </w:t>
      </w:r>
      <w:r w:rsidR="00DC0682" w:rsidRPr="00A40EE1">
        <w:t>Prior FFY Required Actions</w:t>
      </w:r>
      <w:bookmarkEnd w:id="61"/>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Florida’s selected State-identified Measurable Result (SiMR) remains as the Annual Performance Report (APR) Indicator 3A1: Increase in the percent of infants and toddlers who exit early intervention with an increased rate of growth in positive social-emotional skills. Florida continues to implement two improvement strategies: 1) improve capacity to support local implementation of evidence-based practices through improvements to state level infrastructure, and 2) establish, implement, and sustain a framework for statewide professional development (PD) based on identified evidence-based coaching practices. Florida’s SSIP improvement activities fall under the following system Early Childhood Technical Assistance Center (ECTA) System Framework components: Governance, Accountability and Quality Improvement, Data Systems, Finance, and Personnel/Workforce.</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The current logic model is published in the FFY 2019 SSIP report on page 22. http://www.cms-kids.com/providers/early_steps/reports/SSIPPhaseIIIYear5ReportforDissemination.pdf#page=22</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26.03%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26.03%</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26.04%</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26.05%</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26.06%</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26.50%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27.00%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3A1 -Positive social-emotional skills- of those children who entered or exited the program below age expectations in Outcome A, the percent who substantially increased their rate of growth by the time they turned 3 years of age or exited the program (Numerator- Progress Category C+D)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3A1-Positive social-emotional skills- of those children who entered or exited the program below age expectations in Outcome A, the percent who substantially increased their rate of growth by the time they turned 3 </w:t>
            </w:r>
            <w:r w:rsidRPr="00ED172B">
              <w:rPr>
                <w:color w:val="000000" w:themeColor="text1"/>
                <w:szCs w:val="16"/>
              </w:rPr>
              <w:lastRenderedPageBreak/>
              <w:t>years of age or exited the program (Denominator- Progress Category A+B+C+D)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lastRenderedPageBreak/>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300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1,139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26.03%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26.03%</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26.34%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data source used for FFY 2020 data is the data from Indicator 3 A Summary Statement 1: percentage of infants and toddlers who entered early intervention below age expectations in each Outcome, the percentage who substantially increased their rate of growth by the time they turned 3 years of age or exited the program. The numerator is the number of infants and toddlers who improved functioning to a level nearer to same-aged peers but did not reach it plus the number of infants and toddlers who improved functioning to reach a level comparable to same-aged peers. The denominator is the number of infants and toddlers who did not improve functioning plus the number of infants and toddlers who improved functioning but not sufficient to move nearer to functioning comparable to same-aged peers plus the number of infants and toddlers who improved functioning to a level nearer to same-aged peers but did not reach it plus the number of infants and toddlers who improved functioning to reach a level comparable to same-aged peers.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The Early Steps Program used the Battelle Developmental Inventory, 2nd Edition (BDI-2) as the primary entry and exit evaluation to measure child outcomes. Florida’s child outcomes measurement system uses scores from the Personal-Social domain of the BDI-2 to determine category placement for Indicator 3A, scores from the Cognitive and Communication domains of the BDI-2 to determine category placement for Indicator 3B, and scores from the Adaptive and Motor domains of the BDI-2 to determine category placement for Indicator 3C. The actual target data are derived from assessments administered upon entry into and exit from the Early Steps Program for eligible children in all LES Programs. Local Early Steps Program employees enter results for assessments in the BDI-2 Data Manager online scoring and reporting program. Data are exported from the Data Manager and a de-identified data file, consisting of all records with sufficient data to be included in the state report is sent to the University of Miami, whose staff completes the analyses that produces the category assignments. </w:t>
      </w:r>
      <w:r w:rsidRPr="00ED172B">
        <w:rPr>
          <w:color w:val="000000" w:themeColor="text1"/>
        </w:rPr>
        <w:br/>
        <w:t>The Early Steps Program decided at the end of FY 2019-2020 to transition from the BDI-2 as Florida’s tool to determine a child’s entry-exit progress and replace it with the Early Childhood Outcomes Center (ECO) Child Outcome Summary (COS) process. Early Steps began using the COS with all children entering the program on or after December 1, 2020. For those children who received an entry assessment before December 1, 2020, the Early Steps Program will continue using the BDI-2 tool for the exit assessment. There were 24 children who were in the program for six months and received an entry and exit COS rating. The COS process uses multiple sources of information rather than only one standardized tool. This process guides a team of parents, providers, and other community members who interact with a child during daily routines to share and discuss all the available evidence of how that child functions. The team comes to a consensus that aligns with a rating scale. The data are entered on a COS Data Calculator Spreadsheet and sent to the Early Steps State Office and provided to the University of Miami to complete the analyses.</w:t>
      </w:r>
      <w:r w:rsidRPr="00ED172B">
        <w:rPr>
          <w:color w:val="000000" w:themeColor="text1"/>
        </w:rPr>
        <w:br/>
        <w:t>The BDI-2 and COS data were combined and reported together for this indicator.</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Florida Early Steps Program continued its partnership with Institutes of Higher Education (IHE) subject matter experts at the University of Florida (UF), Anita Zucker Center for Excellence in Early Childhood Studies and Florida State University CEC-RAP Center. The UF IHE Team collects and reports data from sites implementing Florida Embedded Practices and Intervention with Caregivers (FL-EPIC) practices. As of July 2021, 12 of 15 Local Early Steps (LES) sites have implemented the practices. Capacity at 12 sites reached 25 Lead Implementation Coaches (LICs), filling 24 FTE positions. As of November 12, 2021, 436 providers attended Caregiver Coaching Workshops (i.e., FL-EPIC workshops) and 354 providers completed or were engaged in 3-6 months of coaching. These data show an increase from Fall 2020 when 9 LES sites had 17 LICs, 284 providers attended FL-EPIC Workshops, and 236 providers completed coaching. </w:t>
      </w:r>
      <w:r w:rsidRPr="00ED172B">
        <w:rPr>
          <w:color w:val="000000" w:themeColor="text1"/>
        </w:rPr>
        <w:br/>
        <w:t xml:space="preserve">Implementation fidelity data for FL-EPIC workshops and coaching completed in FFY 2020 are as follows: mean percentage for workshop implementation fidelity was 97%; mean IHE-reported percentage for coaching implementation fidelity was 80% for coaches from sites contracted in FFY 2020; mean coach-reported percentage for coaching implementation fidelity across all provider coaching sessions was 91%. Caregivers of children served by providers who received FL-EPIC professional development reported increases in all domains of caregiver embedded intervention self-efficacy ratings. </w:t>
      </w:r>
      <w:r w:rsidRPr="00ED172B">
        <w:rPr>
          <w:color w:val="000000" w:themeColor="text1"/>
        </w:rPr>
        <w:br/>
        <w:t>SSIP sites continued to pilot the Child Outcomes Summary (COS) process, evaluating child progress data between the time providers attended the FL-EPIC Workshops and the completion of coaching (i.e., 6-9 months). FL-EPIC COS data from FFY 2020 showed 59% of children substantially increased the rate of growth in social-emotional development and 35% were within age expectations.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Florida’s data quality issue is attributed to be a result of how the child outcomes data was collected. The COVID-19 pandemic greatly reduced the number of exit assessments conducted during the FY 2020-2021. There was an average of 4,200 less children with completed assessments across the three outcome areas.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lastRenderedPageBreak/>
        <w:t>As the Battelle Developmental Inventory, Second Edition (BDI-2), the previous child outcomes assessment tool, is designed to be administered in a face-to-face setting, COVID-19 continued to negatively impact completion of entry-exit child outcomes assessments. Entry assessment could not be achieved timely for some children, whose exit assessments will not be included in monitoring reports. While the Early Steps Program is transitioning from the BDI-2 to the Child Outcomes Summary (COS) process, this transition is a three-year phased approach, which began December 1, 2020. Challenges to in-person assessment will continue to affect data throughout this transition.</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The State Plan was developed for 2020-2021. Revisions to the plan will be considered in 2022. The State Plan can be found at: http://www.cmskids.com/providers/early_steps/reports/20_21StatePlam.2020.pdf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Improvement Strategy 1: State and Local Infrastructure Improvements to support evidence-based practices</w:t>
      </w:r>
      <w:r w:rsidRPr="00ED172B">
        <w:rPr>
          <w:color w:val="000000" w:themeColor="text1"/>
        </w:rPr>
        <w:br/>
      </w:r>
      <w:r w:rsidRPr="00ED172B">
        <w:rPr>
          <w:color w:val="000000" w:themeColor="text1"/>
        </w:rPr>
        <w:br/>
        <w:t xml:space="preserve">Related to Accountability and Quality Improvement, the IHE Team is providing orientations to service coordinators from FL-EPIC sites for the Tools for Early Steps Teams (TEST) Toolkit, with an emphasis on how the practices used when making first contacts, conducting evaluation/assessment, developing IFSPs, and evaluating child progress are aligned with FL-EPIC. </w:t>
      </w:r>
      <w:r w:rsidRPr="00ED172B">
        <w:rPr>
          <w:color w:val="000000" w:themeColor="text1"/>
        </w:rPr>
        <w:br/>
      </w:r>
      <w:r w:rsidRPr="00ED172B">
        <w:rPr>
          <w:color w:val="000000" w:themeColor="text1"/>
        </w:rPr>
        <w:br/>
        <w:t>Related to Data System and Child Outcomes Data Quality, the Early Steps State Office staff and stakeholders are actively involved in securing a new vendor for the design and development of a new state of the art data system following the termination of the previous contract. The Early Steps State Office staff worked with the contractor for the existing data system to incorporate elements from the Child Outcomes Summary Excel calculator tool for use to generate OSEP progress category information and charts on child outcomes, OSEP summary statement percentages, entry and exit COS ratings and identify data issues. This system revision was implemented as of October 1, 2021.</w:t>
      </w:r>
      <w:r w:rsidRPr="00ED172B">
        <w:rPr>
          <w:color w:val="000000" w:themeColor="text1"/>
        </w:rPr>
        <w:br/>
      </w:r>
      <w:r w:rsidRPr="00ED172B">
        <w:rPr>
          <w:color w:val="000000" w:themeColor="text1"/>
        </w:rPr>
        <w:br/>
        <w:t xml:space="preserve">Related to Governance, the IHE Team will provide recommendations and the Early Steps State Office will continue to revise Early Steps Program policies to align with updates to the child outcomes measurement system and evidence-based practices as needed. </w:t>
      </w:r>
      <w:r w:rsidRPr="00ED172B">
        <w:rPr>
          <w:color w:val="000000" w:themeColor="text1"/>
        </w:rPr>
        <w:br/>
      </w:r>
      <w:r w:rsidRPr="00ED172B">
        <w:rPr>
          <w:color w:val="000000" w:themeColor="text1"/>
        </w:rPr>
        <w:br/>
        <w:t>In the area of Finance, the Early Steps State Office continues to pursue funding to support infrastructure enhancements and to scale-up and sustain implementation of evidence-based practices in additional areas of the state.</w:t>
      </w:r>
      <w:r w:rsidRPr="00ED172B">
        <w:rPr>
          <w:color w:val="000000" w:themeColor="text1"/>
        </w:rPr>
        <w:br/>
      </w:r>
      <w:r w:rsidRPr="00ED172B">
        <w:rPr>
          <w:color w:val="000000" w:themeColor="text1"/>
        </w:rPr>
        <w:br/>
        <w:t>Improvement Strategy 2:  Establish, implement, and sustain a framework for statewide professional development</w:t>
      </w:r>
      <w:r w:rsidRPr="00ED172B">
        <w:rPr>
          <w:color w:val="000000" w:themeColor="text1"/>
        </w:rPr>
        <w:br/>
      </w:r>
      <w:r w:rsidRPr="00ED172B">
        <w:rPr>
          <w:color w:val="000000" w:themeColor="text1"/>
        </w:rPr>
        <w:br/>
        <w:t>In the area of Personnel/Workforce, the Early Steps Program continues to implement a professional development framework for FL-EPIC coaching practices. The IHE Team provided recommendations for revisions to the Early Steps Orientation Modules, Infant Toddler Developmental Specialist Modules, and Service Coordinator Modules. The Early Steps State Office is in the process of contracting with a vendor to develop the revised courses. Implementation sites continue to be trained using the TEST Toolkit. The Early Steps Program is in the process of securing a vendor to provide training and technical assistance to enhance COS Process fidelity implementation.</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Improvement Strategy 1: State and Local Infrastructure Improvements to support evidence-based practices</w:t>
      </w:r>
      <w:r w:rsidRPr="00ED172B">
        <w:rPr>
          <w:color w:val="000000" w:themeColor="text1"/>
        </w:rPr>
        <w:br/>
      </w:r>
      <w:r w:rsidRPr="00ED172B">
        <w:rPr>
          <w:color w:val="000000" w:themeColor="text1"/>
        </w:rPr>
        <w:br/>
        <w:t>Florida will improve its capacity to support local implementation of evidence-based practices that result in positive social-emotional development for infants and toddlers through improvements to the program’s state-level infrastructure</w:t>
      </w:r>
      <w:r w:rsidRPr="00ED172B">
        <w:rPr>
          <w:color w:val="000000" w:themeColor="text1"/>
        </w:rPr>
        <w:br/>
      </w:r>
      <w:r w:rsidRPr="00ED172B">
        <w:rPr>
          <w:color w:val="000000" w:themeColor="text1"/>
        </w:rPr>
        <w:br/>
        <w:t>Accountability and Quality Improvement</w:t>
      </w:r>
      <w:r w:rsidRPr="00ED172B">
        <w:rPr>
          <w:color w:val="000000" w:themeColor="text1"/>
        </w:rPr>
        <w:br/>
        <w:t>The Early Steps Program will implement a revised Individualized Family Support Plan (IFSP) process and tools for early steps teams (TEST) toolkit materials with a focus on developing and tracking progress on family centered functional outcomes including social emotional outcomes.</w:t>
      </w:r>
      <w:r w:rsidRPr="00ED172B">
        <w:rPr>
          <w:color w:val="000000" w:themeColor="text1"/>
        </w:rPr>
        <w:br/>
      </w:r>
      <w:r w:rsidRPr="00ED172B">
        <w:rPr>
          <w:color w:val="000000" w:themeColor="text1"/>
        </w:rPr>
        <w:br/>
        <w:t>1. Service coordinators at all implementation sites participated in orientations to the 3 parts of FL-EPIC and the TEST Toolkit, with an emphasis on how the practices used when making first contacts, conducting evaluation/assessment, developing IFSPs, and evaluating child progress are aligned with FL-EPIC</w:t>
      </w:r>
      <w:r w:rsidRPr="00ED172B">
        <w:rPr>
          <w:color w:val="000000" w:themeColor="text1"/>
        </w:rPr>
        <w:br/>
      </w:r>
      <w:r w:rsidRPr="00ED172B">
        <w:rPr>
          <w:color w:val="000000" w:themeColor="text1"/>
        </w:rPr>
        <w:br/>
        <w:t>Expected SiMR Impact</w:t>
      </w:r>
      <w:r w:rsidRPr="00ED172B">
        <w:rPr>
          <w:color w:val="000000" w:themeColor="text1"/>
        </w:rPr>
        <w:br/>
        <w:t xml:space="preserve">Short Term: </w:t>
      </w:r>
      <w:r w:rsidRPr="00ED172B">
        <w:rPr>
          <w:color w:val="000000" w:themeColor="text1"/>
        </w:rPr>
        <w:br/>
        <w:t>• Service Coordinators at sites that were trained to use the Toolkit show increased knowledge of developing family centered functional outcomes to address a child’s social-emotional development</w:t>
      </w:r>
      <w:r w:rsidRPr="00ED172B">
        <w:rPr>
          <w:color w:val="000000" w:themeColor="text1"/>
        </w:rPr>
        <w:br/>
        <w:t>• Service Coordinators at demo sites show increased knowledge of developing family-centered functional social emotional outcomes</w:t>
      </w:r>
      <w:r w:rsidRPr="00ED172B">
        <w:rPr>
          <w:color w:val="000000" w:themeColor="text1"/>
        </w:rPr>
        <w:br/>
        <w:t>•</w:t>
      </w:r>
      <w:r w:rsidRPr="00ED172B">
        <w:rPr>
          <w:color w:val="000000" w:themeColor="text1"/>
        </w:rPr>
        <w:tab/>
        <w:t xml:space="preserve">Service Coordinators at demo sites guide the IFSP team in developing family centered functional social emotional outcomes </w:t>
      </w:r>
      <w:r w:rsidRPr="00ED172B">
        <w:rPr>
          <w:color w:val="000000" w:themeColor="text1"/>
        </w:rPr>
        <w:br/>
        <w:t>Intermediate: IFSP teams implement outcomes aligned with Evidence Based Practices (EBP) to achieve social-emotional progress</w:t>
      </w:r>
      <w:r w:rsidRPr="00ED172B">
        <w:rPr>
          <w:color w:val="000000" w:themeColor="text1"/>
        </w:rPr>
        <w:br/>
        <w:t>Long Term: Increase in % of children exiting with an increased rate of growth in social-emotional skills at demo sites</w:t>
      </w:r>
      <w:r w:rsidRPr="00ED172B">
        <w:rPr>
          <w:color w:val="000000" w:themeColor="text1"/>
        </w:rPr>
        <w:br/>
      </w:r>
      <w:r w:rsidRPr="00ED172B">
        <w:rPr>
          <w:color w:val="000000" w:themeColor="text1"/>
        </w:rPr>
        <w:br/>
        <w:t xml:space="preserve">Data System and Child Outcomes Data Quality </w:t>
      </w:r>
      <w:r w:rsidRPr="00ED172B">
        <w:rPr>
          <w:color w:val="000000" w:themeColor="text1"/>
        </w:rPr>
        <w:br/>
        <w:t>The Early Steps State Office will implement a new data system and improvements of the Child Outcomes Measurement System (COMS) to ensure access to a timely, accurate outcomes performance data to facilitate use of data by state and local programs to improve the SiMR.</w:t>
      </w:r>
      <w:r w:rsidRPr="00ED172B">
        <w:rPr>
          <w:color w:val="000000" w:themeColor="text1"/>
        </w:rPr>
        <w:br/>
      </w:r>
      <w:r w:rsidRPr="00ED172B">
        <w:rPr>
          <w:color w:val="000000" w:themeColor="text1"/>
        </w:rPr>
        <w:br/>
      </w:r>
      <w:r w:rsidRPr="00ED172B">
        <w:rPr>
          <w:color w:val="000000" w:themeColor="text1"/>
        </w:rPr>
        <w:lastRenderedPageBreak/>
        <w:t>Major Activities</w:t>
      </w:r>
      <w:r w:rsidRPr="00ED172B">
        <w:rPr>
          <w:color w:val="000000" w:themeColor="text1"/>
        </w:rPr>
        <w:br/>
        <w:t>1. The Early Steps State Office staff and stakeholders remain actively involved in system design and development of a new data system, Early Steps Data System (ESDS).</w:t>
      </w:r>
      <w:r w:rsidRPr="00ED172B">
        <w:rPr>
          <w:color w:val="000000" w:themeColor="text1"/>
        </w:rPr>
        <w:br/>
        <w:t>2. The Early Steps State Office staff have worked with Technical Assistance (TA) partners ECTA and Center for IDEA Early Childhood Data System (DaSy) to adapt the Child Outcomes Summary Excel calculator tool to report COS ratings and generate OSEP progress category information</w:t>
      </w:r>
      <w:r w:rsidRPr="00ED172B">
        <w:rPr>
          <w:color w:val="000000" w:themeColor="text1"/>
        </w:rPr>
        <w:br/>
        <w:t>3. All necessary data collection and calculations will be incorporated into the new data system</w:t>
      </w:r>
      <w:r w:rsidRPr="00ED172B">
        <w:rPr>
          <w:color w:val="000000" w:themeColor="text1"/>
        </w:rPr>
        <w:br/>
        <w:t>4. The Early Steps State Office has retained a new contractor following termination of contract for performance concerns</w:t>
      </w:r>
      <w:r w:rsidRPr="00ED172B">
        <w:rPr>
          <w:color w:val="000000" w:themeColor="text1"/>
        </w:rPr>
        <w:br/>
        <w:t>5. The Early Steps State Office subject matter experts have been consulted for input on development guidance</w:t>
      </w:r>
      <w:r w:rsidRPr="00ED172B">
        <w:rPr>
          <w:color w:val="000000" w:themeColor="text1"/>
        </w:rPr>
        <w:br/>
      </w:r>
      <w:r w:rsidRPr="00ED172B">
        <w:rPr>
          <w:color w:val="000000" w:themeColor="text1"/>
        </w:rPr>
        <w:br/>
        <w:t>Expected SiMR Impact</w:t>
      </w:r>
      <w:r w:rsidRPr="00ED172B">
        <w:rPr>
          <w:color w:val="000000" w:themeColor="text1"/>
        </w:rPr>
        <w:br/>
        <w:t>Short Term: The data system includes elements for tracking and report child outcomes</w:t>
      </w:r>
      <w:r w:rsidRPr="00ED172B">
        <w:rPr>
          <w:color w:val="000000" w:themeColor="text1"/>
        </w:rPr>
        <w:br/>
        <w:t>The data systems include elements to track provider credentials and training</w:t>
      </w:r>
      <w:r w:rsidRPr="00ED172B">
        <w:rPr>
          <w:color w:val="000000" w:themeColor="text1"/>
        </w:rPr>
        <w:br/>
        <w:t xml:space="preserve">Stakeholders are actively involved in system design and development to include child outcomes measurement </w:t>
      </w:r>
      <w:r w:rsidRPr="00ED172B">
        <w:rPr>
          <w:color w:val="000000" w:themeColor="text1"/>
        </w:rPr>
        <w:br/>
        <w:t xml:space="preserve">Intermediate: A high-quality system is developed to support program improvement </w:t>
      </w:r>
      <w:r w:rsidRPr="00ED172B">
        <w:rPr>
          <w:color w:val="000000" w:themeColor="text1"/>
        </w:rPr>
        <w:br/>
        <w:t>Long Term: Stakeholders use system to support program improvement to increase % of children with improved social-emotional growth</w:t>
      </w:r>
      <w:r w:rsidRPr="00ED172B">
        <w:rPr>
          <w:color w:val="000000" w:themeColor="text1"/>
        </w:rPr>
        <w:br/>
      </w:r>
      <w:r w:rsidRPr="00ED172B">
        <w:rPr>
          <w:color w:val="000000" w:themeColor="text1"/>
        </w:rPr>
        <w:br/>
        <w:t xml:space="preserve">Governance </w:t>
      </w:r>
      <w:r w:rsidRPr="00ED172B">
        <w:rPr>
          <w:color w:val="000000" w:themeColor="text1"/>
        </w:rPr>
        <w:br/>
        <w:t xml:space="preserve">The Early Steps State Office will secure funding to support infrastructure enhancements and to scale-up and sustain implementation of evidence-based practices. </w:t>
      </w:r>
      <w:r w:rsidRPr="00ED172B">
        <w:rPr>
          <w:color w:val="000000" w:themeColor="text1"/>
        </w:rPr>
        <w:br/>
      </w:r>
      <w:r w:rsidRPr="00ED172B">
        <w:rPr>
          <w:color w:val="000000" w:themeColor="text1"/>
        </w:rPr>
        <w:br/>
        <w:t>Major Activities</w:t>
      </w:r>
      <w:r w:rsidRPr="00ED172B">
        <w:rPr>
          <w:color w:val="000000" w:themeColor="text1"/>
        </w:rPr>
        <w:br/>
        <w:t>1. Component 13: Child and Family Outcomes is pending OSEP review</w:t>
      </w:r>
      <w:r w:rsidRPr="00ED172B">
        <w:rPr>
          <w:color w:val="000000" w:themeColor="text1"/>
        </w:rPr>
        <w:br/>
        <w:t>2. The Early Steps State Office has revised the COS Implementation Guidance document in response to stakeholder feedback</w:t>
      </w:r>
      <w:r w:rsidRPr="00ED172B">
        <w:rPr>
          <w:color w:val="000000" w:themeColor="text1"/>
        </w:rPr>
        <w:br/>
        <w:t>3. Component 10: Personnel Development and Standards revisions were finalized</w:t>
      </w:r>
      <w:r w:rsidRPr="00ED172B">
        <w:rPr>
          <w:color w:val="000000" w:themeColor="text1"/>
        </w:rPr>
        <w:br/>
        <w:t>4. The Early Steps State Office and IHE Team developed the Scaling and Sustainability Plan (SUSU) process and templates to guide LESs in reaching full implementation of FL-EPIC ESPD and to aid the Early Steps State Office in identifying relevant performance measures for each LES</w:t>
      </w:r>
      <w:r w:rsidRPr="00ED172B">
        <w:rPr>
          <w:color w:val="000000" w:themeColor="text1"/>
        </w:rPr>
        <w:br/>
      </w:r>
      <w:r w:rsidRPr="00ED172B">
        <w:rPr>
          <w:color w:val="000000" w:themeColor="text1"/>
        </w:rPr>
        <w:br/>
        <w:t>Expected SiMR Impact</w:t>
      </w:r>
      <w:r w:rsidRPr="00ED172B">
        <w:rPr>
          <w:color w:val="000000" w:themeColor="text1"/>
        </w:rPr>
        <w:br/>
        <w:t>Short Term: Service Coordinators, evaluators, provider, and families understand and implement policies and procedures that are clear and consistent with IDEA and state requirements</w:t>
      </w:r>
      <w:r w:rsidRPr="00ED172B">
        <w:rPr>
          <w:color w:val="000000" w:themeColor="text1"/>
        </w:rPr>
        <w:br/>
        <w:t>Intermediate: LES and the Early Steps State Office practice will change to reflect policy requirements and EBPs when appropriate</w:t>
      </w:r>
      <w:r w:rsidRPr="00ED172B">
        <w:rPr>
          <w:color w:val="000000" w:themeColor="text1"/>
        </w:rPr>
        <w:br/>
        <w:t>Long Term: Increase in the percent of infants and toddlers who exit early intervention with an increased rate of growth in positive social-emotional skills</w:t>
      </w:r>
      <w:r w:rsidRPr="00ED172B">
        <w:rPr>
          <w:color w:val="000000" w:themeColor="text1"/>
        </w:rPr>
        <w:br/>
      </w:r>
      <w:r w:rsidRPr="00ED172B">
        <w:rPr>
          <w:color w:val="000000" w:themeColor="text1"/>
        </w:rPr>
        <w:br/>
        <w:t xml:space="preserve">Finance </w:t>
      </w:r>
      <w:r w:rsidRPr="00ED172B">
        <w:rPr>
          <w:color w:val="000000" w:themeColor="text1"/>
        </w:rPr>
        <w:br/>
        <w:t xml:space="preserve">The Early Steps State Office will secure funding to support infrastructure enhancements and to scale-up and sustain implementation of evidence-based practices. </w:t>
      </w:r>
      <w:r w:rsidRPr="00ED172B">
        <w:rPr>
          <w:color w:val="000000" w:themeColor="text1"/>
        </w:rPr>
        <w:br/>
      </w:r>
      <w:r w:rsidRPr="00ED172B">
        <w:rPr>
          <w:color w:val="000000" w:themeColor="text1"/>
        </w:rPr>
        <w:br/>
        <w:t>Major Activities</w:t>
      </w:r>
      <w:r w:rsidRPr="00ED172B">
        <w:rPr>
          <w:color w:val="000000" w:themeColor="text1"/>
        </w:rPr>
        <w:br/>
        <w:t>1. The Early Steps State Office continues to pursue funding to support infrastructure enhancements and to scale-up and sustain implementation of evidence-based practices in additional areas of the state</w:t>
      </w:r>
      <w:r w:rsidRPr="00ED172B">
        <w:rPr>
          <w:color w:val="000000" w:themeColor="text1"/>
        </w:rPr>
        <w:br/>
        <w:t>2. The Florida Legislature granted the Early Steps State Office budget authority to support three new implementation sites beginning July 1, 2021</w:t>
      </w:r>
      <w:r w:rsidRPr="00ED172B">
        <w:rPr>
          <w:color w:val="000000" w:themeColor="text1"/>
        </w:rPr>
        <w:br/>
        <w:t>3. The Early Steps State Office refined the SSIP professional development funding methodology to align with actual spending from the implementation sites</w:t>
      </w:r>
      <w:r w:rsidRPr="00ED172B">
        <w:rPr>
          <w:color w:val="000000" w:themeColor="text1"/>
        </w:rPr>
        <w:br/>
        <w:t>4. The Department submitted a Legislative Budget Request to fund three final implementation sites beginning July 1, 2022</w:t>
      </w:r>
      <w:r w:rsidRPr="00ED172B">
        <w:rPr>
          <w:color w:val="000000" w:themeColor="text1"/>
        </w:rPr>
        <w:br/>
      </w:r>
      <w:r w:rsidRPr="00ED172B">
        <w:rPr>
          <w:color w:val="000000" w:themeColor="text1"/>
        </w:rPr>
        <w:br/>
        <w:t>Expected SiMR Impact</w:t>
      </w:r>
      <w:r w:rsidRPr="00ED172B">
        <w:rPr>
          <w:color w:val="000000" w:themeColor="text1"/>
        </w:rPr>
        <w:br/>
        <w:t xml:space="preserve">Short Term/ Intermediate: </w:t>
      </w:r>
      <w:r w:rsidRPr="00ED172B">
        <w:rPr>
          <w:color w:val="000000" w:themeColor="text1"/>
        </w:rPr>
        <w:br/>
        <w:t>The Florida Legislature will grant funding to support three final implementation sites beginning July 1, 2022</w:t>
      </w:r>
      <w:r w:rsidRPr="00ED172B">
        <w:rPr>
          <w:color w:val="000000" w:themeColor="text1"/>
        </w:rPr>
        <w:br/>
        <w:t>The Department will maintain funding for existing implementation sites as FL-EPIC ESPD becomes standard practice for Early Steps</w:t>
      </w:r>
      <w:r w:rsidRPr="00ED172B">
        <w:rPr>
          <w:color w:val="000000" w:themeColor="text1"/>
        </w:rPr>
        <w:br/>
        <w:t>The Early Steps Program funds statewide infrastructure to support implementation of EBPs to improve and sustain social emotional outcomes</w:t>
      </w:r>
      <w:r w:rsidRPr="00ED172B">
        <w:rPr>
          <w:color w:val="000000" w:themeColor="text1"/>
        </w:rPr>
        <w:br/>
      </w:r>
      <w:r w:rsidRPr="00ED172B">
        <w:rPr>
          <w:color w:val="000000" w:themeColor="text1"/>
        </w:rPr>
        <w:br/>
        <w:t>Improvement Strategy 2: Establish, implement, and sustain a framework for statewide professional development</w:t>
      </w:r>
      <w:r w:rsidRPr="00ED172B">
        <w:rPr>
          <w:color w:val="000000" w:themeColor="text1"/>
        </w:rPr>
        <w:br/>
        <w:t>Florida will establish, implement, and sustain a framework for statewide professional development to promote positive social-emotional development for infants and toddlers based on identified evidence-based coaching practices from demonstration sites.</w:t>
      </w:r>
      <w:r w:rsidRPr="00ED172B">
        <w:rPr>
          <w:color w:val="000000" w:themeColor="text1"/>
        </w:rPr>
        <w:br/>
      </w:r>
      <w:r w:rsidRPr="00ED172B">
        <w:rPr>
          <w:color w:val="000000" w:themeColor="text1"/>
        </w:rPr>
        <w:br/>
        <w:t xml:space="preserve">Personnel/Workforce </w:t>
      </w:r>
      <w:r w:rsidRPr="00ED172B">
        <w:rPr>
          <w:color w:val="000000" w:themeColor="text1"/>
        </w:rPr>
        <w:br/>
        <w:t>The Early Steps Program will implement a professional development framework using Embedded Practices and Interventions with Caregivers (EPIC) coaching practices with integrated Pyramid Model caregiver social-emotional practices at demonstration sites, then statewide.</w:t>
      </w:r>
      <w:r w:rsidRPr="00ED172B">
        <w:rPr>
          <w:color w:val="000000" w:themeColor="text1"/>
        </w:rPr>
        <w:br/>
      </w:r>
      <w:r w:rsidRPr="00ED172B">
        <w:rPr>
          <w:color w:val="000000" w:themeColor="text1"/>
        </w:rPr>
        <w:br/>
        <w:t xml:space="preserve">Major Activities </w:t>
      </w:r>
      <w:r w:rsidRPr="00ED172B">
        <w:rPr>
          <w:color w:val="000000" w:themeColor="text1"/>
        </w:rPr>
        <w:br/>
        <w:t>1. The Early Steps Program continues to implement professional development framework for FL-EPIC coaching practices</w:t>
      </w:r>
      <w:r w:rsidRPr="00ED172B">
        <w:rPr>
          <w:color w:val="000000" w:themeColor="text1"/>
        </w:rPr>
        <w:br/>
        <w:t>2.</w:t>
      </w:r>
      <w:r w:rsidRPr="00ED172B">
        <w:rPr>
          <w:color w:val="000000" w:themeColor="text1"/>
        </w:rPr>
        <w:tab/>
        <w:t xml:space="preserve">Implementation sites continue to be trained using the TEST Toolkit </w:t>
      </w:r>
      <w:r w:rsidRPr="00ED172B">
        <w:rPr>
          <w:color w:val="000000" w:themeColor="text1"/>
        </w:rPr>
        <w:br/>
        <w:t>3. IHE Team continues to refine FL-EPIC materials in response to stakeholder feedback</w:t>
      </w:r>
      <w:r w:rsidRPr="00ED172B">
        <w:rPr>
          <w:color w:val="000000" w:themeColor="text1"/>
        </w:rPr>
        <w:br/>
        <w:t>4. IHE Team, with the Lead Implementation Coaches (LIC) and Provider Coaches (PC) provider leadership, developed Spanish-language materials for all trainings</w:t>
      </w:r>
      <w:r w:rsidRPr="00ED172B">
        <w:rPr>
          <w:color w:val="000000" w:themeColor="text1"/>
        </w:rPr>
        <w:br/>
        <w:t>5. LIC/PC staffing was fulfilled at FFY 2021 sites and training and coaching in FL-EPIC practices continues</w:t>
      </w:r>
      <w:r w:rsidRPr="00ED172B">
        <w:rPr>
          <w:color w:val="000000" w:themeColor="text1"/>
        </w:rPr>
        <w:br/>
        <w:t>6. The Early Steps State Office and IHE Team will continue supporting LESs in developing and advancing SUSU Plans</w:t>
      </w:r>
      <w:r w:rsidRPr="00ED172B">
        <w:rPr>
          <w:color w:val="000000" w:themeColor="text1"/>
        </w:rPr>
        <w:br/>
        <w:t>7. Implementation of EBPs continued at the original three demonstration sites and FFY 2019, 2020 sites – Northeastern, North Central, and North Dade, Space Coast, Treasure Coast, and Southwest; Western Panhandle, Southernmost, Gulf Central, respectively – and began at three FFY 2021 implementation sites – Gold Coast, North Beaches, Big Bend</w:t>
      </w:r>
      <w:r w:rsidRPr="00ED172B">
        <w:rPr>
          <w:color w:val="000000" w:themeColor="text1"/>
        </w:rPr>
        <w:br/>
      </w:r>
      <w:r w:rsidRPr="00ED172B">
        <w:rPr>
          <w:color w:val="000000" w:themeColor="text1"/>
        </w:rPr>
        <w:br/>
        <w:t>Expected SiMR Impact</w:t>
      </w:r>
      <w:r w:rsidRPr="00ED172B">
        <w:rPr>
          <w:color w:val="000000" w:themeColor="text1"/>
        </w:rPr>
        <w:br/>
        <w:t xml:space="preserve">Short-Term: </w:t>
      </w:r>
      <w:r w:rsidRPr="00ED172B">
        <w:rPr>
          <w:color w:val="000000" w:themeColor="text1"/>
        </w:rPr>
        <w:br/>
        <w:t>Providers implement EBPs with fidelity to support family member implementation of embedded Intervention focused on social-emotional learning at demo sites</w:t>
      </w:r>
      <w:r w:rsidRPr="00ED172B">
        <w:rPr>
          <w:color w:val="000000" w:themeColor="text1"/>
        </w:rPr>
        <w:br/>
        <w:t xml:space="preserve">Intermediate: Demo site family members implement embedded intervention social emotional practices with confidence and competence to support child </w:t>
      </w:r>
      <w:r w:rsidRPr="00ED172B">
        <w:rPr>
          <w:color w:val="000000" w:themeColor="text1"/>
        </w:rPr>
        <w:lastRenderedPageBreak/>
        <w:t xml:space="preserve">social-emotional learning targets and child outcomes </w:t>
      </w:r>
      <w:r w:rsidRPr="00ED172B">
        <w:rPr>
          <w:color w:val="000000" w:themeColor="text1"/>
        </w:rPr>
        <w:br/>
        <w:t>Long Term: Increase in % of children exiting with an increase rate of growth in social-emotional skills at demo sites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As described above, Florida Early Steps Program is implementing a new strategy for Scaling and Sustainability (SUSU) Plans. The Early Steps State Office, SSIP workgroups, the 9 implementation sites, and the IHE Team reviewed internal evaluation data during monthly and quarterly meetings held in FFY 2020. These reviews were used to make data-informed decisions about implementation and the sustainability and scale-up of FL-EPIC ESPD with respect to the approved Implementation Plan, in addition to informing ongoing implementation activities in FFY 2021. During FFY 2020, stakeholders from each of the 9 implementation sites expressed the need for guidance about expectations for FL-EPIC and FL-EPIC ESPD sustainability and scale-up activities. The stakeholders requested opportunities to discuss and receive follow-up guidance about these activities and related performance measures as part of two monthly leadership calls and one quarterly call. The IHE Team and the SSIP leadership Team prepared discussion points for these meetings organized under the three active implementation frameworks drivers. Discussion occurred about activities being implemented at LES sites related to each implementation driver and examples of activities that would support sustainability and scale-up under each implementation driver. The implementation quotient and “tipping” point concepts as well as expectations for implementation benchmarks were discussed (Fixsen et al., 2019). Examples for quantifying implementation quotients were presented by the IHE Team. Following these discussions, the Early Steps State Office collaborated with the IHE Team and the LES sites to develop guidance and a template for LES sites to use to develop Sustainability and Scale-Up Plans (SUSU plans). The SUSU template includes current and planned competency driver activities, including FL-EPIC ESPD; current and planned leadership activities to support FL-EPIC ESPD; and current and planned organizational activities to support FL-EPIC ESPD. For planned sustainability and scale-up activities, timelines for implementation and associated performance measures associated are part of the SUSU plan. From July 2021 to present, the Early Steps State Office and IHE Team have been providing technical assistance to LES sites developing SUSU plans. Initial SUSU plans for 9 LES sites entering sustainability and scale-up in FFY 2021 will be submitted to the Early Steps State Office in December 2021 for review and approval. The IHE Team will support the Early Steps State Office and LES sites while engaging in SUSU activities and plan revisions or updates, as requested. The Early Steps State Office will assign Program Consultants to support the contracts team in reviewing each LES contract and all deliverables related to program planning. While applicable to a number of existing planning requirements, this deeper connection between the program office and contracts will be essential to the review and support of LES SUSU Plans.</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Next steps for Accountability &amp; Quality Improvement</w:t>
      </w:r>
      <w:r w:rsidRPr="00ED172B">
        <w:rPr>
          <w:color w:val="000000" w:themeColor="text1"/>
        </w:rPr>
        <w:br/>
        <w:t>• Work with existing sites and IHE Team to provide tools to support local program implementation.</w:t>
      </w:r>
      <w:r w:rsidRPr="00ED172B">
        <w:rPr>
          <w:color w:val="000000" w:themeColor="text1"/>
        </w:rPr>
        <w:br/>
        <w:t>• Work with existing sites and the IHE Team to develop individual SUSU Plans.</w:t>
      </w:r>
      <w:r w:rsidRPr="00ED172B">
        <w:rPr>
          <w:color w:val="000000" w:themeColor="text1"/>
        </w:rPr>
        <w:br/>
        <w:t>• Train the Early Steps State Office Program Consultants so they are prepared to review SUSU Plans.</w:t>
      </w:r>
      <w:r w:rsidRPr="00ED172B">
        <w:rPr>
          <w:color w:val="000000" w:themeColor="text1"/>
        </w:rPr>
        <w:br/>
        <w:t>• Work with contracts team to identify any needed performance measures from SUSU Plan process.</w:t>
      </w:r>
      <w:r w:rsidRPr="00ED172B">
        <w:rPr>
          <w:color w:val="000000" w:themeColor="text1"/>
        </w:rPr>
        <w:br/>
        <w:t>• Continue reviewing outcomes data from the COS process to identify any data quality issues as soon as possible and take steps to correct the issues.</w:t>
      </w:r>
      <w:r w:rsidRPr="00ED172B">
        <w:rPr>
          <w:color w:val="000000" w:themeColor="text1"/>
        </w:rPr>
        <w:br/>
      </w:r>
      <w:r w:rsidRPr="00ED172B">
        <w:rPr>
          <w:color w:val="000000" w:themeColor="text1"/>
        </w:rPr>
        <w:br/>
        <w:t xml:space="preserve">Anticipated outcome: </w:t>
      </w:r>
      <w:r w:rsidRPr="00ED172B">
        <w:rPr>
          <w:color w:val="000000" w:themeColor="text1"/>
        </w:rPr>
        <w:br/>
        <w:t>•</w:t>
      </w:r>
      <w:r w:rsidRPr="00ED172B">
        <w:rPr>
          <w:color w:val="000000" w:themeColor="text1"/>
        </w:rPr>
        <w:tab/>
        <w:t xml:space="preserve">The SUSU Plans will support LESs in advancing the scaling FL-EPIC practices and other statewide initiatives. </w:t>
      </w:r>
      <w:r w:rsidRPr="00ED172B">
        <w:rPr>
          <w:color w:val="000000" w:themeColor="text1"/>
        </w:rPr>
        <w:br/>
        <w:t>•</w:t>
      </w:r>
      <w:r w:rsidRPr="00ED172B">
        <w:rPr>
          <w:color w:val="000000" w:themeColor="text1"/>
        </w:rPr>
        <w:tab/>
        <w:t xml:space="preserve">SUSU Plans will aid the Early Steps State Office in implementing shifts in policy and contracting processes to improve program performance. </w:t>
      </w:r>
      <w:r w:rsidRPr="00ED172B">
        <w:rPr>
          <w:color w:val="000000" w:themeColor="text1"/>
        </w:rPr>
        <w:br/>
      </w:r>
      <w:r w:rsidRPr="00ED172B">
        <w:rPr>
          <w:color w:val="000000" w:themeColor="text1"/>
        </w:rPr>
        <w:br/>
        <w:t>Next steps for Data System and Child Outcomes Data Quality</w:t>
      </w:r>
      <w:r w:rsidRPr="00ED172B">
        <w:rPr>
          <w:color w:val="000000" w:themeColor="text1"/>
        </w:rPr>
        <w:br/>
        <w:t>• Implement a new data system in FY 2023-2024 that provides a single source of record for information pertaining to a child, includes all planned system components, is fully functional, and allows for the tracking of child outcomes data.</w:t>
      </w:r>
      <w:r w:rsidRPr="00ED172B">
        <w:rPr>
          <w:color w:val="000000" w:themeColor="text1"/>
        </w:rPr>
        <w:br/>
        <w:t>• Upon implementation of the new Early Steps data system, develop tools and a structure to project needs of the Early Steps Program, monitor programmatic and fiscal status, track compliance with federal and state requirements, and manage budget.</w:t>
      </w:r>
      <w:r w:rsidRPr="00ED172B">
        <w:rPr>
          <w:color w:val="000000" w:themeColor="text1"/>
        </w:rPr>
        <w:br/>
        <w:t>• Evaluate and monitor improved child social-emotional development at implementation sites and statewide.</w:t>
      </w:r>
      <w:r w:rsidRPr="00ED172B">
        <w:rPr>
          <w:color w:val="000000" w:themeColor="text1"/>
        </w:rPr>
        <w:br/>
        <w:t>• Develop strategies to effectively disaggregate data to determine and address equity in access to Early Steps Program services and whether child and family outcomes are consistent across diverse demographics</w:t>
      </w:r>
      <w:r w:rsidRPr="00ED172B">
        <w:rPr>
          <w:color w:val="000000" w:themeColor="text1"/>
        </w:rPr>
        <w:br/>
      </w:r>
      <w:r w:rsidRPr="00ED172B">
        <w:rPr>
          <w:color w:val="000000" w:themeColor="text1"/>
        </w:rPr>
        <w:br/>
        <w:t>Anticipated outcome(s):</w:t>
      </w:r>
      <w:r w:rsidRPr="00ED172B">
        <w:rPr>
          <w:color w:val="000000" w:themeColor="text1"/>
        </w:rPr>
        <w:br/>
        <w:t>• Stakeholders use the system to support program improvement to increase the percent of children with improved social emotional growth.</w:t>
      </w:r>
      <w:r w:rsidRPr="00ED172B">
        <w:rPr>
          <w:color w:val="000000" w:themeColor="text1"/>
        </w:rPr>
        <w:br/>
        <w:t>• High quality accurate data increases the percent of children exiting the program with an increased rate of social-emotional growth.</w:t>
      </w:r>
      <w:r w:rsidRPr="00ED172B">
        <w:rPr>
          <w:color w:val="000000" w:themeColor="text1"/>
        </w:rPr>
        <w:br/>
      </w:r>
      <w:r w:rsidRPr="00ED172B">
        <w:rPr>
          <w:color w:val="000000" w:themeColor="text1"/>
        </w:rPr>
        <w:br/>
        <w:t>Next steps for Governance</w:t>
      </w:r>
      <w:r w:rsidRPr="00ED172B">
        <w:rPr>
          <w:color w:val="000000" w:themeColor="text1"/>
        </w:rPr>
        <w:br/>
        <w:t>• Develop policies and procedures for statewide implementation of the evidence-based practices in a manner consistent with IDEA regulations and state requirements, and FL-EPIC practices.</w:t>
      </w:r>
      <w:r w:rsidRPr="00ED172B">
        <w:rPr>
          <w:color w:val="000000" w:themeColor="text1"/>
        </w:rPr>
        <w:br/>
        <w:t>• Conduct public participation for draft policies, submit for OSEP approval and implement</w:t>
      </w:r>
      <w:r w:rsidRPr="00ED172B">
        <w:rPr>
          <w:color w:val="000000" w:themeColor="text1"/>
        </w:rPr>
        <w:br/>
      </w:r>
      <w:r w:rsidRPr="00ED172B">
        <w:rPr>
          <w:color w:val="000000" w:themeColor="text1"/>
        </w:rPr>
        <w:br/>
        <w:t xml:space="preserve">Anticipated outcome: </w:t>
      </w:r>
      <w:r w:rsidRPr="00ED172B">
        <w:rPr>
          <w:color w:val="000000" w:themeColor="text1"/>
        </w:rPr>
        <w:br/>
        <w:t>• Service Coordinators, evaluators, providers, and families understand and implement policies and procedures that are clear and consistent with IDEA and state requirements.</w:t>
      </w:r>
      <w:r w:rsidRPr="00ED172B">
        <w:rPr>
          <w:color w:val="000000" w:themeColor="text1"/>
        </w:rPr>
        <w:br/>
      </w:r>
      <w:r w:rsidRPr="00ED172B">
        <w:rPr>
          <w:color w:val="000000" w:themeColor="text1"/>
        </w:rPr>
        <w:br/>
        <w:t>Next steps for Finance</w:t>
      </w:r>
      <w:r w:rsidRPr="00ED172B">
        <w:rPr>
          <w:color w:val="000000" w:themeColor="text1"/>
        </w:rPr>
        <w:br/>
        <w:t>• Fund infrastructure to support implementation of EBPs.</w:t>
      </w:r>
      <w:r w:rsidRPr="00ED172B">
        <w:rPr>
          <w:color w:val="000000" w:themeColor="text1"/>
        </w:rPr>
        <w:br/>
        <w:t>• Request funds from Legislature for continued implementation for FY 2023-2024</w:t>
      </w:r>
      <w:r w:rsidRPr="00ED172B">
        <w:rPr>
          <w:color w:val="000000" w:themeColor="text1"/>
        </w:rPr>
        <w:br/>
        <w:t>• Monitor contracts and funding to ensure adequate resources are available and that performance is consistent with contract provisions.</w:t>
      </w:r>
      <w:r w:rsidRPr="00ED172B">
        <w:rPr>
          <w:color w:val="000000" w:themeColor="text1"/>
        </w:rPr>
        <w:br/>
        <w:t>•</w:t>
      </w:r>
      <w:r w:rsidRPr="00ED172B">
        <w:rPr>
          <w:color w:val="000000" w:themeColor="text1"/>
        </w:rPr>
        <w:tab/>
        <w:t xml:space="preserve">Finalize sustainability plan for long-term statewide implementation of FL-EPIC. </w:t>
      </w:r>
      <w:r w:rsidRPr="00ED172B">
        <w:rPr>
          <w:color w:val="000000" w:themeColor="text1"/>
        </w:rPr>
        <w:br/>
      </w:r>
      <w:r w:rsidRPr="00ED172B">
        <w:rPr>
          <w:color w:val="000000" w:themeColor="text1"/>
        </w:rPr>
        <w:br/>
        <w:t xml:space="preserve">Anticipated outcome: </w:t>
      </w:r>
      <w:r w:rsidRPr="00ED172B">
        <w:rPr>
          <w:color w:val="000000" w:themeColor="text1"/>
        </w:rPr>
        <w:br/>
        <w:t>• The Early Steps Program will fund and sustain statewide infrastructure to support implementation of EBPs to improve social emotional outcomes.</w:t>
      </w:r>
      <w:r w:rsidRPr="00ED172B">
        <w:rPr>
          <w:color w:val="000000" w:themeColor="text1"/>
        </w:rPr>
        <w:br/>
      </w:r>
      <w:r w:rsidRPr="00ED172B">
        <w:rPr>
          <w:color w:val="000000" w:themeColor="text1"/>
        </w:rPr>
        <w:br/>
        <w:t>Next steps for Personnel/Workforce</w:t>
      </w:r>
      <w:r w:rsidRPr="00ED172B">
        <w:rPr>
          <w:color w:val="000000" w:themeColor="text1"/>
        </w:rPr>
        <w:br/>
        <w:t>•</w:t>
      </w:r>
      <w:r w:rsidRPr="00ED172B">
        <w:rPr>
          <w:color w:val="000000" w:themeColor="text1"/>
        </w:rPr>
        <w:tab/>
        <w:t xml:space="preserve">Deliver and scale-up Caregiver Coaching Workshop Training, TEST Toolkits training, Practice Based Coaching and other training related to evidence-based practices. </w:t>
      </w:r>
      <w:r w:rsidRPr="00ED172B">
        <w:rPr>
          <w:color w:val="000000" w:themeColor="text1"/>
        </w:rPr>
        <w:br/>
        <w:t xml:space="preserve">• Revise Early Steps Orientation, Service Coordinator Apprenticeship, ITDS, and COS process training modules to align to FL-EPIC practices and </w:t>
      </w:r>
      <w:r w:rsidRPr="00ED172B">
        <w:rPr>
          <w:color w:val="000000" w:themeColor="text1"/>
        </w:rPr>
        <w:lastRenderedPageBreak/>
        <w:t>current policy.</w:t>
      </w:r>
      <w:r w:rsidRPr="00ED172B">
        <w:rPr>
          <w:color w:val="000000" w:themeColor="text1"/>
        </w:rPr>
        <w:br/>
        <w:t>• Evaluate knowledge and practice of professionals and caregivers in implementation of evidence-based practices.</w:t>
      </w:r>
      <w:r w:rsidRPr="00ED172B">
        <w:rPr>
          <w:color w:val="000000" w:themeColor="text1"/>
        </w:rPr>
        <w:br/>
      </w:r>
      <w:r w:rsidRPr="00ED172B">
        <w:rPr>
          <w:color w:val="000000" w:themeColor="text1"/>
        </w:rPr>
        <w:br/>
        <w:t xml:space="preserve">Anticipated outcome: </w:t>
      </w:r>
      <w:r w:rsidRPr="00ED172B">
        <w:rPr>
          <w:color w:val="000000" w:themeColor="text1"/>
        </w:rPr>
        <w:br/>
        <w:t>• Improved training, knowledge, and practice of workforce will lead to an increase in the percent of children who have an improved rate of growth in social emotional statewide.</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FL-EPIC, which includes: Setting the stage, Observation and Opportunities (SOOPR) Home Visiting Practices, 5Q Embedded Intervention Framework, Pyramid Model Practices</w:t>
      </w:r>
      <w:r w:rsidRPr="00ED172B">
        <w:rPr>
          <w:color w:val="000000" w:themeColor="text1"/>
        </w:rPr>
        <w:br/>
        <w:t>Tools for Early Steps Teams (TEST) Toolkit</w:t>
      </w:r>
      <w:r w:rsidRPr="00ED172B">
        <w:rPr>
          <w:color w:val="000000" w:themeColor="text1"/>
        </w:rPr>
        <w:br/>
        <w:t>Active Implementation Frameworks</w:t>
      </w:r>
      <w:r w:rsidRPr="00ED172B">
        <w:rPr>
          <w:color w:val="000000" w:themeColor="text1"/>
        </w:rPr>
        <w:br/>
      </w:r>
      <w:r w:rsidRPr="00ED172B">
        <w:rPr>
          <w:color w:val="000000" w:themeColor="text1"/>
        </w:rPr>
        <w:br/>
        <w:t xml:space="preserve">These practices are ongoing from prior years.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Embedded Practices and Intervention with Caregivers (EPIC; Woods et al., 2018) was adapted for Florida as FL-EPIC. It includes</w:t>
      </w:r>
      <w:r w:rsidRPr="00ED172B">
        <w:rPr>
          <w:color w:val="000000" w:themeColor="text1"/>
        </w:rPr>
        <w:br/>
        <w:t>SOOPR (Setting the stage, Observation and Opportunities to embed, Problem-solving and planning, Reflection, and review), a 5-Question (5Q) embedded intervention (EI) framework, and a 5Q Visual Model.</w:t>
      </w:r>
      <w:r w:rsidRPr="00ED172B">
        <w:rPr>
          <w:color w:val="000000" w:themeColor="text1"/>
        </w:rPr>
        <w:br/>
        <w:t>The Pyramid Model (Hemmeter et al., 2016) is an evidence-based framework that organizes practices used by adults to promote children’s social-emotional and behavioral competence.</w:t>
      </w:r>
      <w:r w:rsidRPr="00ED172B">
        <w:rPr>
          <w:color w:val="000000" w:themeColor="text1"/>
        </w:rPr>
        <w:br/>
        <w:t>The TEST Toolkit EBPs were adapted from the Tennessee Early Intervention Data System (TEIDS)-Plus Project (Ridgley et al., 2011) for use in Florida and cover evidence-based and recommended practices from first contacts through transition.</w:t>
      </w:r>
      <w:r w:rsidRPr="00ED172B">
        <w:rPr>
          <w:color w:val="000000" w:themeColor="text1"/>
        </w:rPr>
        <w:br/>
        <w:t>Statewide EBP implementation and scale-up is based on the Active Implementation Frameworks (Fixsen, Blase, et al., 2019).</w:t>
      </w:r>
      <w:r w:rsidRPr="00ED172B">
        <w:rPr>
          <w:color w:val="000000" w:themeColor="text1"/>
        </w:rPr>
        <w:br/>
      </w:r>
      <w:r w:rsidRPr="00ED172B">
        <w:rPr>
          <w:color w:val="000000" w:themeColor="text1"/>
        </w:rPr>
        <w:br/>
        <w:t xml:space="preserve">Florida continued to use a multi-tiered evidence-based practices (EBP) approach to impact social-emotional outcomes. Embedded Practices and Intervention with Caregivers (EPIC; Woods et al., 2018) was adapted for Florida as FL-EPIC. FL-EPIC is an EBP caregiver-coaching model for building caregivers’ capacity to embed intervention. Providers coach caregivers using EBPs organized under SOOPR (Setting the stage, Observation and Opportunities to embed, Problem-solving and planning, Reflection, and review) and a 5-question (5Q) embedded intervention (EI) framework. A 5Q Visual Model promotes daily use of EI practices. Pyramid Model social-emotional practices are used with FL-EPIC to support EI for young children’s social-emotional competence and provide positive behavior supports (Hemmeter et al., 2016). </w:t>
      </w:r>
      <w:r w:rsidRPr="00ED172B">
        <w:rPr>
          <w:color w:val="000000" w:themeColor="text1"/>
        </w:rPr>
        <w:br/>
        <w:t xml:space="preserve">Florida is following an evidence-based process for professional development through provider coaching to implement, scale, and sustain the FL-EPIC caregiver coaching model. The Active Implementation Framework enables Florida to continually assess progress in professional competencies, organizational enhancement, and strengthening leadership to make data-informed decisions through ongoing performance assessments to implement and refine effective strategies for early intervention programs. This framework guides work from the direct practice through program administration and accountability as each level of programmatic work contributes to improved outcomes for children. FL-EPIC is itself an evidence-based model for embedding intervention practices that focus on social-emotional skills and supporting parents and other caregivers in embedding learning opportunities in everyday routines. Components of FL-EPIC include the SOOPR, 5Q Framework, and 5Q Visual Model which are evidence-based methods for supporting, guiding, and engaging caregivers to help children learn. These FL-EPIC coaching practices are combined with the evidence-based Pyramid Model for social emotional learning through a process of site selection, orientation, hiring, workshops, coaching sessions, monthly cohort training, and ongoing maintenance coaching. Each stage of the process includes a variety of data collection activities and analysis to ensure that each model component is being implemented with fidelity, leading to changes in practice and improved progress for children. </w:t>
      </w:r>
      <w:r w:rsidRPr="00ED172B">
        <w:rPr>
          <w:color w:val="000000" w:themeColor="text1"/>
        </w:rPr>
        <w:br/>
      </w:r>
      <w:r w:rsidRPr="00ED172B">
        <w:rPr>
          <w:color w:val="000000" w:themeColor="text1"/>
        </w:rPr>
        <w:br/>
        <w:t xml:space="preserve">TEST (Tools for Early Steps Teams) toolkit EBPs were adapted from the Tennessee Early Intervention Data System (TEIDS)-Plus Project (Ridgley et al., 2011) for use in Florida. This 7-component model includes EBPs to support the multi-tiered approach. TEST targets the practices of service coordinators, evaluators, and others as a complement to the more intensive work with providers under FL-EPIC. TEST ensures alignment of EBPs from first contacts with families through evaluation/assessment, IFSP development and implementation, FL-EPIC service delivery, and transition.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Used together, the EBPs increase provider competence and confidence to implement caregiver coaching, which in turn increases families’ confidence and competence to support embedded intervention for child development and learning, including social, emotional, and behavioral learning. Statewide EBP implementation and scale-up is based on the Active Implementation Frameworks (Fixsen, Blase, et al., 2019). SSIP implementation activities focus on professional development as a competency driver to support fidelity of implementation of EBPs, integrated with local and state leadership and organizational drivers.</w:t>
      </w:r>
      <w:r w:rsidRPr="00ED172B">
        <w:rPr>
          <w:color w:val="000000" w:themeColor="text1"/>
        </w:rPr>
        <w:br/>
      </w:r>
      <w:r w:rsidRPr="00ED172B">
        <w:rPr>
          <w:color w:val="000000" w:themeColor="text1"/>
        </w:rPr>
        <w:br/>
        <w:t xml:space="preserve">PD for LICs/PCs. LICs and PCs from the nine sites contracted in FFY 2020 participated in a manualized, 12-hr virtual workshop facilitated by members of the IHE Team in September 2020. The workshop focused on the use of practice-based coaching (PBC) (Snyder et al., 2015; Snyder et al., 2022) to support providers’ use of FL-EPIC practices. PBC is an evidence-based coaching framework that involves shared goal setting and action planning for the EBPs; focused observation of providers coaching caregivers and facilitated reflection and feedback to support providers’ use of EBPs, including the SOOPR caregiver coaching and Pyramid Model practices. PBC workshops were implemented using multiple delivery formats, including individual, large group, small group, and face-to-face or virtually. Before participating in the 12-hr PBC training, LICs and PCs from the Southwest, Gulf Central, Southernmost Coast, and Western Panhandle LESs attended a 1.5-hr virtual orientation to FL-EPIC and a 2-hr virtual introductory training focused on essential FL-EPIC home visiting practices. Coaches from all 9 sites received additional implementation supports from the IHE Team during monthly, 1-hr cross-site coaching calls. LICs also received individualized supports from a member of the IHE Team in quarterly, bi-weekly, or monthly meetings. </w:t>
      </w:r>
      <w:r w:rsidRPr="00ED172B">
        <w:rPr>
          <w:color w:val="000000" w:themeColor="text1"/>
        </w:rPr>
        <w:br/>
      </w:r>
      <w:r w:rsidRPr="00ED172B">
        <w:rPr>
          <w:color w:val="000000" w:themeColor="text1"/>
        </w:rPr>
        <w:br/>
        <w:t xml:space="preserve">PD for providers. PD activities focused on the EBPs (i.e., FL-EPIC, Pyramid Model, and TEST Toolkit) are referred to collectively as FL-EPIC Early Steps Professional Development (FL-EPIC ESPD). FL-EPIC ESPD for early intervention providers included an introductory FL-EPIC Workshop, a 6-month curriculum of monthly professional learning community (PLC) meetings, and PBC. </w:t>
      </w:r>
      <w:r w:rsidRPr="00ED172B">
        <w:rPr>
          <w:color w:val="000000" w:themeColor="text1"/>
        </w:rPr>
        <w:br/>
        <w:t xml:space="preserve">The FL-EPIC Workshop was a 12- to 14-hour PD workshop designed to increase early intervention providers’ awareness and knowledge of FL-EPIC and Pyramid Model EBPs. FL-EPIC Workshops were designed to be facilitated in person over two full days or virtually over four half days. In FFY 2020, all workshops were conducted virtually. </w:t>
      </w:r>
      <w:r w:rsidRPr="00ED172B">
        <w:rPr>
          <w:color w:val="000000" w:themeColor="text1"/>
        </w:rPr>
        <w:br/>
      </w:r>
      <w:r w:rsidRPr="00ED172B">
        <w:rPr>
          <w:color w:val="000000" w:themeColor="text1"/>
        </w:rPr>
        <w:lastRenderedPageBreak/>
        <w:t xml:space="preserve">The monthly PLC curriculum included materials for six group PLC meetings that were 1 ½ to 2 hours each. LICs/PCs facilitated the curriculum with Early Steps Program providers who were participating in the first six months of FL-EPIC ESPD. </w:t>
      </w:r>
      <w:r w:rsidRPr="00ED172B">
        <w:rPr>
          <w:color w:val="000000" w:themeColor="text1"/>
        </w:rPr>
        <w:br/>
        <w:t>Providers who had completed the first six months of FL-EPIC ESPD, service coordinators, evaluation staff, and administrators were also invited to participate. Each session included (a) opportunities to clarify evidence-based SOOPR practices, embedded intervention practices, Pyramid Model practices, COS practices, or assessment practices; (b) provider self-analysis of the use of the practices; and (c) opportunities for practice and feedback about use of the practices. In FFY 2020, all monthly PLC meetings were conducted virtually.</w:t>
      </w:r>
      <w:r w:rsidRPr="00ED172B">
        <w:rPr>
          <w:color w:val="000000" w:themeColor="text1"/>
        </w:rPr>
        <w:br/>
        <w:t>In addition to the monthly PLC meetings, providers participating in FL-EPIC ESPD at each LES site received PBC from a LIC or PC. Providers collaborated with the coach to identify EBPs for the coach to enhance. The provider and coach developed a goal and action plan focused on how to enhance the provider’s use of the priority practice(s). Providers submitted video recordings of home visits to TORSH Talent©, which is a HIPAA-secure online coaching platform that allowed both providers and coaches to review the videos, make comments, and complete a checklist to document which EBPs, including SOOPR caregiver coaching practices, were used during the home visit. The coach conducted focused observations of the provider’s home visit by viewing the video in the coaching platform and completing a practice fidelity checklist. Following the observation, the coach and provider met virtually for reflection and performance-based feedback about the provider’s use of practices that were the focus of the goal and action plan. Providers participated in a minimum of three monthly individual coaching sessions following the FL-EPIC Workshop. Additional coaching supports, including the frequency of coaching (e.g., monthly, every other month, quarterly) and the format of coaching (e.g., individual, large group, small group, self) were determined after the LIC and provider reviewed the provider’s data with respect to the extent to which the provider implemented the essential EBPs, including caregiver coaching practices, with fidelity.</w:t>
      </w:r>
      <w:r w:rsidRPr="00ED172B">
        <w:rPr>
          <w:color w:val="000000" w:themeColor="text1"/>
        </w:rPr>
        <w:br/>
      </w:r>
      <w:r w:rsidRPr="00ED172B">
        <w:rPr>
          <w:color w:val="000000" w:themeColor="text1"/>
        </w:rPr>
        <w:br/>
        <w:t xml:space="preserve">PD for other personnel. Service coordinators from implementation sites participated in orientations to the three parts of FL-EPIC and the TEST Toolkit, with an emphasis on how the practice is used when making first contacts, conducting evaluation/assessment, developing IFSPs, and evaluating child progress are aligned with FL-EPIC. Orientations were facilitated by LICs from the initial demonstration sites, co-facilitated by a LIC and a member of the IHE Team for some sites, or facilitated by the IHE Team for sites whose contracts began in FFY 2020. </w:t>
      </w:r>
      <w:r w:rsidRPr="00ED172B">
        <w:rPr>
          <w:color w:val="000000" w:themeColor="text1"/>
        </w:rPr>
        <w:br/>
      </w:r>
      <w:r w:rsidRPr="00ED172B">
        <w:rPr>
          <w:color w:val="000000" w:themeColor="text1"/>
        </w:rPr>
        <w:br/>
        <w:t xml:space="preserve">Leadership and organizational support activities. FL-EPIC ESPD is guided by the Active Implementation Frameworks (Fixsen et al., 2019), which include three “drivers” of effective implementation of EBPs: competency, leadership, and organizational. FL-EPIC ESPD emphasizes the competency driver for effective implementation of the EBPs. Nevertheless, recognizing the integrated and compensatory nature of all three drivers, local leadership teams (i.e., site administrators, LICs, and PCs) participated in monthly cross-site calls and quarterly cross-site meetings with the SSIP Leadership Team (i.e., Part C director, state parent consultant, program consultant for policy and professional development, other Early Steps State Office personnel) and the IHE Team. The monthly meetings were one hour, and quarterly meetings were two to four hours. The focus of these meetings was to discuss competency, leadership, or organizational implementation facilitators or issues being encountered at the LES sites. To guide decisions and discussions, internal evaluation data gathered by the IHE Team were shared. These data were used to inform recommendations for sustainability and scale-up of the SSIP and to align SSIP activities with other statewide initiatives (e.g., statewide Child Outcome Summary implementation for OSEP child outcome reporting). </w:t>
      </w:r>
      <w:r w:rsidRPr="00ED172B">
        <w:rPr>
          <w:color w:val="000000" w:themeColor="text1"/>
        </w:rPr>
        <w:br/>
      </w:r>
      <w:r w:rsidRPr="00ED172B">
        <w:rPr>
          <w:color w:val="000000" w:themeColor="text1"/>
        </w:rPr>
        <w:br/>
        <w:t>Statewide alignment of SSIP EBPs. The SSIP Leadership Team and other Early Steps State Office personnel collaborated with the IHE Team to revise competencies for the Early Steps Program personnel and considered recommendations from the IHE Team and LES sites for revisions to the content, scope, and sequence of the Early Steps Orientation Modules. The purpose of the recommendations was to ensure alignment of universal, statewide professional development for Early Steps Program providers with the SSIP EBPs. The recommendations were informed by internal evaluation data; knowledge and information gained through experiences across the nine implementation sites; literature focused on competencies for early intervention providers and service coordinators; and competencies from professional organizations and other state agencies.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Checklists and rating scales monitor implementation fidelity and assess practice change, including fidelity of FL-EPIC Workshops, coach implementation of practice-based coaching (PBC; Snyder et al., 2015) with providers, provider implementation of SOOPR practices with caregivers, and caregiver embedded intervention (EI) practices. These data inform changes to ongoing implementation and intervention supports for EBPs. Provider implementation of SOOPR caregiver coaching practices was measured pre-and post-coaching through observations of home visit videos. Caregivers’ use of EI and Pyramid Model practices was evaluated by IHE Team review of 5Q Visual Models and a caregiver reported EI self-efficacy scale. SSIP sites continued to pilot the Child Outcomes Summary (COS) process, evaluating child progress data between the time providers attended the FL-EPIC Workshops and the completion of coaching (i.e., 6-9 months).</w:t>
      </w:r>
      <w:r w:rsidRPr="00ED172B">
        <w:rPr>
          <w:color w:val="000000" w:themeColor="text1"/>
        </w:rPr>
        <w:br/>
        <w:t xml:space="preserve">Evaluation of Changes in Provider EBPs </w:t>
      </w:r>
      <w:r w:rsidRPr="00ED172B">
        <w:rPr>
          <w:color w:val="000000" w:themeColor="text1"/>
        </w:rPr>
        <w:br/>
        <w:t>Caregiver Coaching Practices. Six SOOPR caregiver coaching practices have been identified as essential FL-EPIC practices. These practices are: (1) collaborating with the caregiver to make a plan for the home visit; (2) observing the caregiver-child interactions; (3) using EBP caregiver-coaching strategies to coach the caregiver as they embed Pyramid Model practices; (4) supporting the caregiver to engage in problem solving about practices that support the child’s development; (5) supporting the caregiver to reflect about practices that worked or did not work during the session; and (6) supporting the caregiver to use the 5Q Visual Model to develop a plan for how to embed intervention and use Pyramid Model practices between home visits. As part of internal evaluation activities, the IHE Team watched videos of providers’ home visits and used an EBP checklist focused on FL-EPIC and the Pyramid Model to record the extent to which providers implemented the EBPs as intended. The percentage of sessions in which each of these practices was used in the first and last home visit of FL-EPIC ESPD is summarized below.</w:t>
      </w:r>
      <w:r w:rsidRPr="00ED172B">
        <w:rPr>
          <w:color w:val="000000" w:themeColor="text1"/>
        </w:rPr>
        <w:br/>
      </w:r>
      <w:r w:rsidRPr="00ED172B">
        <w:rPr>
          <w:color w:val="000000" w:themeColor="text1"/>
        </w:rPr>
        <w:br/>
        <w:t xml:space="preserve">Increases were observed in the percentage of home visits where the following practices were implemented: (a) collaborating with caregivers to make a plan for the visit (+8%); (b) observing the caregiver-child interactions (+9%); (c) supporting the caregiver to engage in problem solving about practices that support the child’s development (+2%); (d) supporting the caregiver to reflect about practices that worked or did not work during the session (+17%); and (e) supporting the caregiver to use the 5Q Visual Model to develop a plan for to embed intervention and use Pyramid Model practices between home visits (+11%). A decrease was observed for using EBP caregiver-coaching strategies to coach the caregiver by using the embedded Pyramid Model practices (-6%). One potential explanation for decrease was that this practice was observed in 90% of initial visits and remained the practice that was observed most frequently across home visits; therefore, it might not have been identified as a priority for PBC. </w:t>
      </w:r>
      <w:r w:rsidRPr="00ED172B">
        <w:rPr>
          <w:color w:val="000000" w:themeColor="text1"/>
        </w:rPr>
        <w:br/>
        <w:t>Evaluation of Changes in Caregiver EBPs</w:t>
      </w:r>
      <w:r w:rsidRPr="00ED172B">
        <w:rPr>
          <w:color w:val="000000" w:themeColor="text1"/>
        </w:rPr>
        <w:br/>
        <w:t xml:space="preserve">Embedded intervention and Pyramid Model practices. To evaluate caregivers’ use of embedded intervention and Pyramid Model practices, the IHE team reviewed the 5Q Visual Models completed collaboratively by providers and caregivers. Seven categories of Pyramid Model practices were identified and examined: (1) environmental arrangements, (2) contingent responding, (3) wait time, (4) extra cues, (5) affection, (6) anticipatory guidance, and (7) responding to challenging behavior. The percentage of Visual Models that included practices from the seven categories of Pyramid Model practices was examined for the caregivers’ first and last FL-EPIC ESPD home visits. For caregivers whose providers participated in FFY 2020 workshops, changes in the percentage of 5Q Visual Models that included each category of Pyramid Model practice were: (a) environmental arrangement strategies increased from 50% to 55%; (b) contingent responding strategies increased from 41% to 58%; (c) wait time increased from 36% to 41%; (d) extra cues increased from 84% to 90%; (e) affection strategies increased from 6% to 8%; (f) anticipatory guidance strategies increased from 3% to 10%; and (g) responding to challenging behavior increased from 3% to 12% of 5Q Visual Models. </w:t>
      </w:r>
      <w:r w:rsidRPr="00ED172B">
        <w:rPr>
          <w:color w:val="000000" w:themeColor="text1"/>
        </w:rPr>
        <w:br/>
      </w:r>
      <w:r w:rsidRPr="00ED172B">
        <w:rPr>
          <w:color w:val="000000" w:themeColor="text1"/>
        </w:rPr>
        <w:lastRenderedPageBreak/>
        <w:br/>
        <w:t xml:space="preserve">Caregiver self-efficacy. Caregivers completed an embedded intervention self-efficacy scale and indicated the extent to which the caregivers agreed with (a) knowing how to arrange/set up a routine or activity to help the child learn, (b) could identify who could be a partner for the child’s learning, (c) could identify the routines and activities that were the best fit for teaching the child new skills, (d) could identify different times or places in routines or activities where the child could take a turn or practice using a new skill, and (e) could identify ways to know if the child was learning or able to use a new skill. The rating scale anchors ranged from 1 (strongly disagree) to 6 (strongly agree). The percentage of caregivers who indicated agreement with self-efficacy statements increased for all five statements following the provider’s participation in FL-EPIC ESPD. </w:t>
      </w:r>
      <w:r w:rsidRPr="00ED172B">
        <w:rPr>
          <w:color w:val="000000" w:themeColor="text1"/>
        </w:rPr>
        <w:br/>
        <w:t>Impact on Progress Toward Improving Child Social-Emotional Outcomes</w:t>
      </w:r>
      <w:r w:rsidRPr="00ED172B">
        <w:rPr>
          <w:color w:val="000000" w:themeColor="text1"/>
        </w:rPr>
        <w:br/>
      </w:r>
      <w:r w:rsidRPr="00ED172B">
        <w:rPr>
          <w:color w:val="000000" w:themeColor="text1"/>
        </w:rPr>
        <w:br/>
        <w:t xml:space="preserve">Child outcome summary. For the FL-EPIC ESPD internal evaluation, data about children’s progress were collected between the time providers attended the FL-EPIC Workshops and the the time the providers completed approximately 6-months of FL-EPIC ESPD activities, which included PBC.The data reported are from 60 children whose providers participated in workshops in FFY 2020 and for which there is a pre-and a post-FL-EPIC Child Outcome Summary (COS). Of these children, 59% substantially increased the rate of growth with respect to Outcome 1 (positive social-emotional skills), and 35% were within age expectations for positive social-emotional skills at the end of the provider’s participation in FL-EPIC ESPD. These data show the progress children made in social-emotional skills after receiving approximately 6 months of FL-EPIC caregiver coaching support by providers to embed intervention on priority social-emotional skills. By comparison, for the 24 children for whom COS entry-exit data were available for OSEP child outcome reporting in FFY 2020, results for Outcome 1 (social-emotional skills) were 42.1% for children who substantially increased the rate of growth and 41.7% for children who were within age expectations. Data from SSIP internal evaluation activities and OSEP outcome reporting will continue to be examined to ensure progress toward improving children’s social-emotional outcomes.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Detail of Professional Development Activities and Evaluation of Implementation Fidelity </w:t>
      </w:r>
      <w:r w:rsidRPr="00ED172B">
        <w:rPr>
          <w:color w:val="000000" w:themeColor="text1"/>
        </w:rPr>
        <w:br/>
        <w:t xml:space="preserve">PD for LICs/PCs. A 56-item implementation fidelity checklist was completed for the LIC/PC workshop to ensure content for the PBC workshop was implemented as intended. The percentage for LIC/PC training implementation fidelity was 100%. Following the PBC workshops, participants completed an evaluation that included 18 rating scale items related to the quality of the workshop, the relevance of the content, and the importance of the content, plus a one-item overall rating of the facilitator(s).  The mean rating across the items rated on a 4-point scale was 3.8 (SD = 0.3). The mean score for facilitators was 5.0 (SD = 0). Following the PBC workshops, coaches participated in 12 cross-site coaching calls that were facilitated by the IHE Team to support ongoing implementation of PBC. The LICs from each site also met with a member of the IHE Team to receive feedback about use of coaching practices. LICs from the three initial demonstration sites met with an IHE Team member monthly or quarterly. LICs from the two sites that began implementation in FFY 2019 met with an IHE Team member monthly. LICs from the four sites that began implementation in FFY 2020 met with an IHE Team member twice per month in the first six months of implementation, and monthly thereafter. </w:t>
      </w:r>
      <w:r w:rsidRPr="00ED172B">
        <w:rPr>
          <w:color w:val="000000" w:themeColor="text1"/>
        </w:rPr>
        <w:br/>
      </w:r>
      <w:r w:rsidRPr="00ED172B">
        <w:rPr>
          <w:color w:val="000000" w:themeColor="text1"/>
        </w:rPr>
        <w:br/>
        <w:t>PD for Providers. Across the nine implementation sites, 163 providers participated in FL-EPIC Workshops in FFY 2020. Following workshops, 132 providers either completed or are currently in the process of completing the monthly PLC curriculum and PBC. Additional detail is available regarding providers who discontinued participation.</w:t>
      </w:r>
      <w:r w:rsidRPr="00ED172B">
        <w:rPr>
          <w:color w:val="000000" w:themeColor="text1"/>
        </w:rPr>
        <w:br/>
      </w:r>
      <w:r w:rsidRPr="00ED172B">
        <w:rPr>
          <w:color w:val="000000" w:themeColor="text1"/>
        </w:rPr>
        <w:br/>
        <w:t xml:space="preserve">FL-EPIC workshops. Sixteen FL-EPIC Workshops were attended by 163 providers across the nine sites in FFY 2020. The mean percentage for workshop implementation fidelity across all workshops was 98% (SD = 1). The mean percentage for workshop implementation fidelity of workshops facilitated by the IHE Team, co-facilitated by the IHE Team and site LICs/PCs, and facilitated independently by LICs/PCs was 97% (SD = 0.6), 98% (SD = 1.4), and 97% (SD = 1.5), respectively. Following each workshop, participants completed an evaluation that included 18 rating scale items related to the quality of the workshops, the relevance of the content, and the importance of the content, plus a one-item overall rating of the facilitator(s). The rating scale anchors were the same as those described for the LIC/PC coaching workshops. Across all provider workshops, the mean evaluation rating for items rated on a 4-point scale was 3.7 (SD = 0.4). The mean rating for workshops facilitated by the IHE Team, co-facilitated by the IHE Team and LICs/PCs, and facilitated independently by LICs/PCs was 3.7 (SD = 0.4), 3.6 (SD = 0.5), and 3.7 (SD = 0.3), respectively. The mean rating for facilitators on a 5-point scale across all workshops was 4.9 (SD = 0.4). The mean facilitator rating for workshops facilitated by the IHE Team, co-facilitated by the IHE Team and LICs/PCs, and facilitated independently by LICs/PCs was 4.8 (SD = 0.4), 4.8 (SD = 0.4), and 4.9 (SD = 0.4), respectively. </w:t>
      </w:r>
      <w:r w:rsidRPr="00ED172B">
        <w:rPr>
          <w:color w:val="000000" w:themeColor="text1"/>
        </w:rPr>
        <w:br/>
      </w:r>
      <w:r w:rsidRPr="00ED172B">
        <w:rPr>
          <w:color w:val="000000" w:themeColor="text1"/>
        </w:rPr>
        <w:br/>
        <w:t>Monthly PLC meetings. Of the providers who participated in virtual workshops, 132 completed or are in the process of completing the six monthly PLC meetings. Participants completed an evaluation, for each meeting attended, that included ten rating scale items about the quality of the training, the relevance of the content, and the importance of the content, plus a one-item overall rating of the facilitator(s). The rating scale anchors for the participant evaluations were the same as described for the FL-EPIC Workshops. The mean evaluation rating for PLC meeting items rated on a 4-point scale was 3.5 (SD = 0.7). The mean rating for facilitators on a 5-point scale was 4.8 (SD = 0.5).</w:t>
      </w:r>
      <w:r w:rsidRPr="00ED172B">
        <w:rPr>
          <w:color w:val="000000" w:themeColor="text1"/>
        </w:rPr>
        <w:br/>
      </w:r>
      <w:r w:rsidRPr="00ED172B">
        <w:rPr>
          <w:color w:val="000000" w:themeColor="text1"/>
        </w:rPr>
        <w:br/>
        <w:t>Practice-based coaching. Of the providers who participated in virtual workshops, 132 completed or are in the process of completing the recommended number of PBC sessions based on implementation of EBPs. All coaches reported implementation fidelity for individual coaching sessions using a 16-item coaching fidelity checklist. In addition, the IHE Team randomly selected 25% of individual coaching sessions for coaches from sites that began implementation in FFY 2020, viewed the coaching video, and completed the same 16-item coaching fidelity checklist completed by coaches. The mean percentage for coaching implementation fidelity reported by coaches across all coaching sessions in FFY 2020 was 91% (SD = 11). The mean percentage for coaching implementation fidelity reported by the IHE Team for the seven coaches from sites that began implementation in FFY 2020 was 80% across all coded coaching sessions (SD = 12). The mean percentage fidelity criterion for PBC implementation is &gt;80%. Following coaching, providers completed a social validity questionnaire that included 17 rating scale items to assess the extent to which PBC helped support the use of EBPs. Participants rated agreement with each item using a 6-point scale ranging from 1 (strongly disagree) to 6 (strongly agree). The mean rating across 58 providers who completed the questionnaire was 5.2 (SD = 0.7).  In addition, 95% of the providers (n = 56) indicated to somewhat agree (n = 2), agree (n = 16), or strongly agree (n = 38) with the statement that the feedback received from the individual coach helped implementation of EBPs.</w:t>
      </w:r>
      <w:r w:rsidRPr="00ED172B">
        <w:rPr>
          <w:color w:val="000000" w:themeColor="text1"/>
        </w:rPr>
        <w:br/>
      </w:r>
      <w:r w:rsidRPr="00ED172B">
        <w:rPr>
          <w:color w:val="000000" w:themeColor="text1"/>
        </w:rPr>
        <w:br/>
        <w:t>COS Training. During FFY 2020, as part of the statewide implementation of the COS, the Early Steps Program providers completed required online training focused on the COS process. FL-EPIC LES implementation sites determined whether providers participating in FL-EPIC ESPD were required to complete the supplemental FL-EPIC COS training. Based on participant evaluations submitted following the FL-EPIC COS training, 69 of 163 providers completed the supplemental training and submitted a participant evaluation of the COS training. Participants completed an evaluation for the COS training that included ten rating scale items about the quality of the training, the relevance of the content, and the importance of the content, plus one item that is an overall rating of the facilitator(s). The rating scale anchors for the participant evaluations were the same as described for the FL-EPIC Workshops. The mean evaluation rating for evaluation items rated on a 4-point scale was 3.5 (SD = 0.4). The mean rating for facilitators on a 5-point scale was 4.8 (SD = 0.4).</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lastRenderedPageBreak/>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From July 2021 to present, the Early Steps State Office and IHE Team have been providing technical assistance to existing sites as they develop the SUSU plans. Baseline data from each of nine LESs that have been participating in FL-EPIC ESPD for at least 12 months were submitted by September 30, 2021. Submitted data enumerate: LES Leadership Team members; number of LES providers; number of providers in the natural environment; number and description of professionals who have participated in FL-EPIC workshops, coaching, and/or service coordinator orientation and TEST Toolkit training. Initial SUSU plans for nine LES sites entering sustainability and scale-up in FFY 2021 will be submitted to the Early Steps State Office in December 2021 for review and approval. The Early Steps State Office plans to continue to support sites during implementation of initial plans and updates, as needed. The IHE Team will support the Early Steps State Office and LES sites as they engage in SUSU activities and plan revisions or updates, as requested. In FFY 2021, the three penultimate FL-EPIC sites will submit the SUSU Plans, with the three final sites submitting plans in FFY 2022. </w:t>
      </w:r>
      <w:r w:rsidRPr="00ED172B">
        <w:rPr>
          <w:color w:val="000000" w:themeColor="text1"/>
        </w:rPr>
        <w:br/>
      </w:r>
      <w:r w:rsidRPr="00ED172B">
        <w:rPr>
          <w:color w:val="000000" w:themeColor="text1"/>
        </w:rPr>
        <w:br/>
        <w:t>FFY 2021 will bring initial FL-EPIC ESPD implementation to the final three LESs. The Early Steps State Office will be working with the IHE Team to provide support and guidance to these sites in advance of the next fiscal as the sites undertake administrative tasks necessary to onboard Lead Implementation Coaches and other staff needs as quickly as possible.</w:t>
      </w:r>
      <w:r w:rsidRPr="00ED172B">
        <w:rPr>
          <w:color w:val="000000" w:themeColor="text1"/>
        </w:rPr>
        <w:br/>
      </w:r>
      <w:r w:rsidRPr="00ED172B">
        <w:rPr>
          <w:color w:val="000000" w:themeColor="text1"/>
        </w:rPr>
        <w:br/>
        <w:t>In FFY 2021, the IHE Team and the Early Steps State Office will begin revising the Early Steps Program professional development courses. This collaboration will ensure that the Early Steps State Office-required trainings fully integrate practice competencies that align to FL-EPIC ESPD. Additionally, the IHE Team will be completing the website that will host the TEST Toolkit resources. These two activities are key as the Early Steps Program works to cement the FL-EPIC ESPD enhancements into standard practice.</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NA</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Interagency Coordinating Council</w:t>
      </w:r>
      <w:r w:rsidRPr="00ED172B">
        <w:rPr>
          <w:color w:val="000000" w:themeColor="text1"/>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rPr>
        <w:br/>
      </w:r>
      <w:r w:rsidRPr="00ED172B">
        <w:rPr>
          <w:color w:val="000000" w:themeColor="text1"/>
        </w:rPr>
        <w:br/>
        <w:t>Stakeholder Workgroups</w:t>
      </w:r>
      <w:r w:rsidRPr="00ED172B">
        <w:rPr>
          <w:color w:val="000000" w:themeColor="text1"/>
        </w:rPr>
        <w:br/>
        <w:t xml:space="preserve">In accordance with Section 391.308(2)(c), Florida Statutes, the Early Steps Program is required to: </w:t>
      </w:r>
      <w:r w:rsidRPr="00ED172B">
        <w:rPr>
          <w:color w:val="000000" w:themeColor="text1"/>
        </w:rPr>
        <w:br/>
      </w:r>
      <w:r w:rsidRPr="00ED172B">
        <w:rPr>
          <w:color w:val="000000" w:themeColor="text1"/>
        </w:rPr>
        <w:br/>
        <w:t xml:space="preserve">Develop a State Plan annually and ensure the State Plan is developed through an inclusive process that involves families, local programs, health care providers, and other stakeholders. </w:t>
      </w:r>
      <w:r w:rsidRPr="00ED172B">
        <w:rPr>
          <w:color w:val="000000" w:themeColor="text1"/>
        </w:rPr>
        <w:br/>
      </w:r>
      <w:r w:rsidRPr="00ED172B">
        <w:rPr>
          <w:color w:val="000000" w:themeColor="text1"/>
        </w:rPr>
        <w:br/>
        <w:t>The Early Steps Program established five workgroups, in partnership with the LES Programs, FICCIT, and other community partners to assist with Early Steps Program strategic planning for program priorities. Representatives included members of FICCIT, LES Programs, parents, and other state agencies and programs that serve young children and their families. The stakeholder groups provide opportunity for input in the preparation of the Early Steps State Plan. Input is gathered through face-to-face meetings, webinars, and video/conference calls.</w:t>
      </w:r>
      <w:r w:rsidRPr="00ED172B">
        <w:rPr>
          <w:color w:val="000000" w:themeColor="text1"/>
        </w:rPr>
        <w:br/>
      </w:r>
      <w:r w:rsidRPr="00ED172B">
        <w:rPr>
          <w:color w:val="000000" w:themeColor="text1"/>
        </w:rPr>
        <w:br/>
        <w:t>The stakeholder workgroups have also completed the ECTA System Frameworks or the DaSy Data System Framework Self-Assessments as tools to record the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rPr>
        <w:br/>
      </w:r>
      <w:r w:rsidRPr="00ED172B">
        <w:rPr>
          <w:color w:val="000000" w:themeColor="text1"/>
        </w:rPr>
        <w:br/>
        <w:t xml:space="preserve">The stakeholder workgroups met and reviewed historical data and targets on September 29, October 4, 8, 11, 19, and December 2, 2021, to provide input and recommendations for setting new targets for FFY 2020-2025. When reviewing information, the workgroups focused on the data collection tools, data quality, and trends in performance. Analysis for meeting and/or not meeting previous targets was discussed. Continued impact of COVID-19 and weather emergencies were also considered. </w:t>
      </w:r>
      <w:r w:rsidRPr="00ED172B">
        <w:rPr>
          <w:color w:val="000000" w:themeColor="text1"/>
        </w:rPr>
        <w:br/>
        <w:t>Florida is transitioning the methodology for collecting Indicator 3 Early Child Outcomes data from the Battelle Developmental Inventory, 2nd Edition (BDI-2) as the primary entry and exit evaluation to measure child outcomes to the Early Childhood Outcomes Center (ECO) Child Outcome Summary (COS) process. This change in methodology will impact the ability to compare future data to historical data and previous target data that was set when the BDI-2 was the exclusive tool to measure child outcomes. After reviewing historical data with stakeholder workgroups, Florida requests to reset the baseline data for Indicator 3 using FY 2019 data: for 3A1 from 31.80 % to 26.03%, 3A2 from 68.80% to 50.54%, 3B1 from 54.20% to 74.27%, 3B2 from 44.00% to 47.78%, 3C1 from 54.10% to 84.36% and 3C2 from 69.40% to 87.66%.</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experiences of stakeholders were used to shape the implementation and evaluation of the EBPs, including FL-EPIC tools, practices, and infrastructure. A team of LES administrators, LICs, PCs, and Family Resource Specialists were involved in developing professional development materials, refining coaching tools, developing Spanish language materials, and enhancing other SSIP activities. From the beginning of FL-EPIC, demonstration sites and subsequent sites have participated in refining all training curricula and evaluation instruments; provider checklists; and materials provided to LICs/PCs, providers, FRSs, and parents. Providers were surveyed to evaluate FL-EPIC Workshops, monthly PLCs, and PBC. Parent/caregiver stakeholders were surveyed to evaluate providers’ caregiver coaching practices and rate their self-efficacy in embedded intervention to support the child’s development and learning.   </w:t>
      </w:r>
      <w:r w:rsidRPr="00ED172B">
        <w:rPr>
          <w:rFonts w:cs="Arial"/>
          <w:b w:val="0"/>
          <w:color w:val="000000" w:themeColor="text1"/>
          <w:szCs w:val="16"/>
        </w:rPr>
        <w:br/>
      </w:r>
      <w:r w:rsidRPr="00ED172B">
        <w:rPr>
          <w:rFonts w:cs="Arial"/>
          <w:b w:val="0"/>
          <w:color w:val="000000" w:themeColor="text1"/>
          <w:szCs w:val="16"/>
        </w:rPr>
        <w:br/>
        <w:t>Additionally, the Early Steps State Office staff consulted with FL-EPIC stakeholders (LICs/PCs and LES Leadership Teams) to address needs for additional performance measures to enhance LES and program accountability, resulting in the development of the SUSU Plan process. The template for the SUSU Plans and the Baseline Data report were vetted by LES Leadership Teams during development to ensure usability and completeness.</w:t>
      </w:r>
      <w:r w:rsidRPr="00ED172B">
        <w:rPr>
          <w:rFonts w:cs="Arial"/>
          <w:b w:val="0"/>
          <w:color w:val="000000" w:themeColor="text1"/>
          <w:szCs w:val="16"/>
        </w:rPr>
        <w:br/>
      </w:r>
      <w:r w:rsidRPr="00ED172B">
        <w:rPr>
          <w:rFonts w:cs="Arial"/>
          <w:b w:val="0"/>
          <w:color w:val="000000" w:themeColor="text1"/>
          <w:szCs w:val="16"/>
        </w:rPr>
        <w:lastRenderedPageBreak/>
        <w:br/>
        <w:t xml:space="preserve">At the state level, the Child and Family Outcomes workgroup brings together the shared expertise of parents (two LES Family Resource Specialists and the State Parent Representative), LES leadership (three LES Administrators, one Evaluator, five Lead Implementation Coaches, two Service Coordinators all representing 11 of 15 LESs across Florida), service providers (three Service Providers, including one who is the FICCIT representative for the workgroup), and multi-sector partners (five Partners representing state agencies, university researchers, and local non-Early Steps Program service providers, with three additional members representing the IHE Team) to guide Early Steps’ efforts to improve child outcomes and family outcomes. This workgroup meets quarterly to address a progressive agenda developed collaboratively. Additionally, during Spring and Summer 2021, task area-related subgroups were formed from this larger workgroup to address specific program needs through stakeholder input. These subgroups met monthly from April through August to develop specific recommendations for the full group to review and approve. The Early Steps State Office has implemented or is in the process of enacting the recommendations, which include: </w:t>
      </w:r>
      <w:r w:rsidRPr="00ED172B">
        <w:rPr>
          <w:rFonts w:cs="Arial"/>
          <w:b w:val="0"/>
          <w:color w:val="000000" w:themeColor="text1"/>
          <w:szCs w:val="16"/>
        </w:rPr>
        <w:br/>
        <w:t>• Contract for additional training and technical assistance for the COS Process (pending execution of contract).</w:t>
      </w:r>
      <w:r w:rsidRPr="00ED172B">
        <w:rPr>
          <w:rFonts w:cs="Arial"/>
          <w:b w:val="0"/>
          <w:color w:val="000000" w:themeColor="text1"/>
          <w:szCs w:val="16"/>
        </w:rPr>
        <w:br/>
        <w:t>• Revise policy to clarify COS requirements, amend to no longer mandate exit COS for children receiving less than six months of services.</w:t>
      </w:r>
      <w:r w:rsidRPr="00ED172B">
        <w:rPr>
          <w:rFonts w:cs="Arial"/>
          <w:b w:val="0"/>
          <w:color w:val="000000" w:themeColor="text1"/>
          <w:szCs w:val="16"/>
        </w:rPr>
        <w:br/>
        <w:t>• Revise COS Implementation Guidance Document to add additional clarity to policy and procedures (revised).</w:t>
      </w:r>
      <w:r w:rsidRPr="00ED172B">
        <w:rPr>
          <w:rFonts w:cs="Arial"/>
          <w:b w:val="0"/>
          <w:color w:val="000000" w:themeColor="text1"/>
          <w:szCs w:val="16"/>
        </w:rPr>
        <w:br/>
        <w:t>• Develop and implement mentoring relationships between FL-EPIC sites (this task was undertaken by LICs in partnership with the IHE Team and is fully operational).</w:t>
      </w:r>
      <w:r w:rsidRPr="00ED172B">
        <w:rPr>
          <w:rFonts w:cs="Arial"/>
          <w:b w:val="0"/>
          <w:color w:val="000000" w:themeColor="text1"/>
          <w:szCs w:val="16"/>
        </w:rPr>
        <w:br/>
        <w:t>• Identify additional resource needs for FL-EPIC sites for IHE Team to develop, including Installation Resource Guide and Family Voice document developed with FRS leaders.</w:t>
      </w:r>
      <w:r w:rsidRPr="00ED172B">
        <w:rPr>
          <w:rFonts w:cs="Arial"/>
          <w:b w:val="0"/>
          <w:color w:val="000000" w:themeColor="text1"/>
          <w:szCs w:val="16"/>
        </w:rPr>
        <w:br/>
        <w:t>• Begin FL-EPIC orientation earlier with new sites to address administrative challenges (final three sites will begin orientation February 2022 instead of May 2022).</w:t>
      </w:r>
      <w:r w:rsidRPr="00ED172B">
        <w:rPr>
          <w:rFonts w:cs="Arial"/>
          <w:b w:val="0"/>
          <w:color w:val="000000" w:themeColor="text1"/>
          <w:szCs w:val="16"/>
        </w:rPr>
        <w:br/>
        <w:t>• Identify additional parent and FRS members to serve on other workgroups (ongoing), incorporate FRSs into FL-EPIC LES Leadership Teams (in progress with some LES fully incorporating).</w:t>
      </w:r>
      <w:r w:rsidRPr="00ED172B">
        <w:rPr>
          <w:rFonts w:cs="Arial"/>
          <w:b w:val="0"/>
          <w:color w:val="000000" w:themeColor="text1"/>
          <w:szCs w:val="16"/>
        </w:rPr>
        <w:br/>
        <w:t>• Identify existing and develop additional materials for parents that respond to different information preferences and needs.</w:t>
      </w:r>
      <w:r w:rsidRPr="00ED172B">
        <w:rPr>
          <w:rFonts w:cs="Arial"/>
          <w:b w:val="0"/>
          <w:color w:val="000000" w:themeColor="text1"/>
          <w:szCs w:val="16"/>
        </w:rPr>
        <w:br/>
        <w:t>• Develop a strategy for monthly peer learning calls co-facilitated by a subject matter expert and an Early Steps State Office representative.</w:t>
      </w:r>
      <w:r w:rsidRPr="00ED172B">
        <w:rPr>
          <w:rFonts w:cs="Arial"/>
          <w:b w:val="0"/>
          <w:color w:val="000000" w:themeColor="text1"/>
          <w:szCs w:val="16"/>
        </w:rPr>
        <w:br/>
        <w:t>• Develop 2020-2025 Targets for Indicators 3 &amp; 4.</w:t>
      </w:r>
      <w:r w:rsidRPr="00ED172B">
        <w:rPr>
          <w:rFonts w:cs="Arial"/>
          <w:b w:val="0"/>
          <w:color w:val="000000" w:themeColor="text1"/>
          <w:szCs w:val="16"/>
        </w:rPr>
        <w:br/>
      </w:r>
      <w:r w:rsidRPr="00ED172B">
        <w:rPr>
          <w:rFonts w:cs="Arial"/>
          <w:b w:val="0"/>
          <w:color w:val="000000" w:themeColor="text1"/>
          <w:szCs w:val="16"/>
        </w:rPr>
        <w:br/>
        <w:t xml:space="preserve">As Florida continues to enhance stakeholder engagement, we will be working to assess and enhance inclusion and representativeness across our stakeholder opportunities.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FL-EPIC stakeholders are continually engaged via monthly meetings with the Lead Implementation Coaches and monthly Cross-Site meetings with the LES Leadership Teams. This implementation project is built on participant collaboration in designing and refining the program materials and evaluation processes. Stakeholder input is intrinsic to the process.</w:t>
      </w:r>
      <w:r w:rsidRPr="00ED172B">
        <w:rPr>
          <w:color w:val="000000" w:themeColor="text1"/>
        </w:rPr>
        <w:br/>
      </w:r>
      <w:r w:rsidRPr="00ED172B">
        <w:rPr>
          <w:color w:val="000000" w:themeColor="text1"/>
        </w:rPr>
        <w:br/>
        <w:t xml:space="preserve">Additionally, the Child and Family Outcomes (CFO) workgroup was engaged to make recommendations for child outcomes targets and finalize plans related to implementation of the COS process and other aspects of outcomes strategies. Workgroup membership was selected from the previous Child and Family Outcomes Workgroup and the SSIP Workgroup, which were merged in 2021 in response to stakeholder feedback. Members were selected to represent all regions of Florida, multiple LES agencies, the diverse communities across Florida, and partnering agencies across the early childhood field. Additionally, members were specifically selected to reflect different professional backgrounds and roles within the Early Steps Program network and to ensure family voices are centered. The group is strongly representative of LICs because of our directive to move toward FL-EPIC becoming the way all Early Steps Program services are delivered. The Early Steps State Office will be reviewing our various workgroups in the future to ensure these groups effectively represent the communities we serve. The workgroup is co-facilitated by an LES administrator from an urban region, an LIC from a mixed urban and rural region, and the Early Steps State Office SSIP Analyst. </w:t>
      </w:r>
      <w:r w:rsidRPr="00ED172B">
        <w:rPr>
          <w:color w:val="000000" w:themeColor="text1"/>
        </w:rPr>
        <w:br/>
      </w:r>
      <w:r w:rsidRPr="00ED172B">
        <w:rPr>
          <w:color w:val="000000" w:themeColor="text1"/>
        </w:rPr>
        <w:br/>
        <w:t>Like all Early Steps Program workgroups, the CFO workgroup meetings are always publicly noticed and open to public comment. These meetings are scheduled in advance, generally to occur at consistent times, though sometimes it is necessary to reschedule when conflicts arise. Any schedule changes are noticed. The agenda is developed by the workgroup co-facilitators in response to prior meeting discussions (e.g., Early Steps State Office progress on stakeholder recommendations) and programmatic needs (e.g., indicator target setting) and shared with stakeholders in advance. Each meeting includes a public comment period. The workgroup periodically performs the ECTA self-assessment and regularly considers what perspectives are not yet included among the membership.</w:t>
      </w:r>
      <w:r w:rsidRPr="00ED172B">
        <w:rPr>
          <w:color w:val="000000" w:themeColor="text1"/>
        </w:rPr>
        <w:br/>
      </w:r>
      <w:r w:rsidRPr="00ED172B">
        <w:rPr>
          <w:color w:val="000000" w:themeColor="text1"/>
        </w:rPr>
        <w:br/>
        <w:t xml:space="preserve">Publicly noticed meetings were held for broad stakeholder engagement in reviewing and approving policy revisions in Spring 2021. Florida law requires public hearings for all policy revisions. The Early Steps Policy Handbook and Operations Guide is revised annually, inviting Policy Change Requests (PCR) from all stakeholders and the public. PCRs are accepted year-round, and The Early Steps Program announces to stakeholders when the policy revision process is beginning, inviting additional PCR submission. Internal staff use the same PCR process for policy revisions as external stakeholders. Requested revisions are reviewed by the Early Steps State Office policy staff and program experts with consideration for affected program components and any unintended effects. Revised policy is drafted and made available (with consistent markup of revisions) for public review, with public hearings scheduled and publicly noticed and advertised to stakeholders to ensure robust participation. During the public hearings, the Early Steps State Office staff clarify the revisions made and why revisions were made. Public comment is accepted during these hearings, and any further revisions are considered and made in response to public comments. Revised policies are reviewed internally and submitted to OSEP for approval as necessary. When fully approved, revised policy is posted on the Early Steps Program website.  </w:t>
      </w:r>
      <w:r w:rsidRPr="00ED172B">
        <w:rPr>
          <w:color w:val="000000" w:themeColor="text1"/>
        </w:rPr>
        <w:br/>
      </w:r>
      <w:r w:rsidRPr="00ED172B">
        <w:rPr>
          <w:color w:val="000000" w:themeColor="text1"/>
        </w:rPr>
        <w:br/>
        <w:t>The Early Steps Program is considering new strategies to evaluate stakeholder participation and identify more effective ways of outreach that engage more perspectives for program and policy input.</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Stakeholders from each of the nine FFY 2020 implementation sites expressed concerns about FL-EPIC ESPD and FL-EPIC sustainability and scale-up activities and requested opportunities to discuss and receive follow-up guidance about these activities and related performance measures. The Early Steps State Office collaborated with the IHE Team and the implementation sites to develop guidance and a template for local sites to use to develop Scaling and Sustainability and Plans (i.e., SUSU plans). The plans include activities and locally determined performance measures for monitoring local sustainability and scale-up with consideration for competency, leadership, and organizational drivers. The Early Steps State Office and the IHE Team are providing technical assistance to sites in FFY 2021 as they develop the SUSU plans.</w:t>
      </w:r>
      <w:r w:rsidRPr="00ED172B">
        <w:rPr>
          <w:color w:val="000000" w:themeColor="text1"/>
        </w:rPr>
        <w:br/>
      </w:r>
      <w:r w:rsidRPr="00ED172B">
        <w:rPr>
          <w:color w:val="000000" w:themeColor="text1"/>
        </w:rPr>
        <w:lastRenderedPageBreak/>
        <w:br/>
        <w:t>The Child and Family Outcomes Workgroup, representing stakeholders from LESs, families, and statewide partner agencies across early childhood services, contributed to the development of the SUSU Plan strategy. Additionally, this group reviewed the new Early Steps Policy Component 13 (currently under OSEP review) and made substantial contributions to policy changes around the COS Process. One such policy change includes returning to Florida’s prior practice of exit assessment for children who have received at least six months of services. In FFY 2019, the Early Steps State Office required exit assessment for all children, to reduce the administrative burden of calculating which children needed exits. Stakeholders shared concerns that completing the COS Process for children with less than six months of services was not helpful for understanding program success and needs, resulting in the policy change.</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Stakeholders from each of the nine FFY 2020 implementation sites expressed concerns about FL-EPIC ESPD and FL-EPIC sustainability and scale-up activities and requested opportunities to discuss and receive follow-up guidance about the activities and related performance measures. The sites are aware of the need to shift from initial implementation to making FL-EPIC the standard for the Early Steps Program services. This transition is especially pertinent as the final three implementation sites are added in FFY 2022. The improvement strategies that comprise FL-EPIC are demonstrating promising results that must be expanded across the state if Florida is to succeed in improving social emotional developmental outcomes. </w:t>
      </w:r>
      <w:r w:rsidRPr="00ED172B">
        <w:rPr>
          <w:color w:val="000000" w:themeColor="text1"/>
        </w:rPr>
        <w:br/>
      </w:r>
      <w:r w:rsidRPr="00ED172B">
        <w:rPr>
          <w:color w:val="000000" w:themeColor="text1"/>
        </w:rPr>
        <w:br/>
        <w:t>Additionally, the Early Steps State Office identified the implementation rollout timeline and individual site variation in program administration presented a barrier to consistent monitoring and accountability for implementation sites. The Early Steps State Office needed a method for identifying relevant performance measures relating to FL-EPIC fidelity, practice changes, and outcomes.</w:t>
      </w:r>
      <w:r w:rsidRPr="00ED172B">
        <w:rPr>
          <w:color w:val="000000" w:themeColor="text1"/>
        </w:rPr>
        <w:br/>
      </w:r>
      <w:r w:rsidRPr="00ED172B">
        <w:rPr>
          <w:color w:val="000000" w:themeColor="text1"/>
        </w:rPr>
        <w:br/>
        <w:t xml:space="preserve">The Early Steps State Office collaborated with the IHE Team and the implementation sites to develop guidance and a template for local sites to use to develop Scaling and Sustainability Plans (i.e., SUSU plans). The plans include activities and locally identified performance measures for monitoring local sustainability and scale-up with consideration for competency, leadership, and organizational drivers. The Early Steps State Office and the IHE Team are providing technical assistance to sites in FFY 2021 during development of the SUSU plans. The Early Steps State Office contracts team, SSIP Analyst, and each contract’s assigned program consultant will collaborate with each LES to review the SUSU Plan, ensure essential supports are in place, and monitor progress to identified milestones. Contracts were amended at the close of FFY 2020 to incorporate accountability to these milestones and clarify the process for plan revision as additional needs, barriers, and progress become evident.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Jessica O Meyer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jessica.meyer@flhealth.gov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850-245-4456</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4:55:45 PM</w:t>
      </w:r>
    </w:p>
    <w:p w14:paraId="7B3F3D6E" w14:textId="1CECCBBA" w:rsidR="00740103" w:rsidRDefault="00740103">
      <w:pPr>
        <w:spacing w:before="0" w:after="200" w:line="276" w:lineRule="auto"/>
        <w:rPr>
          <w:rFonts w:cs="Arial"/>
          <w:b/>
          <w:color w:val="000000" w:themeColor="text1"/>
          <w:szCs w:val="16"/>
        </w:rPr>
      </w:pPr>
      <w:r>
        <w:rPr>
          <w:rFonts w:cs="Arial"/>
          <w:b/>
          <w:color w:val="000000" w:themeColor="text1"/>
          <w:szCs w:val="16"/>
        </w:rPr>
        <w:br w:type="page"/>
      </w:r>
    </w:p>
    <w:p w14:paraId="03D6EEAB" w14:textId="3CF9D429" w:rsidR="00E91A48" w:rsidRDefault="00E91A48" w:rsidP="00E91A48">
      <w:pPr>
        <w:pStyle w:val="Heading1"/>
        <w:rPr>
          <w:color w:val="000000" w:themeColor="text1"/>
        </w:rPr>
      </w:pPr>
      <w:r>
        <w:rPr>
          <w:color w:val="000000" w:themeColor="text1"/>
        </w:rPr>
        <w:lastRenderedPageBreak/>
        <w:t>ED Attachments</w:t>
      </w:r>
    </w:p>
    <w:p w14:paraId="574D0248" w14:textId="441CE62B" w:rsidR="00E91A48" w:rsidRDefault="00E91A48" w:rsidP="00E91A48"/>
    <w:p w14:paraId="23B6D86A" w14:textId="55F69BD5" w:rsidR="00E91A48" w:rsidRPr="00740103" w:rsidRDefault="00E91A48" w:rsidP="00740103">
      <w:r>
        <w:object w:dxaOrig="1504" w:dyaOrig="982" w14:anchorId="24965DDF">
          <v:shape id="_x0000_i1026" type="#_x0000_t75" alt="FL-C-Dispute-Resolution-2020-21&#10;" style="width:1in;height:50.1pt" o:ole="">
            <v:imagedata r:id="rId14" o:title=""/>
          </v:shape>
          <o:OLEObject Type="Embed" ProgID="Acrobat.Document.DC" ShapeID="_x0000_i1026" DrawAspect="Icon" ObjectID="_1726482972" r:id="rId15"/>
        </w:object>
      </w:r>
      <w:r w:rsidR="00005482">
        <w:tab/>
      </w:r>
      <w:r w:rsidR="00005482">
        <w:tab/>
      </w:r>
      <w:r w:rsidR="004C1A10">
        <w:object w:dxaOrig="1579" w:dyaOrig="1022" w14:anchorId="3B44FEDC">
          <v:shape id="_x0000_i1032" type="#_x0000_t75" alt="fl-c-resultsmatrix-2022&#10;" style="width:78.9pt;height:51.25pt" o:ole="">
            <v:imagedata r:id="rId16" o:title=""/>
          </v:shape>
          <o:OLEObject Type="Embed" ProgID="Acrobat.Document.DC" ShapeID="_x0000_i1032" DrawAspect="Icon" ObjectID="_1726482973" r:id="rId17"/>
        </w:object>
      </w:r>
      <w:r w:rsidR="00005482">
        <w:tab/>
      </w:r>
      <w:r w:rsidR="004448DA">
        <w:object w:dxaOrig="1579" w:dyaOrig="1022" w14:anchorId="751D9E2E">
          <v:shape id="_x0000_i1030" type="#_x0000_t75" alt="FL-2022DataRubricPartC&#10;" style="width:78.9pt;height:50.7pt" o:ole="">
            <v:imagedata r:id="rId18" o:title=""/>
          </v:shape>
          <o:OLEObject Type="Embed" ProgID="Excel.Sheet.12" ShapeID="_x0000_i1030" DrawAspect="Icon" ObjectID="_1726482974" r:id="rId19"/>
        </w:object>
      </w:r>
    </w:p>
    <w:sectPr w:rsidR="00E91A48" w:rsidRPr="00740103"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03E6" w14:textId="77777777" w:rsidR="00D12729" w:rsidRDefault="00D12729" w:rsidP="000802F7">
      <w:pPr>
        <w:spacing w:before="0" w:after="0"/>
      </w:pPr>
      <w:r>
        <w:separator/>
      </w:r>
    </w:p>
  </w:endnote>
  <w:endnote w:type="continuationSeparator" w:id="0">
    <w:p w14:paraId="41D1F255" w14:textId="77777777" w:rsidR="00D12729" w:rsidRDefault="00D12729" w:rsidP="000802F7">
      <w:pPr>
        <w:spacing w:before="0" w:after="0"/>
      </w:pPr>
      <w:r>
        <w:continuationSeparator/>
      </w:r>
    </w:p>
  </w:endnote>
  <w:endnote w:type="continuationNotice" w:id="1">
    <w:p w14:paraId="7BABDF57" w14:textId="77777777" w:rsidR="00D12729" w:rsidRDefault="00D127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6627" w14:textId="77777777" w:rsidR="00D12729" w:rsidRDefault="00D12729" w:rsidP="000802F7">
      <w:pPr>
        <w:spacing w:before="0" w:after="0"/>
      </w:pPr>
      <w:r>
        <w:separator/>
      </w:r>
    </w:p>
  </w:footnote>
  <w:footnote w:type="continuationSeparator" w:id="0">
    <w:p w14:paraId="3D6E1FA3" w14:textId="77777777" w:rsidR="00D12729" w:rsidRDefault="00D12729" w:rsidP="000802F7">
      <w:pPr>
        <w:spacing w:before="0" w:after="0"/>
      </w:pPr>
      <w:r>
        <w:continuationSeparator/>
      </w:r>
    </w:p>
  </w:footnote>
  <w:footnote w:type="continuationNotice" w:id="1">
    <w:p w14:paraId="272A0788" w14:textId="77777777" w:rsidR="00D12729" w:rsidRDefault="00D127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21.5pt;height:21.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5482"/>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3E2B"/>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48DA"/>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A10"/>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67EF9"/>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6CC2"/>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0CF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010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0AC"/>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2729"/>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1A48"/>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5BDE83-E1DC-48DE-8E56-9F8A54C03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37804</Words>
  <Characters>215485</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2022-08-10T20:01:00Z</dcterms:created>
  <dcterms:modified xsi:type="dcterms:W3CDTF">2022-10-05T17:46:00Z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d7c18a8c-8340-4b0b-a413-272a4b94514b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