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Florida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 xml:space="preserve">Additional information related to data collection and </w:t>
      </w:r>
      <w:proofErr w:type="gramStart"/>
      <w:r w:rsidRPr="00781112">
        <w:rPr>
          <w:b/>
          <w:bCs/>
        </w:rPr>
        <w:t>reporting</w:t>
      </w:r>
      <w:proofErr w:type="gramEnd"/>
    </w:p>
    <w:p w14:paraId="614EAC72" w14:textId="596641E7" w:rsidR="00757D21" w:rsidRPr="00781112" w:rsidRDefault="00757D21">
      <w:pPr>
        <w:rPr>
          <w:b/>
          <w:color w:val="000000" w:themeColor="text1"/>
        </w:rPr>
      </w:pPr>
      <w:r w:rsidRPr="00781112">
        <w:rPr>
          <w:color w:val="000000" w:themeColor="text1"/>
        </w:rPr>
        <w:t xml:space="preserve">FDOE INFORMATION DATABASE: Section 1008.385(2), Florida Statutes, mandates that each school district and the Florida Department of Education (FDOE) develop and implement a comprehensive management information system made up of compatible components and links all levels of the state education system. The automated student information system is the vehicle school districts use to transfer student records using state-defined elements and formats electronically. In contrast, the automated staff information system serves the same purpose for school district personnel. </w:t>
      </w:r>
      <w:r w:rsidRPr="00781112">
        <w:rPr>
          <w:color w:val="000000" w:themeColor="text1"/>
        </w:rPr>
        <w:br/>
        <w:t xml:space="preserve"> </w:t>
      </w:r>
      <w:r w:rsidRPr="00781112">
        <w:rPr>
          <w:color w:val="000000" w:themeColor="text1"/>
        </w:rPr>
        <w:br/>
        <w:t xml:space="preserve">STATE REPORTING FORMATS AND DATA ELEMENTS: An essential component of the FDOE Information DataBase is the data element. In the automated student information system, there are over 300 data elements. For a complete list of the student database formats and data elements, please refer to the database manuals online http://fldoe.org/accountability/datasys/database-manuals-updates/.  </w:t>
      </w:r>
      <w:r w:rsidRPr="00781112">
        <w:rPr>
          <w:color w:val="000000" w:themeColor="text1"/>
        </w:rPr>
        <w:br/>
        <w:t xml:space="preserve"> </w:t>
      </w:r>
      <w:r w:rsidRPr="00781112">
        <w:rPr>
          <w:color w:val="000000" w:themeColor="text1"/>
        </w:rPr>
        <w:br/>
        <w:t xml:space="preserve">SURVEYS: Formats are submitted during scheduled survey periods. Surveys 1-4 are concurrent with the FTE survey weeks specified by the Commissioner of Education. Surveys 1-4 collect data on students in membership and attendance during survey weeks. Survey 5 is used to collect data about all students who were in membership at any time during the school year (end of year information). </w:t>
      </w:r>
      <w:r w:rsidRPr="00781112">
        <w:rPr>
          <w:color w:val="000000" w:themeColor="text1"/>
        </w:rPr>
        <w:br/>
        <w:t xml:space="preserve"> </w:t>
      </w:r>
      <w:r w:rsidRPr="00781112">
        <w:rPr>
          <w:color w:val="000000" w:themeColor="text1"/>
        </w:rPr>
        <w:br/>
        <w:t xml:space="preserve">OTHER CALCULATION CONSIDERATIONS: Data sets used for purposes of the SPP/APR are typically gathered at a point in time following the state processing but before the final update/amendment date. Because districts may submit changes for </w:t>
      </w:r>
      <w:proofErr w:type="gramStart"/>
      <w:r w:rsidRPr="00781112">
        <w:rPr>
          <w:color w:val="000000" w:themeColor="text1"/>
        </w:rPr>
        <w:t>a period of time</w:t>
      </w:r>
      <w:proofErr w:type="gramEnd"/>
      <w:r w:rsidRPr="00781112">
        <w:rPr>
          <w:color w:val="000000" w:themeColor="text1"/>
        </w:rPr>
        <w:t xml:space="preserve"> following the survey due date, calculation results will vary depending on when the data are pulled. In some cases, data for determining </w:t>
      </w:r>
      <w:proofErr w:type="gramStart"/>
      <w:r w:rsidRPr="00781112">
        <w:rPr>
          <w:color w:val="000000" w:themeColor="text1"/>
        </w:rPr>
        <w:t>whether or not</w:t>
      </w:r>
      <w:proofErr w:type="gramEnd"/>
      <w:r w:rsidRPr="00781112">
        <w:rPr>
          <w:color w:val="000000" w:themeColor="text1"/>
        </w:rPr>
        <w:t xml:space="preserve"> a district has met an indicator target may be pulled before the final update/amendment data. </w:t>
      </w:r>
      <w:r w:rsidRPr="00781112">
        <w:rPr>
          <w:color w:val="000000" w:themeColor="text1"/>
        </w:rPr>
        <w:br/>
        <w:t xml:space="preserve"> </w:t>
      </w:r>
      <w:r w:rsidRPr="00781112">
        <w:rPr>
          <w:color w:val="000000" w:themeColor="text1"/>
        </w:rPr>
        <w:br/>
        <w:t xml:space="preserve">OTHER DATA SOURCES </w:t>
      </w:r>
      <w:r w:rsidRPr="00781112">
        <w:rPr>
          <w:color w:val="000000" w:themeColor="text1"/>
        </w:rPr>
        <w:br/>
        <w:t xml:space="preserve">In addition to the FDOE Information Data Base, other sources of data are used to determine if Florida has met SPP goals. These data sources include: </w:t>
      </w:r>
      <w:r w:rsidRPr="00781112">
        <w:rPr>
          <w:color w:val="000000" w:themeColor="text1"/>
        </w:rPr>
        <w:br/>
        <w:t xml:space="preserve">Bureau of Accountability Reporting assessment results </w:t>
      </w:r>
      <w:r w:rsidRPr="00781112">
        <w:rPr>
          <w:color w:val="000000" w:themeColor="text1"/>
        </w:rPr>
        <w:br/>
        <w:t xml:space="preserve">Parent involvement survey results </w:t>
      </w:r>
      <w:r w:rsidRPr="00781112">
        <w:rPr>
          <w:color w:val="000000" w:themeColor="text1"/>
        </w:rPr>
        <w:br/>
        <w:t xml:space="preserve">Early Childhood outcomes results </w:t>
      </w:r>
      <w:r w:rsidRPr="00781112">
        <w:rPr>
          <w:color w:val="000000" w:themeColor="text1"/>
        </w:rPr>
        <w:br/>
        <w:t xml:space="preserve">60-day timeline data submitted by districts to BEESS </w:t>
      </w:r>
      <w:r w:rsidRPr="00781112">
        <w:rPr>
          <w:color w:val="000000" w:themeColor="text1"/>
        </w:rPr>
        <w:br/>
        <w:t xml:space="preserve">Florida Education Training and Placement Information (FETPIP) files </w:t>
      </w:r>
      <w:r w:rsidRPr="00781112">
        <w:rPr>
          <w:color w:val="000000" w:themeColor="text1"/>
        </w:rPr>
        <w:br/>
        <w:t xml:space="preserve">Florida Department of Health Early Steps program data </w:t>
      </w:r>
      <w:proofErr w:type="gramStart"/>
      <w:r w:rsidRPr="00781112">
        <w:rPr>
          <w:color w:val="000000" w:themeColor="text1"/>
        </w:rPr>
        <w:t>files</w:t>
      </w:r>
      <w:proofErr w:type="gramEnd"/>
      <w:r w:rsidRPr="00781112">
        <w:rPr>
          <w:color w:val="000000" w:themeColor="text1"/>
        </w:rPr>
        <w:t xml:space="preserve">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78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Overview: </w:t>
      </w:r>
      <w:r w:rsidRPr="00781112">
        <w:rPr>
          <w:rFonts w:cs="Arial"/>
          <w:color w:val="000000" w:themeColor="text1"/>
          <w:szCs w:val="16"/>
        </w:rPr>
        <w:br/>
        <w:t xml:space="preserve">The Florida Department of Education (FDOE), Bureau of Exceptional Education and Student Services (BEESS), Dispute Resolution and Monitoring section, assumes primary responsibility for the exceptional student education (ESE) monitoring and dispute resolution functions for </w:t>
      </w:r>
      <w:proofErr w:type="gramStart"/>
      <w:r w:rsidRPr="00781112">
        <w:rPr>
          <w:rFonts w:cs="Arial"/>
          <w:color w:val="000000" w:themeColor="text1"/>
          <w:szCs w:val="16"/>
        </w:rPr>
        <w:t>the all</w:t>
      </w:r>
      <w:proofErr w:type="gramEnd"/>
      <w:r w:rsidRPr="00781112">
        <w:rPr>
          <w:rFonts w:cs="Arial"/>
          <w:color w:val="000000" w:themeColor="text1"/>
          <w:szCs w:val="16"/>
        </w:rPr>
        <w:t xml:space="preserve"> state's local educational agencies (LEA). </w:t>
      </w:r>
      <w:r w:rsidRPr="00781112">
        <w:rPr>
          <w:rFonts w:cs="Arial"/>
          <w:color w:val="000000" w:themeColor="text1"/>
          <w:szCs w:val="16"/>
        </w:rPr>
        <w:br/>
        <w:t xml:space="preserve"> </w:t>
      </w:r>
      <w:r w:rsidRPr="00781112">
        <w:rPr>
          <w:rFonts w:cs="Arial"/>
          <w:color w:val="000000" w:themeColor="text1"/>
          <w:szCs w:val="16"/>
        </w:rPr>
        <w:br/>
        <w:t xml:space="preserve">Monitoring System </w:t>
      </w:r>
      <w:r w:rsidRPr="00781112">
        <w:rPr>
          <w:rFonts w:cs="Arial"/>
          <w:color w:val="000000" w:themeColor="text1"/>
          <w:szCs w:val="16"/>
        </w:rPr>
        <w:br/>
        <w:t xml:space="preserve">BEESS implements a leveled (tiered) system of compliance monitoring. All LEAs participate in an annual desktop monitoring for the compliance process. BEESS verifies some LEAs participate in on-site monitoring and technical assistance visits based, in part, on data gathered through this process. </w:t>
      </w:r>
      <w:r w:rsidRPr="00781112">
        <w:rPr>
          <w:rFonts w:cs="Arial"/>
          <w:color w:val="000000" w:themeColor="text1"/>
          <w:szCs w:val="16"/>
        </w:rPr>
        <w:br/>
        <w:t xml:space="preserve"> </w:t>
      </w:r>
      <w:r w:rsidRPr="00781112">
        <w:rPr>
          <w:rFonts w:cs="Arial"/>
          <w:color w:val="000000" w:themeColor="text1"/>
          <w:szCs w:val="16"/>
        </w:rPr>
        <w:br/>
        <w:t xml:space="preserve">Desktop Monitoring for compliance (Tier 2 and 3) </w:t>
      </w:r>
      <w:r w:rsidRPr="00781112">
        <w:rPr>
          <w:rFonts w:cs="Arial"/>
          <w:color w:val="000000" w:themeColor="text1"/>
          <w:szCs w:val="16"/>
        </w:rPr>
        <w:br/>
        <w:t xml:space="preserve">The desktop monitoring process comprises primary and focused (Tier 2 and Tier 3) components to ensure that LEAs comply with all applicable laws, regulations, and state statutes and rules while focusing on student outcomes. The bureau has developed compliance protocols to align with selected indicators using the Office of Special Education Programs (OSEP) Part B SPP/APR Related Requirements document and includes specific standards (i.e., regulatory requirements) OSEP determined to relate most directly to each priority area and indicator under the Individuals with Disabilities Education Act (IDEA) and Florida-specific statutes and rules the protocols, including citations for each standard. Desktop monitoring is the bureau-led process where LEAs review critical components of their ESE programs. LEAs are responsible for completing the protocols and identifying and reporting required corrective actions. The ESE General Supervision Website (GSW) provides information and guidance for these protocols. Corrective action plans and noncompliance findings are also reported and tracked via https://BESEgsw.org/. </w:t>
      </w:r>
      <w:r w:rsidRPr="00781112">
        <w:rPr>
          <w:rFonts w:cs="Arial"/>
          <w:color w:val="000000" w:themeColor="text1"/>
          <w:szCs w:val="16"/>
        </w:rPr>
        <w:br/>
        <w:t xml:space="preserve"> </w:t>
      </w:r>
      <w:r w:rsidRPr="00781112">
        <w:rPr>
          <w:rFonts w:cs="Arial"/>
          <w:color w:val="000000" w:themeColor="text1"/>
          <w:szCs w:val="16"/>
        </w:rPr>
        <w:br/>
        <w:t xml:space="preserve">On-Site Monitoring and Technical Assistance (Tier 3) </w:t>
      </w:r>
      <w:r w:rsidRPr="00781112">
        <w:rPr>
          <w:rFonts w:cs="Arial"/>
          <w:color w:val="000000" w:themeColor="text1"/>
          <w:szCs w:val="16"/>
        </w:rPr>
        <w:br/>
        <w:t xml:space="preserve">The purposes of the on-site monitoring and technical assistance process include the following: </w:t>
      </w:r>
      <w:r w:rsidRPr="00781112">
        <w:rPr>
          <w:rFonts w:cs="Arial"/>
          <w:color w:val="000000" w:themeColor="text1"/>
          <w:szCs w:val="16"/>
        </w:rPr>
        <w:br/>
        <w:t xml:space="preserve">1. Monitoring the performance of students with disabilities and supporting LEAs in their efforts to improve results supporting LEAs disabilities graduate college and be career-ready by reducing barriers to equity and access. </w:t>
      </w:r>
      <w:r w:rsidRPr="00781112">
        <w:rPr>
          <w:rFonts w:cs="Arial"/>
          <w:color w:val="000000" w:themeColor="text1"/>
          <w:szCs w:val="16"/>
        </w:rPr>
        <w:br/>
        <w:t xml:space="preserve">2. Monitoring compliance with related IDEA regulations and corresponding state rules to include state statutory requirements related to the use of restraint and seclusion. </w:t>
      </w:r>
      <w:r w:rsidRPr="00781112">
        <w:rPr>
          <w:rFonts w:cs="Arial"/>
          <w:color w:val="000000" w:themeColor="text1"/>
          <w:szCs w:val="16"/>
        </w:rPr>
        <w:br/>
        <w:t xml:space="preserve"> </w:t>
      </w:r>
      <w:r w:rsidRPr="00781112">
        <w:rPr>
          <w:rFonts w:cs="Arial"/>
          <w:color w:val="000000" w:themeColor="text1"/>
          <w:szCs w:val="16"/>
        </w:rPr>
        <w:br/>
        <w:t xml:space="preserve">Criteria for Selection of LEAs: </w:t>
      </w:r>
      <w:r w:rsidRPr="00781112">
        <w:rPr>
          <w:rFonts w:cs="Arial"/>
          <w:color w:val="000000" w:themeColor="text1"/>
          <w:szCs w:val="16"/>
        </w:rPr>
        <w:br/>
        <w:t xml:space="preserve">1. Identification as an LEA that is required to set aside 15 percent of the IDEA, Part B funds for comprehensive early intervening services based on data reflecting significant disproportionality in the categories of discipline, over-identification, or placement. </w:t>
      </w:r>
      <w:r w:rsidRPr="00781112">
        <w:rPr>
          <w:rFonts w:cs="Arial"/>
          <w:color w:val="000000" w:themeColor="text1"/>
          <w:szCs w:val="16"/>
        </w:rPr>
        <w:br/>
      </w:r>
      <w:r w:rsidRPr="00781112">
        <w:rPr>
          <w:rFonts w:cs="Arial"/>
          <w:color w:val="000000" w:themeColor="text1"/>
          <w:szCs w:val="16"/>
        </w:rPr>
        <w:lastRenderedPageBreak/>
        <w:t xml:space="preserve">2. LEA performance regarding: </w:t>
      </w:r>
      <w:r w:rsidRPr="00781112">
        <w:rPr>
          <w:rFonts w:cs="Arial"/>
          <w:color w:val="000000" w:themeColor="text1"/>
          <w:szCs w:val="16"/>
        </w:rPr>
        <w:br/>
        <w:t xml:space="preserve">a. Percentage of students with disabilities graduating with a standard high school diploma </w:t>
      </w:r>
      <w:r w:rsidRPr="00781112">
        <w:rPr>
          <w:rFonts w:cs="Arial"/>
          <w:color w:val="000000" w:themeColor="text1"/>
          <w:szCs w:val="16"/>
        </w:rPr>
        <w:br/>
        <w:t xml:space="preserve">b. Percentage of students with individual educational plans (IEPs) dropping out of high school </w:t>
      </w:r>
      <w:r w:rsidRPr="00781112">
        <w:rPr>
          <w:rFonts w:cs="Arial"/>
          <w:color w:val="000000" w:themeColor="text1"/>
          <w:szCs w:val="16"/>
        </w:rPr>
        <w:br/>
        <w:t xml:space="preserve">c. Rates of suspension and expulsion for students with IEPs </w:t>
      </w:r>
      <w:r w:rsidRPr="00781112">
        <w:rPr>
          <w:rFonts w:cs="Arial"/>
          <w:color w:val="000000" w:themeColor="text1"/>
          <w:szCs w:val="16"/>
        </w:rPr>
        <w:br/>
        <w:t xml:space="preserve">d. Percentage of students with IEPs served in the regular education environment </w:t>
      </w:r>
      <w:r w:rsidRPr="00781112">
        <w:rPr>
          <w:rFonts w:cs="Arial"/>
          <w:color w:val="000000" w:themeColor="text1"/>
          <w:szCs w:val="16"/>
        </w:rPr>
        <w:br/>
        <w:t xml:space="preserve">e. Postsecondary outcomes for students with IEPs </w:t>
      </w:r>
      <w:r w:rsidRPr="00781112">
        <w:rPr>
          <w:rFonts w:cs="Arial"/>
          <w:color w:val="000000" w:themeColor="text1"/>
          <w:szCs w:val="16"/>
        </w:rPr>
        <w:br/>
        <w:t xml:space="preserve">f. Percentage of schools identified as underperforming based on Florida’s adopted federal indicator calculations for the subgroup of students with disabilities </w:t>
      </w:r>
      <w:r w:rsidRPr="00781112">
        <w:rPr>
          <w:rFonts w:cs="Arial"/>
          <w:color w:val="000000" w:themeColor="text1"/>
          <w:szCs w:val="16"/>
        </w:rPr>
        <w:br/>
        <w:t xml:space="preserve">3. Disproportionate representation of racial and ethnic groups in specific disability categories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inappropriate identification </w:t>
      </w:r>
      <w:r w:rsidRPr="00781112">
        <w:rPr>
          <w:rFonts w:cs="Arial"/>
          <w:color w:val="000000" w:themeColor="text1"/>
          <w:szCs w:val="16"/>
        </w:rPr>
        <w:br/>
        <w:t xml:space="preserve">4. Reported incidents of restraint or seclusion for students with IEPs </w:t>
      </w:r>
      <w:r w:rsidRPr="00781112">
        <w:rPr>
          <w:rFonts w:cs="Arial"/>
          <w:color w:val="000000" w:themeColor="text1"/>
          <w:szCs w:val="16"/>
        </w:rPr>
        <w:br/>
        <w:t xml:space="preserve"> </w:t>
      </w:r>
      <w:r w:rsidRPr="00781112">
        <w:rPr>
          <w:rFonts w:cs="Arial"/>
          <w:color w:val="000000" w:themeColor="text1"/>
          <w:szCs w:val="16"/>
        </w:rPr>
        <w:br/>
        <w:t xml:space="preserve">Dispute Resolution </w:t>
      </w:r>
      <w:r w:rsidRPr="00781112">
        <w:rPr>
          <w:rFonts w:cs="Arial"/>
          <w:color w:val="000000" w:themeColor="text1"/>
          <w:szCs w:val="16"/>
        </w:rPr>
        <w:br/>
        <w:t xml:space="preserve">The responsibilities and activities of the Dispute Resolution and Monitoring section also include the following: coordination of the review and approval of LEA policies and procedures related to students with disabilities: provision of technical assistance and support to districts related to compliance with state and federal regulations and the districts associated to the education of students with disabilities; facilitation of informal resolution at the local level; provision of state-sponsored mediation; provision of state-sponsored facilitated IEP process; and investigation of formal state complaints and oversight of the IDEA related due process hearing system. Daily, bureau staff responds to parent and stakeholder calls. Everyday correspondence includes concerns associated with the education of children with disabilities and facilitated communication between the parents and the LEAs. Information and resources are also provided to parents and LEAs to assist in the resolution of the issues. When the issues cannot be resolved informally at the local level, parents may request state-sponsored mediation or facilitated IEP team meetings, file a formal state complaint, or request a due process hearing. </w:t>
      </w:r>
      <w:r w:rsidRPr="00781112">
        <w:rPr>
          <w:rFonts w:cs="Arial"/>
          <w:color w:val="000000" w:themeColor="text1"/>
          <w:szCs w:val="16"/>
        </w:rPr>
        <w:br/>
        <w:t xml:space="preserve"> </w:t>
      </w:r>
      <w:r w:rsidRPr="00781112">
        <w:rPr>
          <w:rFonts w:cs="Arial"/>
          <w:color w:val="000000" w:themeColor="text1"/>
          <w:szCs w:val="16"/>
        </w:rPr>
        <w:br/>
        <w:t xml:space="preserve">Facilitated IEP Team Meetings </w:t>
      </w:r>
      <w:r w:rsidRPr="00781112">
        <w:rPr>
          <w:rFonts w:cs="Arial"/>
          <w:color w:val="000000" w:themeColor="text1"/>
          <w:szCs w:val="16"/>
        </w:rPr>
        <w:br/>
        <w:t xml:space="preserve">Training is provided to IEP participants in all LEAs regarding the facilitated IEP process. LEAs are supported through discretionary projects to offer facilitation at the district level. Facilitation requests are also received and processed by bureau staff for state-sponsored facilitators. State-sponsored facilitators are provided at no cost to the parents or the LEA. </w:t>
      </w:r>
      <w:r w:rsidRPr="00781112">
        <w:rPr>
          <w:rFonts w:cs="Arial"/>
          <w:color w:val="000000" w:themeColor="text1"/>
          <w:szCs w:val="16"/>
        </w:rPr>
        <w:br/>
        <w:t xml:space="preserve"> </w:t>
      </w:r>
      <w:r w:rsidRPr="00781112">
        <w:rPr>
          <w:rFonts w:cs="Arial"/>
          <w:color w:val="000000" w:themeColor="text1"/>
          <w:szCs w:val="16"/>
        </w:rPr>
        <w:br/>
        <w:t xml:space="preserve">Mediation </w:t>
      </w:r>
      <w:r w:rsidRPr="00781112">
        <w:rPr>
          <w:rFonts w:cs="Arial"/>
          <w:color w:val="000000" w:themeColor="text1"/>
          <w:szCs w:val="16"/>
        </w:rPr>
        <w:br/>
        <w:t xml:space="preserve">Mediation requests are received and processed by bureau staff with contracted mediators. State-sponsored mediation is provided at no cost to the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or the LEA. Formal complaints are investigated by bureau staff who offer mediation to the complainants and the LEAs as an alternative remedy. If both parties agree to mediation and the extension of the complaint, the complaint investigation is placed in abeyance pending the outcome of the mediation process (which usually takes place within two weeks of the request). If an agreement is reached, the parties execute a legally binding agreement that sets forth the resolution and is signed by both parties. The written, signed mediation agreement is enforceable in state or U.S. LEA court. State Complaint </w:t>
      </w:r>
      <w:r w:rsidRPr="00781112">
        <w:rPr>
          <w:rFonts w:cs="Arial"/>
          <w:color w:val="000000" w:themeColor="text1"/>
          <w:szCs w:val="16"/>
        </w:rPr>
        <w:br/>
        <w:t xml:space="preserve"> </w:t>
      </w:r>
      <w:r w:rsidRPr="00781112">
        <w:rPr>
          <w:rFonts w:cs="Arial"/>
          <w:color w:val="000000" w:themeColor="text1"/>
          <w:szCs w:val="16"/>
        </w:rPr>
        <w:br/>
        <w:t xml:space="preserve">State Complaint </w:t>
      </w:r>
      <w:r w:rsidRPr="00781112">
        <w:rPr>
          <w:rFonts w:cs="Arial"/>
          <w:color w:val="000000" w:themeColor="text1"/>
          <w:szCs w:val="16"/>
        </w:rPr>
        <w:br/>
        <w:t xml:space="preserve">For formal complaints that proceed to full investigation, both parties are provided an opportunity to submit documentation regarding the complainant’s allegations and the LEA’s response. Following FDOE's review of documentation and other inquiry activities which may include interviews, records reviews or on-site visits, a report is issued within 60 days of the full filing per federal law with findings of fact, conclusions, reasons for the decision and recommendations, required actions or corrective actions, as appropriate. A due process hearing may be requested in addition to a request for mediation or the filing of a formal complaint. If all three are requested, the mediation occurs first (if both parties agree to mediate). If the complaint issues are the same as the issues to be addressed in the due process hearing, the complaint inquiry is placed in abeyance pending the outcome of the due process hearing. If there are issues in the complaint that are not a part of the due process hearing, investigation of these issues </w:t>
      </w:r>
      <w:proofErr w:type="gramStart"/>
      <w:r w:rsidRPr="00781112">
        <w:rPr>
          <w:rFonts w:cs="Arial"/>
          <w:color w:val="000000" w:themeColor="text1"/>
          <w:szCs w:val="16"/>
        </w:rPr>
        <w:t>proceed</w:t>
      </w:r>
      <w:proofErr w:type="gramEnd"/>
      <w:r w:rsidRPr="00781112">
        <w:rPr>
          <w:rFonts w:cs="Arial"/>
          <w:color w:val="000000" w:themeColor="text1"/>
          <w:szCs w:val="16"/>
        </w:rPr>
        <w:t xml:space="preserve"> during the time that the due process hearing is pending. Complaint issues that were part of the due process complaint that are not addressed during due process may be investigated following the completion of the due process hearing. </w:t>
      </w:r>
      <w:r w:rsidRPr="00781112">
        <w:rPr>
          <w:rFonts w:cs="Arial"/>
          <w:color w:val="000000" w:themeColor="text1"/>
          <w:szCs w:val="16"/>
        </w:rPr>
        <w:br/>
        <w:t xml:space="preserve"> </w:t>
      </w:r>
      <w:r w:rsidRPr="00781112">
        <w:rPr>
          <w:rFonts w:cs="Arial"/>
          <w:color w:val="000000" w:themeColor="text1"/>
          <w:szCs w:val="16"/>
        </w:rPr>
        <w:br/>
        <w:t xml:space="preserve">Due Process Hearings </w:t>
      </w:r>
      <w:r w:rsidRPr="00781112">
        <w:rPr>
          <w:rFonts w:cs="Arial"/>
          <w:color w:val="000000" w:themeColor="text1"/>
          <w:szCs w:val="16"/>
        </w:rPr>
        <w:br/>
        <w:t xml:space="preserve">Due process hearing requests are submitted by parents to the LEA and forwarded to the Division of Administrative Hearings (DOAH), the agency that conducts the hearings. Administrative law judges (ALJs), employed by DOAH and provided training by the FDOE, make decisions regarding the </w:t>
      </w:r>
      <w:proofErr w:type="gramStart"/>
      <w:r w:rsidRPr="00781112">
        <w:rPr>
          <w:rFonts w:cs="Arial"/>
          <w:color w:val="000000" w:themeColor="text1"/>
          <w:szCs w:val="16"/>
        </w:rPr>
        <w:t>cases</w:t>
      </w:r>
      <w:proofErr w:type="gramEnd"/>
      <w:r w:rsidRPr="00781112">
        <w:rPr>
          <w:rFonts w:cs="Arial"/>
          <w:color w:val="000000" w:themeColor="text1"/>
          <w:szCs w:val="16"/>
        </w:rPr>
        <w:t xml:space="preserve"> and provide information to the bureau. FDOE maintains the records following completion of the cases and provides oversight for the system (i.e., timelines, orders review, and ALJs training). Data related to the corrective actions identified through complaints the bureau maintains data associated with the corrective actions identified through complaints and due process.org/academics/exceptional-student-edu/dispute-resolution.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bureau implements a comprehensive, overarching framework for effectively supporting LEAs based on evidence of need. Implementing this framework requires ongoing, continuous improvement effort using the systematic change process over time. The bureau works directly with LEA leadership to impact change at the school level. The ultimate indicators of success are student levels of performance targeted by the SPP and improved rates of compliance. The primary student population is general education students who have been identified as students with disabilities entitling them to additional supports and services in accordance with the IDEA.  </w:t>
      </w:r>
      <w:r w:rsidRPr="00781112">
        <w:rPr>
          <w:rFonts w:cs="Arial"/>
          <w:color w:val="000000" w:themeColor="text1"/>
          <w:szCs w:val="16"/>
        </w:rPr>
        <w:br/>
        <w:t xml:space="preserve"> </w:t>
      </w:r>
      <w:r w:rsidRPr="00781112">
        <w:rPr>
          <w:rFonts w:cs="Arial"/>
          <w:color w:val="000000" w:themeColor="text1"/>
          <w:szCs w:val="16"/>
        </w:rPr>
        <w:br/>
        <w:t xml:space="preserve">The bureau currently offers a continuum of supports to LEAs designed to improve outcomes for students with disabilities, as evidenced by increased performance on SPP indicators and increased compliance rates. The following list of examples conveys the current universal, supplemental, and intensive supports provided by the bureau, which is updated based on evaluation of effectiveness over time.  </w:t>
      </w:r>
      <w:r w:rsidRPr="00781112">
        <w:rPr>
          <w:rFonts w:cs="Arial"/>
          <w:color w:val="000000" w:themeColor="text1"/>
          <w:szCs w:val="16"/>
        </w:rPr>
        <w:br/>
        <w:t xml:space="preserve"> </w:t>
      </w:r>
      <w:r w:rsidRPr="00781112">
        <w:rPr>
          <w:rFonts w:cs="Arial"/>
          <w:color w:val="000000" w:themeColor="text1"/>
          <w:szCs w:val="16"/>
        </w:rPr>
        <w:br/>
        <w:t xml:space="preserve">Universal Supports - General, statewide support designed to inform, assist and improve results for all LEAs includes:  </w:t>
      </w:r>
      <w:r w:rsidRPr="00781112">
        <w:rPr>
          <w:rFonts w:cs="Arial"/>
          <w:color w:val="000000" w:themeColor="text1"/>
          <w:szCs w:val="16"/>
        </w:rPr>
        <w:br/>
        <w:t>•</w:t>
      </w:r>
      <w:r w:rsidRPr="00781112">
        <w:rPr>
          <w:rFonts w:cs="Arial"/>
          <w:color w:val="000000" w:themeColor="text1"/>
          <w:szCs w:val="16"/>
        </w:rPr>
        <w:tab/>
        <w:t xml:space="preserve">Web-available resources via the department, bureau and discretionary projects   </w:t>
      </w:r>
      <w:r w:rsidRPr="00781112">
        <w:rPr>
          <w:rFonts w:cs="Arial"/>
          <w:color w:val="000000" w:themeColor="text1"/>
          <w:szCs w:val="16"/>
        </w:rPr>
        <w:br/>
        <w:t>•</w:t>
      </w:r>
      <w:r w:rsidRPr="00781112">
        <w:rPr>
          <w:rFonts w:cs="Arial"/>
          <w:color w:val="000000" w:themeColor="text1"/>
          <w:szCs w:val="16"/>
        </w:rPr>
        <w:tab/>
        <w:t xml:space="preserve">ESE Policies and Procedures process  </w:t>
      </w:r>
      <w:r w:rsidRPr="00781112">
        <w:rPr>
          <w:rFonts w:cs="Arial"/>
          <w:color w:val="000000" w:themeColor="text1"/>
          <w:szCs w:val="16"/>
        </w:rPr>
        <w:br/>
        <w:t>•</w:t>
      </w:r>
      <w:r w:rsidRPr="00781112">
        <w:rPr>
          <w:rFonts w:cs="Arial"/>
          <w:color w:val="000000" w:themeColor="text1"/>
          <w:szCs w:val="16"/>
        </w:rPr>
        <w:tab/>
        <w:t xml:space="preserve">Technical assistance offered in multiple formats including presentations, publications and professional development  </w:t>
      </w:r>
      <w:r w:rsidRPr="00781112">
        <w:rPr>
          <w:rFonts w:cs="Arial"/>
          <w:color w:val="000000" w:themeColor="text1"/>
          <w:szCs w:val="16"/>
        </w:rPr>
        <w:br/>
        <w:t>•</w:t>
      </w:r>
      <w:r w:rsidRPr="00781112">
        <w:rPr>
          <w:rFonts w:cs="Arial"/>
          <w:color w:val="000000" w:themeColor="text1"/>
          <w:szCs w:val="16"/>
        </w:rPr>
        <w:tab/>
        <w:t xml:space="preserve">Various bureau-hosted presentations (e.g., Administrators' Management Meeting [AMM], and the Council of Administrators of Special Education [CASE])  </w:t>
      </w:r>
      <w:r w:rsidRPr="00781112">
        <w:rPr>
          <w:rFonts w:cs="Arial"/>
          <w:color w:val="000000" w:themeColor="text1"/>
          <w:szCs w:val="16"/>
        </w:rPr>
        <w:br/>
        <w:t>•</w:t>
      </w:r>
      <w:r w:rsidRPr="00781112">
        <w:rPr>
          <w:rFonts w:cs="Arial"/>
          <w:color w:val="000000" w:themeColor="text1"/>
          <w:szCs w:val="16"/>
        </w:rPr>
        <w:tab/>
        <w:t xml:space="preserve">Discretionary project administration (e.g., liaisons, project tracking system [PTS], calls and meetings)  </w:t>
      </w:r>
      <w:r w:rsidRPr="00781112">
        <w:rPr>
          <w:rFonts w:cs="Arial"/>
          <w:color w:val="000000" w:themeColor="text1"/>
          <w:szCs w:val="16"/>
        </w:rPr>
        <w:br/>
        <w:t>•</w:t>
      </w:r>
      <w:r w:rsidRPr="00781112">
        <w:rPr>
          <w:rFonts w:cs="Arial"/>
          <w:color w:val="000000" w:themeColor="text1"/>
          <w:szCs w:val="16"/>
        </w:rPr>
        <w:tab/>
        <w:t xml:space="preserve">Web based and on-demand professional development  through a bureau supported,  web-based  </w:t>
      </w:r>
      <w:r w:rsidRPr="00781112">
        <w:rPr>
          <w:rFonts w:cs="Arial"/>
          <w:color w:val="000000" w:themeColor="text1"/>
          <w:szCs w:val="16"/>
        </w:rPr>
        <w:br/>
        <w:t>•</w:t>
      </w:r>
      <w:r w:rsidRPr="00781112">
        <w:rPr>
          <w:rFonts w:cs="Arial"/>
          <w:color w:val="000000" w:themeColor="text1"/>
          <w:szCs w:val="16"/>
        </w:rPr>
        <w:tab/>
        <w:t xml:space="preserve">LEA profiles  </w:t>
      </w:r>
      <w:r w:rsidRPr="00781112">
        <w:rPr>
          <w:rFonts w:cs="Arial"/>
          <w:color w:val="000000" w:themeColor="text1"/>
          <w:szCs w:val="16"/>
        </w:rPr>
        <w:br/>
        <w:t>•</w:t>
      </w:r>
      <w:r w:rsidRPr="00781112">
        <w:rPr>
          <w:rFonts w:cs="Arial"/>
          <w:color w:val="000000" w:themeColor="text1"/>
          <w:szCs w:val="16"/>
        </w:rPr>
        <w:tab/>
        <w:t xml:space="preserve">Family and community engagement efforts  </w:t>
      </w:r>
      <w:r w:rsidRPr="00781112">
        <w:rPr>
          <w:rFonts w:cs="Arial"/>
          <w:color w:val="000000" w:themeColor="text1"/>
          <w:szCs w:val="16"/>
        </w:rPr>
        <w:br/>
        <w:t>•</w:t>
      </w:r>
      <w:r w:rsidRPr="00781112">
        <w:rPr>
          <w:rFonts w:cs="Arial"/>
          <w:color w:val="000000" w:themeColor="text1"/>
          <w:szCs w:val="16"/>
        </w:rPr>
        <w:tab/>
        <w:t xml:space="preserve">Florida’s Differentiated Monitoring System specific to students with disabilities  </w:t>
      </w:r>
      <w:r w:rsidRPr="00781112">
        <w:rPr>
          <w:rFonts w:cs="Arial"/>
          <w:color w:val="000000" w:themeColor="text1"/>
          <w:szCs w:val="16"/>
        </w:rPr>
        <w:br/>
        <w:t>•</w:t>
      </w:r>
      <w:r w:rsidRPr="00781112">
        <w:rPr>
          <w:rFonts w:cs="Arial"/>
          <w:color w:val="000000" w:themeColor="text1"/>
          <w:szCs w:val="16"/>
        </w:rPr>
        <w:tab/>
        <w:t xml:space="preserve">ESE General Supervision Website (GSW) https://BESEgsw.org/  </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Collaboration with pertinent state and national groups  </w:t>
      </w:r>
      <w:r w:rsidRPr="00781112">
        <w:rPr>
          <w:rFonts w:cs="Arial"/>
          <w:color w:val="000000" w:themeColor="text1"/>
          <w:szCs w:val="16"/>
        </w:rPr>
        <w:br/>
        <w:t xml:space="preserve"> </w:t>
      </w:r>
      <w:r w:rsidRPr="00781112">
        <w:rPr>
          <w:rFonts w:cs="Arial"/>
          <w:color w:val="000000" w:themeColor="text1"/>
          <w:szCs w:val="16"/>
        </w:rPr>
        <w:br/>
        <w:t xml:space="preserve">Supplemental Supports - More focused, targeted, frequent support in addition to and aligned with universal supports that are provided to subgroups of LEAs in response to identified needs include:  </w:t>
      </w:r>
      <w:r w:rsidRPr="00781112">
        <w:rPr>
          <w:rFonts w:cs="Arial"/>
          <w:color w:val="000000" w:themeColor="text1"/>
          <w:szCs w:val="16"/>
        </w:rPr>
        <w:br/>
        <w:t>•</w:t>
      </w:r>
      <w:r w:rsidRPr="00781112">
        <w:rPr>
          <w:rFonts w:cs="Arial"/>
          <w:color w:val="000000" w:themeColor="text1"/>
          <w:szCs w:val="16"/>
        </w:rPr>
        <w:tab/>
        <w:t xml:space="preserve">Targeted assistance in specific indicators from bureau indicator teams  </w:t>
      </w:r>
      <w:r w:rsidRPr="00781112">
        <w:rPr>
          <w:rFonts w:cs="Arial"/>
          <w:color w:val="000000" w:themeColor="text1"/>
          <w:szCs w:val="16"/>
        </w:rPr>
        <w:br/>
        <w:t>•</w:t>
      </w:r>
      <w:r w:rsidRPr="00781112">
        <w:rPr>
          <w:rFonts w:cs="Arial"/>
          <w:color w:val="000000" w:themeColor="text1"/>
          <w:szCs w:val="16"/>
        </w:rPr>
        <w:tab/>
        <w:t xml:space="preserve">Targeted size-alike and issue-alike problem-solving groups  </w:t>
      </w:r>
      <w:r w:rsidRPr="00781112">
        <w:rPr>
          <w:rFonts w:cs="Arial"/>
          <w:color w:val="000000" w:themeColor="text1"/>
          <w:szCs w:val="16"/>
        </w:rPr>
        <w:br/>
        <w:t>•</w:t>
      </w:r>
      <w:r w:rsidRPr="00781112">
        <w:rPr>
          <w:rFonts w:cs="Arial"/>
          <w:color w:val="000000" w:themeColor="text1"/>
          <w:szCs w:val="16"/>
        </w:rPr>
        <w:tab/>
        <w:t xml:space="preserve">Targeted attention and assistance from discretionary projects (by LEA/school request)  </w:t>
      </w:r>
      <w:r w:rsidRPr="00781112">
        <w:rPr>
          <w:rFonts w:cs="Arial"/>
          <w:color w:val="000000" w:themeColor="text1"/>
          <w:szCs w:val="16"/>
        </w:rPr>
        <w:br/>
        <w:t>•</w:t>
      </w:r>
      <w:r w:rsidRPr="00781112">
        <w:rPr>
          <w:rFonts w:cs="Arial"/>
          <w:color w:val="000000" w:themeColor="text1"/>
          <w:szCs w:val="16"/>
        </w:rPr>
        <w:tab/>
        <w:t xml:space="preserve">Daily and timely communication and outreach with families, LEAs, schools, and organizations   </w:t>
      </w:r>
      <w:r w:rsidRPr="00781112">
        <w:rPr>
          <w:rFonts w:cs="Arial"/>
          <w:color w:val="000000" w:themeColor="text1"/>
          <w:szCs w:val="16"/>
        </w:rPr>
        <w:br/>
        <w:t xml:space="preserve">•       Program-area staff specialization and regular LEA-contact calls </w:t>
      </w:r>
      <w:r w:rsidRPr="00781112">
        <w:rPr>
          <w:rFonts w:cs="Arial"/>
          <w:color w:val="000000" w:themeColor="text1"/>
          <w:szCs w:val="16"/>
        </w:rPr>
        <w:br/>
        <w:t xml:space="preserve"> </w:t>
      </w:r>
      <w:r w:rsidRPr="00781112">
        <w:rPr>
          <w:rFonts w:cs="Arial"/>
          <w:color w:val="000000" w:themeColor="text1"/>
          <w:szCs w:val="16"/>
        </w:rPr>
        <w:br/>
        <w:t xml:space="preserve">Intensive Supports - Most focused, targeted, frequent support in addition to and aligned with universal supports that are provided to individual LEAs in response to identified needs include:  </w:t>
      </w:r>
      <w:r w:rsidRPr="00781112">
        <w:rPr>
          <w:rFonts w:cs="Arial"/>
          <w:color w:val="000000" w:themeColor="text1"/>
          <w:szCs w:val="16"/>
        </w:rPr>
        <w:br/>
        <w:t>•</w:t>
      </w:r>
      <w:r w:rsidRPr="00781112">
        <w:rPr>
          <w:rFonts w:cs="Arial"/>
          <w:color w:val="000000" w:themeColor="text1"/>
          <w:szCs w:val="16"/>
        </w:rPr>
        <w:tab/>
        <w:t xml:space="preserve">Individualized, targeted assistance (e.g., specific indicator support from bureau indicator teams)  </w:t>
      </w:r>
      <w:r w:rsidRPr="00781112">
        <w:rPr>
          <w:rFonts w:cs="Arial"/>
          <w:color w:val="000000" w:themeColor="text1"/>
          <w:szCs w:val="16"/>
        </w:rPr>
        <w:br/>
        <w:t>•</w:t>
      </w:r>
      <w:r w:rsidRPr="00781112">
        <w:rPr>
          <w:rFonts w:cs="Arial"/>
          <w:color w:val="000000" w:themeColor="text1"/>
          <w:szCs w:val="16"/>
        </w:rPr>
        <w:tab/>
        <w:t xml:space="preserve">Individualized, targeted attention and assistance from discretionary projects  </w:t>
      </w:r>
      <w:r w:rsidRPr="00781112">
        <w:rPr>
          <w:rFonts w:cs="Arial"/>
          <w:color w:val="000000" w:themeColor="text1"/>
          <w:szCs w:val="16"/>
        </w:rPr>
        <w:br/>
        <w:t>•</w:t>
      </w:r>
      <w:r w:rsidRPr="00781112">
        <w:rPr>
          <w:rFonts w:cs="Arial"/>
          <w:color w:val="000000" w:themeColor="text1"/>
          <w:szCs w:val="16"/>
        </w:rPr>
        <w:tab/>
        <w:t xml:space="preserve">Level 3 on-site monitoring visits and required corrective actions  </w:t>
      </w:r>
      <w:r w:rsidRPr="00781112">
        <w:rPr>
          <w:rFonts w:cs="Arial"/>
          <w:color w:val="000000" w:themeColor="text1"/>
          <w:szCs w:val="16"/>
        </w:rPr>
        <w:br/>
        <w:t xml:space="preserve">•       State complaint procedures, including required corrective actions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1. Strategic plan teams focused on specific needs based on SPP APR data who provide in-person and online professional development through bureau staff, discretionary projects, and other professionals.  </w:t>
      </w:r>
      <w:r w:rsidRPr="00781112">
        <w:rPr>
          <w:rFonts w:cs="Arial"/>
          <w:color w:val="000000" w:themeColor="text1"/>
          <w:szCs w:val="16"/>
        </w:rPr>
        <w:br/>
        <w:t xml:space="preserve"> </w:t>
      </w:r>
      <w:r w:rsidRPr="00781112">
        <w:rPr>
          <w:rFonts w:cs="Arial"/>
          <w:color w:val="000000" w:themeColor="text1"/>
          <w:szCs w:val="16"/>
        </w:rPr>
        <w:br/>
        <w:t xml:space="preserve">2. Multiple discretionary projects who provided web-based, virtual and in-person professional development to support efforts that include </w:t>
      </w:r>
      <w:r w:rsidRPr="00781112">
        <w:rPr>
          <w:rFonts w:cs="Arial"/>
          <w:color w:val="000000" w:themeColor="text1"/>
          <w:szCs w:val="16"/>
        </w:rPr>
        <w:br/>
        <w:t xml:space="preserve">          a. prekindergarten program effectiveness, program quality, inclusion, evaluation and assessment, curriculum and instruction, transition, child outcome measurement, family involvement, and Child, Find awareness and outreach; </w:t>
      </w:r>
      <w:r w:rsidRPr="00781112">
        <w:rPr>
          <w:rFonts w:cs="Arial"/>
          <w:color w:val="000000" w:themeColor="text1"/>
          <w:szCs w:val="16"/>
        </w:rPr>
        <w:br/>
        <w:t xml:space="preserve">          b.</w:t>
      </w:r>
      <w:r w:rsidRPr="00781112">
        <w:rPr>
          <w:rFonts w:cs="Arial"/>
          <w:color w:val="000000" w:themeColor="text1"/>
          <w:szCs w:val="16"/>
        </w:rPr>
        <w:tab/>
        <w:t xml:space="preserve">multiple in-person and virtual training to meet LEA needs pertaining to parent involvement.  </w:t>
      </w:r>
      <w:r w:rsidRPr="00781112">
        <w:rPr>
          <w:rFonts w:cs="Arial"/>
          <w:color w:val="000000" w:themeColor="text1"/>
          <w:szCs w:val="16"/>
        </w:rPr>
        <w:br/>
        <w:t xml:space="preserve">          c.</w:t>
      </w:r>
      <w:r w:rsidRPr="00781112">
        <w:rPr>
          <w:rFonts w:cs="Arial"/>
          <w:color w:val="000000" w:themeColor="text1"/>
          <w:szCs w:val="16"/>
        </w:rPr>
        <w:tab/>
        <w:t xml:space="preserve">Collaborative efforts with Key2Ed and the discretionary project, Florida Diagnostic and Learning Resources System (FDLRS), to provide professional development regarding the facilitated IEP process to all LEAs. The purpose of this training is to provide LEA staff with the skills needed to facilitate IEP meetings that result in productive collaboration between parents and school staff.  </w:t>
      </w:r>
      <w:r w:rsidRPr="00781112">
        <w:rPr>
          <w:rFonts w:cs="Arial"/>
          <w:color w:val="000000" w:themeColor="text1"/>
          <w:szCs w:val="16"/>
        </w:rPr>
        <w:br/>
        <w:t xml:space="preserve">          d.</w:t>
      </w:r>
      <w:r w:rsidRPr="00781112">
        <w:rPr>
          <w:rFonts w:cs="Arial"/>
          <w:color w:val="000000" w:themeColor="text1"/>
          <w:szCs w:val="16"/>
        </w:rPr>
        <w:tab/>
        <w:t xml:space="preserve">In person and virtual bureau-hosted meetings including the annual Administrators Management Meeting (AMM) which was most recently held in December of 2021 and featured many federal technical assistance centers presenting in partnership with bureau staff.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For FFY 2020 the development of Florida's SPP is the responsibility of strategic plan teams and overseen by the bureau of exceptional education (BEESS) and the State Advisory Panel (SAP). Each team includes individuals with expertise pertinent to the indicator, including staff from the FDOE, staff from discretionary projects (including LEA-level and school-level representation), and individuals from other agencies. The strategic plan leads worked with their team members to review data and set each indicator's targets, which was reviewed by the department for initial pre-approval. The proposed targets were then posted publicly in multiple venues (including the Florida Administrative Registry (FAR) on January 11,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on the department’s webpage) and shared with multiple stakeholders including discretionary projects, ESE Directors for all LEAs and the department's State Advisory Panel. Stakeholder feedback was sought via a widely disseminated survey. </w:t>
      </w:r>
      <w:r w:rsidRPr="00781112">
        <w:rPr>
          <w:rFonts w:cs="Arial"/>
          <w:color w:val="000000" w:themeColor="text1"/>
          <w:szCs w:val="16"/>
        </w:rPr>
        <w:br/>
      </w:r>
      <w:r w:rsidRPr="00781112">
        <w:rPr>
          <w:rFonts w:cs="Arial"/>
          <w:color w:val="000000" w:themeColor="text1"/>
          <w:szCs w:val="16"/>
        </w:rPr>
        <w:br/>
        <w:t>There were no updates to the SIPP for FFY2021. Data and results for the bureaus SIP are posted at its website (https://www.fldoe.org/academics/exceptional-student-edu/data/) and noticed on the Florida Administrative Registry (FAR).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BEESS staff engaged members of the State Advisory Panel (SAP), parent center staff, parents from local and statewide advocacy and advisory committees, and individual parents in setting targets, analyzing data, developing improvement strategies, and evaluating progress. This engagement occurred through BEESS weekly </w:t>
      </w:r>
      <w:proofErr w:type="gramStart"/>
      <w:r w:rsidRPr="00781112">
        <w:rPr>
          <w:color w:val="000000" w:themeColor="text1"/>
          <w:szCs w:val="16"/>
        </w:rPr>
        <w:t>memos ,</w:t>
      </w:r>
      <w:proofErr w:type="gramEnd"/>
      <w:r w:rsidRPr="00781112">
        <w:rPr>
          <w:color w:val="000000" w:themeColor="text1"/>
          <w:szCs w:val="16"/>
        </w:rPr>
        <w:t xml:space="preserve"> emails, and scheduled meetings.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In order to increase the capacity of diverse groups of parents to support implementation activities, the bureau shared the publicly posted proposed targets with parent center staff and LEAs and held meetings to plan, with their assistance, in widely disseminating the information as well as in reviewing interim data specific to representativeness for stakeholder responses to increase the feedback from a diverse groups of parents to support the development of implementation activities designed to improve outcomes for children with disabilities. The bureau also supports an integrated stakeholder response system, in collaboration with its discretionary projects, a goal of which is to increase opportunity for feedback in the development of implementation activities designed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bureau procedure for soliciting input from the public is to post targets, data, </w:t>
      </w:r>
      <w:proofErr w:type="gramStart"/>
      <w:r w:rsidRPr="00781112">
        <w:rPr>
          <w:color w:val="000000" w:themeColor="text1"/>
          <w:szCs w:val="16"/>
        </w:rPr>
        <w:t>strategies</w:t>
      </w:r>
      <w:proofErr w:type="gramEnd"/>
      <w:r w:rsidRPr="00781112">
        <w:rPr>
          <w:color w:val="000000" w:themeColor="text1"/>
          <w:szCs w:val="16"/>
        </w:rPr>
        <w:t xml:space="preserve"> and progress reports on its website (https://www.fldoe.org/academics/exceptional-student-edu/data/) and noticed on the Florida Administrative Registry (FAR) for a minimum of 60 calendar days. The information is directly shared multiple stakeholders including discretionary projects, ESE Directors for all LEAs, BEESS weekly memo and the department's State Advisory Panel.  The </w:t>
      </w:r>
      <w:proofErr w:type="gramStart"/>
      <w:r w:rsidRPr="00781112">
        <w:rPr>
          <w:color w:val="000000" w:themeColor="text1"/>
          <w:szCs w:val="16"/>
        </w:rPr>
        <w:t>bureau  ensures</w:t>
      </w:r>
      <w:proofErr w:type="gramEnd"/>
      <w:r w:rsidRPr="00781112">
        <w:rPr>
          <w:color w:val="000000" w:themeColor="text1"/>
          <w:szCs w:val="16"/>
        </w:rPr>
        <w:t xml:space="preserve"> that  all posts are open for public comment for a minimum of 30 calendar days.</w:t>
      </w:r>
    </w:p>
    <w:p w14:paraId="60517C6B" w14:textId="77777777" w:rsidR="001628C0" w:rsidRPr="00781112" w:rsidRDefault="001628C0" w:rsidP="001628C0">
      <w:pPr>
        <w:rPr>
          <w:b/>
          <w:color w:val="000000" w:themeColor="text1"/>
        </w:rPr>
      </w:pPr>
      <w:r w:rsidRPr="00781112">
        <w:rPr>
          <w:b/>
          <w:color w:val="000000" w:themeColor="text1"/>
        </w:rPr>
        <w:lastRenderedPageBreak/>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bureau procedure for posting results of targets setting, data, </w:t>
      </w:r>
      <w:proofErr w:type="gramStart"/>
      <w:r w:rsidRPr="00781112">
        <w:rPr>
          <w:color w:val="000000" w:themeColor="text1"/>
          <w:szCs w:val="16"/>
        </w:rPr>
        <w:t>strategies</w:t>
      </w:r>
      <w:proofErr w:type="gramEnd"/>
      <w:r w:rsidRPr="00781112">
        <w:rPr>
          <w:color w:val="000000" w:themeColor="text1"/>
          <w:szCs w:val="16"/>
        </w:rPr>
        <w:t xml:space="preserve"> and progress reports on its website (https://www.fldoe.org/academics/exceptional-student-edu/data/) and noticed on the Florida Administrative Registry (FAR). The information is directly shared multiple stakeholders including discretionary projects, ESE Directors for all LEAs, BEESS weekly memo and the department's State Advisory Panel.</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Within 120 days following Florida's submission of the APR, LEA performance reports will be produced and posted on the FDOE website. The LEA Performance Reports are intended to be used as a tool for planning systemic improvement in exceptional education programs. The profiles contain information about state-level targets from Florida's SPP/APR, LEA performance on the indicators and whether the LEA met each state's targets. The state publicly reports on the bureau's website on the FFY 2020 performance of each local educational agency (LEA) located in the state on the targets in the state's performance plan as required by section 616(b)(2)(C)(ii)(I) of IDEA, at the following location: https://www.fldoe.org/academics/exceptional-student-edu/data/. The reports are listed under the SEA/LEA Profiles and LEA Performance Reports heading. </w:t>
      </w:r>
      <w:r w:rsidRPr="00781112">
        <w:rPr>
          <w:rFonts w:cs="Arial"/>
          <w:color w:val="000000" w:themeColor="text1"/>
          <w:szCs w:val="16"/>
        </w:rPr>
        <w:br/>
        <w:t xml:space="preserve"> </w:t>
      </w:r>
      <w:r w:rsidRPr="00781112">
        <w:rPr>
          <w:rFonts w:cs="Arial"/>
          <w:color w:val="000000" w:themeColor="text1"/>
          <w:szCs w:val="16"/>
        </w:rPr>
        <w:br/>
        <w:t xml:space="preserve"> </w:t>
      </w:r>
      <w:r w:rsidRPr="00781112">
        <w:rPr>
          <w:rFonts w:cs="Arial"/>
          <w:color w:val="000000" w:themeColor="text1"/>
          <w:szCs w:val="16"/>
        </w:rPr>
        <w:br/>
        <w:t xml:space="preserve">Historical assessment participation and proficiency are posted online for years when assessments are administered at https://www.fldoe.org/academics/exceptional-student-edu/data/. Additional data including assessment participation and ability are also available via FDOE's Business Intelligence and Reporting Tool; Florida PK-20 Education Information Portal at https://edstats.fldoe.org/ as well as Florida's know your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portal, located at: https://edudata.fldoe.org/.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In the FFY 2021 SPP/APR, the State must describe the mechanisms for soliciting broad stakeholder input on the State's targets in the SPP/APR and any subsequent revisions that the State has made to those targets, and the development and implementation of Indicator 17, the State's Systemic Improvement Plan (SSIP), including a description of the activities conducted to increase the capacity of diverse groups of parents.</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state did not describe the mechanisms for soliciting broad stakeholder input on </w:t>
      </w:r>
      <w:proofErr w:type="gramStart"/>
      <w:r w:rsidRPr="00781112">
        <w:rPr>
          <w:rFonts w:cs="Arial"/>
          <w:color w:val="000000" w:themeColor="text1"/>
          <w:szCs w:val="16"/>
        </w:rPr>
        <w:t>the its</w:t>
      </w:r>
      <w:proofErr w:type="gramEnd"/>
      <w:r w:rsidRPr="00781112">
        <w:rPr>
          <w:rFonts w:cs="Arial"/>
          <w:color w:val="000000" w:themeColor="text1"/>
          <w:szCs w:val="16"/>
        </w:rPr>
        <w:t xml:space="preserve"> targets in the SPP/APR and subsequent revisions that the state made to those targets. Specifically, the </w:t>
      </w:r>
      <w:proofErr w:type="gramStart"/>
      <w:r w:rsidRPr="00781112">
        <w:rPr>
          <w:rFonts w:cs="Arial"/>
          <w:color w:val="000000" w:themeColor="text1"/>
          <w:szCs w:val="16"/>
        </w:rPr>
        <w:t>state  did</w:t>
      </w:r>
      <w:proofErr w:type="gramEnd"/>
      <w:r w:rsidRPr="00781112">
        <w:rPr>
          <w:rFonts w:cs="Arial"/>
          <w:color w:val="000000" w:themeColor="text1"/>
          <w:szCs w:val="16"/>
        </w:rPr>
        <w:t xml:space="preserve">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5259BBF" w:rsidR="005E59DB" w:rsidRPr="00781112" w:rsidRDefault="005E59DB" w:rsidP="00B65C2C">
      <w:pPr>
        <w:rPr>
          <w:b/>
          <w:color w:val="000000" w:themeColor="text1"/>
        </w:rPr>
      </w:pPr>
      <w:r w:rsidRPr="00781112">
        <w:rPr>
          <w:b/>
          <w:color w:val="000000" w:themeColor="text1"/>
        </w:rPr>
        <w:t>Historical Data</w:t>
      </w:r>
      <w:r w:rsidR="00614DB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85.89%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58.30%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60.30%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62.30%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82.30%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61.55%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66.00%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77.41%</w:t>
            </w:r>
          </w:p>
        </w:tc>
        <w:tc>
          <w:tcPr>
            <w:tcW w:w="833" w:type="pct"/>
            <w:tcBorders>
              <w:bottom w:val="single" w:sz="4" w:space="0" w:color="auto"/>
            </w:tcBorders>
            <w:shd w:val="clear" w:color="auto" w:fill="auto"/>
            <w:vAlign w:val="center"/>
          </w:tcPr>
          <w:p w14:paraId="180CBFE9" w14:textId="4F71E881" w:rsidR="007F24E2" w:rsidRPr="00781112" w:rsidRDefault="002B7490" w:rsidP="00E0321D">
            <w:pPr>
              <w:jc w:val="center"/>
              <w:rPr>
                <w:rFonts w:cs="Arial"/>
                <w:color w:val="000000" w:themeColor="text1"/>
                <w:szCs w:val="16"/>
              </w:rPr>
            </w:pPr>
            <w:r w:rsidRPr="00781112">
              <w:rPr>
                <w:rFonts w:cs="Arial"/>
                <w:color w:val="000000" w:themeColor="text1"/>
                <w:szCs w:val="16"/>
              </w:rPr>
              <w:t>81%</w:t>
            </w:r>
            <w:r w:rsidR="00747CDF">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88.96%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82.30%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82.50%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83.00%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83.00%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83.30%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2020: 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The input was received during face-to-face meetings and conference calls. Team members reviewed state-and district-level data related to transition indicators, including graduation rate, dropout rate, transition IEP compliance, and post-school outcomes. It is important to note that the indicators graduation rate, dropout rate, and postschool outcomes are also examined to provide additional information on how the state and each district are performing. This collaborative process helps determine the level of support each district requires in Florida's multi-tiered system of supporting school districts. The stakeholder groups assisted in setting targets, where appropriate, and the development of relevant activities to improve results in these areas. In addition to parents of students with disabilities, self-advocates, members of bureau staff, and school district and postsecondary institution representatives, the members of SSTIC included representatives from the following partner organizations: </w:t>
      </w:r>
      <w:r w:rsidRPr="00781112">
        <w:rPr>
          <w:rFonts w:cs="Arial"/>
          <w:color w:val="000000" w:themeColor="text1"/>
          <w:szCs w:val="16"/>
        </w:rPr>
        <w:br/>
      </w:r>
      <w:r w:rsidRPr="00781112">
        <w:rPr>
          <w:rFonts w:cs="Arial"/>
          <w:color w:val="000000" w:themeColor="text1"/>
          <w:szCs w:val="16"/>
        </w:rPr>
        <w:br/>
        <w:t xml:space="preserve">•Agency for Persons with Disabilities •Family Network on Disabilities •Florida Alliance for Assistive Services and Technology (FAAST) •Florida College System •Florida Consortium on Postsecondary Education and Intellectual Disabilities • Florida Center Students with Unique Abilities (FCSUA) •Florida Department of Children and Families • Florida Department of Education Bureau of Family and Community Outreach •Florida Department of Education (FDOE) Division of Blind Services •FDOE Division of Career and Technical Education •FDOE Division of Vocational Rehabilitation •FDOE Department of Education Office of Dropout Prevention •Florida Department of Transportation •Florida Developmental Disabilities Council • Florida Diagnostic &amp; Learning Resources System (FDLRS) •Florida Youth Council•Institute for Small and Rural Districts •Learning Disabilities Association of Florida •Multiagency Network for Students with Emotional/Behavioral Disabilities (SEDNET) • Project 10: Transition Education Network •State University System •The Able Trust </w:t>
      </w:r>
      <w:r w:rsidRPr="00781112">
        <w:rPr>
          <w:rFonts w:cs="Arial"/>
          <w:color w:val="000000" w:themeColor="text1"/>
          <w:szCs w:val="16"/>
        </w:rPr>
        <w:br/>
      </w:r>
      <w:r w:rsidRPr="00781112">
        <w:rPr>
          <w:rFonts w:cs="Arial"/>
          <w:color w:val="000000" w:themeColor="text1"/>
          <w:szCs w:val="16"/>
        </w:rPr>
        <w:br/>
        <w:t xml:space="preserve">The Transition and Postsecondary Strategic Planning Team included representatives from the bureau and the following partner organizations: </w:t>
      </w:r>
      <w:r w:rsidRPr="00781112">
        <w:rPr>
          <w:rFonts w:cs="Arial"/>
          <w:color w:val="000000" w:themeColor="text1"/>
          <w:szCs w:val="16"/>
        </w:rPr>
        <w:br/>
      </w:r>
      <w:r w:rsidRPr="00781112">
        <w:rPr>
          <w:rFonts w:cs="Arial"/>
          <w:color w:val="000000" w:themeColor="text1"/>
          <w:szCs w:val="16"/>
        </w:rPr>
        <w:br/>
        <w:t>•Agency for Persons with Disabilities • Florida College System •FDOE of Dropout Prevention •FDOE Division of Career and Technical Education • FDOE Division of Vocational Rehabilitation • Florida Developmental Disabilities Council • Florida Instructional Materials Center for the Visually Impaired (FIMC-</w:t>
      </w:r>
      <w:r w:rsidRPr="00781112">
        <w:rPr>
          <w:rFonts w:cs="Arial"/>
          <w:color w:val="000000" w:themeColor="text1"/>
          <w:szCs w:val="16"/>
        </w:rPr>
        <w:lastRenderedPageBreak/>
        <w:t xml:space="preserve">VI) • FDLRS • Resource Materials and Technology Center: Deaf/Hard of Hearing (RMTC-DHH) • SEDNET • Project 10: Transition Education Network • State University System </w:t>
      </w:r>
      <w:r w:rsidRPr="00781112">
        <w:rPr>
          <w:rFonts w:cs="Arial"/>
          <w:color w:val="000000" w:themeColor="text1"/>
          <w:szCs w:val="16"/>
        </w:rPr>
        <w:br/>
      </w:r>
      <w:r w:rsidRPr="00781112">
        <w:rPr>
          <w:rFonts w:cs="Arial"/>
          <w:color w:val="000000" w:themeColor="text1"/>
          <w:szCs w:val="16"/>
        </w:rPr>
        <w:br/>
        <w:t xml:space="preserve">This team closely examined appropriate data, including data disaggregated by race and ethnicity and primary exceptionalism, as they developed the strategic plan. The target for Indicator 1 was set based on the annual graduation rate target under Title I of the Elementary and Secondary Education Act (ESEA). </w:t>
      </w:r>
      <w:r w:rsidRPr="00781112">
        <w:rPr>
          <w:rFonts w:cs="Arial"/>
          <w:color w:val="000000" w:themeColor="text1"/>
          <w:szCs w:val="16"/>
        </w:rPr>
        <w:br/>
      </w:r>
      <w:r w:rsidRPr="00781112">
        <w:rPr>
          <w:rFonts w:cs="Arial"/>
          <w:color w:val="000000" w:themeColor="text1"/>
          <w:szCs w:val="16"/>
        </w:rPr>
        <w:br/>
        <w:t>One thousand seven hundred thirty individuals responded to the survey regarding Indicator 1. Of those 170 (9.83%) responses indicated the targets were too high, 408 (23.58%) responses indicated the targets were too low, and 1152 (66.59%) responses indicated the targets were appropriate.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22,289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3,040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22,289</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25,437</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88.96%</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87.62%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As outlined in Section 1003.4282, Florida Statutes, to earn a standard diploma in Florida for the cohort of students who graduated in 2020 include the following course, credit, and assessment requirements as follows:  </w:t>
      </w:r>
      <w:r w:rsidRPr="00781112">
        <w:rPr>
          <w:rFonts w:cs="Arial"/>
          <w:color w:val="000000" w:themeColor="text1"/>
          <w:szCs w:val="16"/>
        </w:rPr>
        <w:br/>
        <w:t xml:space="preserve">a. Four credits in English/English language arts (ELA). To graduate with a standard high school diploma, a student must pass the statewide, standardized grade 10 Reading assessment or earn a concordant score.  </w:t>
      </w:r>
      <w:r w:rsidRPr="00781112">
        <w:rPr>
          <w:rFonts w:cs="Arial"/>
          <w:color w:val="000000" w:themeColor="text1"/>
          <w:szCs w:val="16"/>
        </w:rPr>
        <w:br/>
        <w:t xml:space="preserve">b. Four credits in mathematics, which must include Algebra 1 and Geometry. The statewide, standardized Algebra1 end-of-course (EOC) assessment constitutes 30 percent of the student's final course grade. A student must pass the Algebra 1 end-of-course (EOC) assessment or earn a concordant score for graduation with a standard high school diploma. A student who earns an industry certification for a statewide college credit articulation agreement approved by the State Board of Education may substitute the certification for one mathematics credit. Substitution may occur for two mathematics credits, except for Algebra 1 and Geometry.  </w:t>
      </w:r>
      <w:r w:rsidRPr="00781112">
        <w:rPr>
          <w:rFonts w:cs="Arial"/>
          <w:color w:val="000000" w:themeColor="text1"/>
          <w:szCs w:val="16"/>
        </w:rPr>
        <w:br/>
        <w:t xml:space="preserve">c. Three credits in science, two of which must have a laboratory component. A student who takes Biology 1 must take the statewide, standardized Biology 1 EOC assessment, and the </w:t>
      </w:r>
      <w:proofErr w:type="gramStart"/>
      <w:r w:rsidRPr="00781112">
        <w:rPr>
          <w:rFonts w:cs="Arial"/>
          <w:color w:val="000000" w:themeColor="text1"/>
          <w:szCs w:val="16"/>
        </w:rPr>
        <w:t>Biology</w:t>
      </w:r>
      <w:proofErr w:type="gramEnd"/>
      <w:r w:rsidRPr="00781112">
        <w:rPr>
          <w:rFonts w:cs="Arial"/>
          <w:color w:val="000000" w:themeColor="text1"/>
          <w:szCs w:val="16"/>
        </w:rPr>
        <w:t xml:space="preserve"> 1 EOC assessment constitutes 30 percent of the final course grade. A student who earns an industry certification for which the State Board approves a statewide college credit articulation agreement of education may substitute the certification for one science credit, except for Biology 1.  </w:t>
      </w:r>
      <w:r w:rsidRPr="00781112">
        <w:rPr>
          <w:rFonts w:cs="Arial"/>
          <w:color w:val="000000" w:themeColor="text1"/>
          <w:szCs w:val="16"/>
        </w:rPr>
        <w:br/>
        <w:t xml:space="preserve">d. Three credits in social studies, of which one credit in World History, one credit in United States History, one-half credit in United States Government, and one-half credit in economics are required. A student who takes United States History must take the statewide, standardized United States History EOC assessment; the student's performance on the assessment constitutes 30 percent of the student's final course grade.  </w:t>
      </w:r>
      <w:r w:rsidRPr="00781112">
        <w:rPr>
          <w:rFonts w:cs="Arial"/>
          <w:color w:val="000000" w:themeColor="text1"/>
          <w:szCs w:val="16"/>
        </w:rPr>
        <w:br/>
        <w:t xml:space="preserve">e. One credit in fine or performing arts, speech, debate, or practical arts.  </w:t>
      </w:r>
      <w:r w:rsidRPr="00781112">
        <w:rPr>
          <w:rFonts w:cs="Arial"/>
          <w:color w:val="000000" w:themeColor="text1"/>
          <w:szCs w:val="16"/>
        </w:rPr>
        <w:br/>
        <w:t xml:space="preserve">f. One credit in physical education.  </w:t>
      </w:r>
      <w:r w:rsidRPr="00781112">
        <w:rPr>
          <w:rFonts w:cs="Arial"/>
          <w:color w:val="000000" w:themeColor="text1"/>
          <w:szCs w:val="16"/>
        </w:rPr>
        <w:br/>
        <w:t xml:space="preserve">g. Eight credits in electives.  </w:t>
      </w:r>
      <w:r w:rsidRPr="00781112">
        <w:rPr>
          <w:rFonts w:cs="Arial"/>
          <w:color w:val="000000" w:themeColor="text1"/>
          <w:szCs w:val="16"/>
        </w:rPr>
        <w:br/>
        <w:t xml:space="preserve">Students may also earn a standard high school diploma using an 18-credit-hour option, which includes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above, except physical education, which is not required and requires three electives instead of eight.  </w:t>
      </w:r>
      <w:r w:rsidRPr="00781112">
        <w:rPr>
          <w:rFonts w:cs="Arial"/>
          <w:color w:val="000000" w:themeColor="text1"/>
          <w:szCs w:val="16"/>
        </w:rPr>
        <w:br/>
        <w:t xml:space="preserve">A waiver of standardized assessment results may be granted by the IEP team to a student with a disability, as provided by Section 1008.22(3) (c), Florida Statutes. For a student to be considered for a statewide, standardized assessment results waiver, the following criteria must be met:  </w:t>
      </w:r>
      <w:r w:rsidRPr="00781112">
        <w:rPr>
          <w:rFonts w:cs="Arial"/>
          <w:color w:val="000000" w:themeColor="text1"/>
          <w:szCs w:val="16"/>
        </w:rPr>
        <w:br/>
        <w:t xml:space="preserve">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 </w:t>
      </w:r>
      <w:r w:rsidRPr="00781112">
        <w:rPr>
          <w:rFonts w:cs="Arial"/>
          <w:color w:val="000000" w:themeColor="text1"/>
          <w:szCs w:val="16"/>
        </w:rPr>
        <w:br/>
        <w:t xml:space="preserve">2. The student must have an individual educational plan (IEP).  </w:t>
      </w:r>
      <w:r w:rsidRPr="00781112">
        <w:rPr>
          <w:rFonts w:cs="Arial"/>
          <w:color w:val="000000" w:themeColor="text1"/>
          <w:szCs w:val="16"/>
        </w:rPr>
        <w:br/>
        <w:t xml:space="preserve">3. The student must have taken the statewide, standardized assessment with appropriate allowable accommodations at least once.  </w:t>
      </w:r>
      <w:r w:rsidRPr="00781112">
        <w:rPr>
          <w:rFonts w:cs="Arial"/>
          <w:color w:val="000000" w:themeColor="text1"/>
          <w:szCs w:val="16"/>
        </w:rPr>
        <w:br/>
      </w:r>
      <w:r w:rsidRPr="00781112">
        <w:rPr>
          <w:rFonts w:cs="Arial"/>
          <w:color w:val="000000" w:themeColor="text1"/>
          <w:szCs w:val="16"/>
        </w:rPr>
        <w:lastRenderedPageBreak/>
        <w:t>4. Per s. 1008.22(3) (c) 2. F.S., the IEP team must decide whether a statewide, standardized assessment accurately measures the student's abilities, considering all allowable accommodations for students with disabilities. The waiver does not change the standards or requirements a student with a disability must meet to graduate. The waiver is only used by students with disabilities with extenuating circumstances determined by the IEP team when granted and is not used by most students with disabilities in the state.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 xml:space="preserve">Students with disabilities must meet the exact requirements of all students to graduate. However, for students with disabilities who have taken the statewide standardized assessment with allowable accommodations at least once and have not earned the required score necessary for graduation, the assessment results may be waived. A waiver of standardized assessment results may be granted by the IEP team to a student with a disability, as provided by Section 1008.22(3)(c), Florida Statutes. For a student to be considered for a statewide, standardized assessment results waiver, The results must meet the following criteria:  </w:t>
      </w:r>
      <w:r w:rsidRPr="00781112">
        <w:rPr>
          <w:rFonts w:cs="Arial"/>
          <w:color w:val="000000" w:themeColor="text1"/>
          <w:szCs w:val="16"/>
        </w:rPr>
        <w:br/>
        <w:t xml:space="preserve">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  </w:t>
      </w:r>
      <w:r w:rsidRPr="00781112">
        <w:rPr>
          <w:rFonts w:cs="Arial"/>
          <w:color w:val="000000" w:themeColor="text1"/>
          <w:szCs w:val="16"/>
        </w:rPr>
        <w:br/>
        <w:t xml:space="preserve">2. The student must have an individual educational plan (IEP).  </w:t>
      </w:r>
      <w:r w:rsidRPr="00781112">
        <w:rPr>
          <w:rFonts w:cs="Arial"/>
          <w:color w:val="000000" w:themeColor="text1"/>
          <w:szCs w:val="16"/>
        </w:rPr>
        <w:br/>
        <w:t xml:space="preserve">3. The student must have taken the statewide, standardized assessment with appropriate allowable accommodations at least once.  </w:t>
      </w:r>
      <w:r w:rsidRPr="00781112">
        <w:rPr>
          <w:rFonts w:cs="Arial"/>
          <w:color w:val="000000" w:themeColor="text1"/>
          <w:szCs w:val="16"/>
        </w:rPr>
        <w:br/>
        <w:t xml:space="preserve">4. Per s. 1008.22(3)(c)2., F.S., the IEP team must decide whether a statewide, standardized assessment accurately measures the student’s abilities, considering all allowable accommodations for students with disabilities. </w:t>
      </w:r>
      <w:bookmarkStart w:id="7"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Changed baseline year from 2011 (44.4%) to school year 2018-2019 (FFY 2019). The graduation rate for FFY2019 was recalculated using the exitor calculation and data. That year had 2506 dropout, 1067 received credentials (RC) and 21750 graduated with regular high school diploma (GHS) for </w:t>
      </w:r>
      <w:proofErr w:type="gramStart"/>
      <w:r w:rsidRPr="00781112">
        <w:rPr>
          <w:rFonts w:cs="Arial"/>
          <w:color w:val="000000" w:themeColor="text1"/>
          <w:szCs w:val="16"/>
        </w:rPr>
        <w:t>a</w:t>
      </w:r>
      <w:proofErr w:type="gramEnd"/>
      <w:r w:rsidRPr="00781112">
        <w:rPr>
          <w:rFonts w:cs="Arial"/>
          <w:color w:val="000000" w:themeColor="text1"/>
          <w:szCs w:val="16"/>
        </w:rPr>
        <w:t xml:space="preserve"> 85.89% graduation rate due to switching from cohort data to exitor data. </w:t>
      </w:r>
      <w:r w:rsidRPr="00781112">
        <w:rPr>
          <w:rFonts w:cs="Arial"/>
          <w:color w:val="000000" w:themeColor="text1"/>
          <w:szCs w:val="16"/>
        </w:rPr>
        <w:br/>
      </w:r>
      <w:r w:rsidRPr="00781112">
        <w:rPr>
          <w:rFonts w:cs="Arial"/>
          <w:color w:val="000000" w:themeColor="text1"/>
          <w:szCs w:val="16"/>
        </w:rPr>
        <w:br/>
        <w:t>Based on the FFY 2019 exitor calculation the bureau has contacted the SAP and stakeholders to begin the steps of soliciting input on setting new targets for indicator 1 before FFY2022 SPP.</w:t>
      </w: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The State did not provide baseline data, as required by the measurement table. The State must report baseline data, using data from IDEA Section 618, in the FFY 2021 SPP/APR.</w:t>
      </w:r>
      <w:r w:rsidRPr="00781112">
        <w:rPr>
          <w:rFonts w:cs="Arial"/>
          <w:color w:val="000000" w:themeColor="text1"/>
          <w:szCs w:val="16"/>
        </w:rPr>
        <w:br/>
      </w:r>
      <w:r w:rsidRPr="00781112">
        <w:rPr>
          <w:rFonts w:cs="Arial"/>
          <w:color w:val="000000" w:themeColor="text1"/>
          <w:szCs w:val="16"/>
        </w:rPr>
        <w:br/>
        <w:t xml:space="preserve">The State did not provide targets, as required by the measurement table. The State must provide the required targets for FFY 2020 through FFY 2025 in the FFY 2021 SPP/APR. </w:t>
      </w:r>
    </w:p>
    <w:p w14:paraId="12317A47" w14:textId="75A98BEA" w:rsidR="00A2794A" w:rsidRPr="00781112" w:rsidRDefault="00A2794A" w:rsidP="00CE5723">
      <w:pPr>
        <w:rPr>
          <w:rFonts w:cs="Arial"/>
          <w:color w:val="000000" w:themeColor="text1"/>
          <w:szCs w:val="16"/>
        </w:rPr>
      </w:pPr>
    </w:p>
    <w:p w14:paraId="35188E98" w14:textId="3E6A3809" w:rsidR="000C60E1" w:rsidRPr="00781112" w:rsidRDefault="007639D7" w:rsidP="004369B2">
      <w:pPr>
        <w:rPr>
          <w:b/>
          <w:color w:val="000000" w:themeColor="text1"/>
        </w:rPr>
      </w:pPr>
      <w:r>
        <w:rPr>
          <w:b/>
          <w:color w:val="000000" w:themeColor="text1"/>
        </w:rPr>
        <w:t xml:space="preserve">Response to actions required in FFY 2020 SPP/APR  </w:t>
      </w:r>
    </w:p>
    <w:p w14:paraId="51F58D04" w14:textId="24D8E986" w:rsidR="002D145D" w:rsidRPr="00781112" w:rsidRDefault="002B7490" w:rsidP="00CE5723">
      <w:pPr>
        <w:rPr>
          <w:rFonts w:cs="Arial"/>
          <w:color w:val="000000" w:themeColor="text1"/>
          <w:szCs w:val="16"/>
        </w:rPr>
      </w:pPr>
      <w:r w:rsidRPr="00781112">
        <w:rPr>
          <w:rFonts w:cs="Arial"/>
          <w:color w:val="000000" w:themeColor="text1"/>
          <w:szCs w:val="16"/>
        </w:rPr>
        <w:t>The State provided baseline data and targets during the SPP/APR Part B Clarification period in 2022.</w:t>
      </w: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recalculated data from FFY 2019, and OSEP accepts that revision. </w:t>
      </w:r>
      <w:r w:rsidRPr="00781112">
        <w:rPr>
          <w:rFonts w:cs="Arial"/>
          <w:color w:val="000000" w:themeColor="text1"/>
          <w:szCs w:val="16"/>
        </w:rPr>
        <w:br/>
      </w:r>
      <w:r w:rsidRPr="00781112">
        <w:rPr>
          <w:rFonts w:cs="Arial"/>
          <w:color w:val="000000" w:themeColor="text1"/>
          <w:szCs w:val="16"/>
        </w:rPr>
        <w:br/>
        <w:t>The State provided targets for FFYs 2021 through 2025 for this indicator, however, OSEP cannot accept these targets because the FFY 2025 end target does not reflect improvement over the State's revised baseline. OSEP notes the State reported, "Based on the FFY 2019 exitor calculation the bureau has contacted the SAP and stakeholders to begin the steps of soliciting input on setting new targets for indicator 1 before FFY2022 SPP."</w:t>
      </w: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through FFY 2025 in the FFY 2022 SPP/APR.</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9.90%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13.40%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11.70%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9.50%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11.90%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17.33%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15.86%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12.98%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9.86%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9.45%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11.90%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11.50%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11.00%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10.50%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2020: In addition to the stakeholder input described in the introduction, BEESS also received stakeholder input for this indicator from the State Secondary Transition Interagency Committee (SSTIC) and the Transition and Postsecondary Strategic Planning Team and are supported by the bureau. The input was received during face-to-face meetings and conference calls. Team members reviewed state-and district-level data related to transition indicators, including graduation rate, dropout rate, transition IEP compliance, and post-school outcomes. It is important to note that the indicators graduation rate, dropout rate, and postschool outcomes are also examined to provide additional information on how the state and each district are performing. This collaborative process helps determine the level of support each district requires in Florida's multi-tiered system of supporting school districts. The stakeholder groups assisted in setting targets, where appropriate, and the development of appropriate activities to improve results in these areas. In addition to parents of students with disabilities, self-advocates, members of bureau staff, and school district and postsecondary institution representatives, the members of SSTIC included representatives from the following partner organizations:</w:t>
      </w:r>
      <w:r w:rsidRPr="00781112">
        <w:rPr>
          <w:rFonts w:cs="Arial"/>
          <w:color w:val="000000" w:themeColor="text1"/>
          <w:szCs w:val="16"/>
        </w:rPr>
        <w:br/>
      </w:r>
      <w:r w:rsidRPr="00781112">
        <w:rPr>
          <w:rFonts w:cs="Arial"/>
          <w:color w:val="000000" w:themeColor="text1"/>
          <w:szCs w:val="16"/>
        </w:rPr>
        <w:br/>
        <w:t>•Agency for Persons with Disabilities •Family Network on Disabilities •Florida Alliance for Assistive Services and Technology (FAAST) •Florida College System •Florida Consortium on Postsecondary Education and Intellectual Disabilities •Florida Center Students with Unique Abilities (FCSUA) •Florida Department of Children and Families •Florida Department of Education Bureau of Family and Community Outreach •Florida Department of Education (FDOE) Division of Blind Services •FDOE Division of Career and Technical Education •FDOE Division of Vocational Rehabilitation •FDOE Department of Education Office of Dropout Prevention •Florida Department of Transportation •Florida Developmental Disabilities Council •Florida Diagnostic &amp; Learning Resources System (FDLRS) •Florida Youth Council •Institute for Small and Rural Districts • Learning Disabilities Association of Florida •Multiagency Network for Students with Emotional/Behavioral Disabilities (SEDNET) •Project 10: Transition Education Network •State University System •The Able Trust</w:t>
      </w:r>
      <w:r w:rsidRPr="00781112">
        <w:rPr>
          <w:rFonts w:cs="Arial"/>
          <w:color w:val="000000" w:themeColor="text1"/>
          <w:szCs w:val="16"/>
        </w:rPr>
        <w:br/>
      </w:r>
      <w:r w:rsidRPr="00781112">
        <w:rPr>
          <w:rFonts w:cs="Arial"/>
          <w:color w:val="000000" w:themeColor="text1"/>
          <w:szCs w:val="16"/>
        </w:rPr>
        <w:br/>
        <w:t>The Transition and Postsecondary Strategic Planning Team included representatives from the bureau and the following partner organizations:</w:t>
      </w:r>
      <w:r w:rsidRPr="00781112">
        <w:rPr>
          <w:rFonts w:cs="Arial"/>
          <w:color w:val="000000" w:themeColor="text1"/>
          <w:szCs w:val="16"/>
        </w:rPr>
        <w:br/>
      </w:r>
      <w:r w:rsidRPr="00781112">
        <w:rPr>
          <w:rFonts w:cs="Arial"/>
          <w:color w:val="000000" w:themeColor="text1"/>
          <w:szCs w:val="16"/>
        </w:rPr>
        <w:br/>
        <w:t xml:space="preserve">• Agency for Persons with Disabilities • Florida College System • FDOE of Dropout Prevention • FDOE Division of Career and Technical Education • FDOE Division of Vocational Rehabilitation • Florida Developmental Disabilities Council • Florida Instructional Materials Center for the Visually Impaired (FIMC-VI) • FDLRS • Resource Materials and Technology Center: Deaf/Hard of Hearing (RMTC-DHH) • SEDNET • Project 10: Transition Education </w:t>
      </w:r>
      <w:r w:rsidRPr="00781112">
        <w:rPr>
          <w:rFonts w:cs="Arial"/>
          <w:color w:val="000000" w:themeColor="text1"/>
          <w:szCs w:val="16"/>
        </w:rPr>
        <w:lastRenderedPageBreak/>
        <w:t xml:space="preserve">Network • State University System </w:t>
      </w:r>
      <w:r w:rsidRPr="00781112">
        <w:rPr>
          <w:rFonts w:cs="Arial"/>
          <w:color w:val="000000" w:themeColor="text1"/>
          <w:szCs w:val="16"/>
        </w:rPr>
        <w:br/>
      </w:r>
      <w:r w:rsidRPr="00781112">
        <w:rPr>
          <w:rFonts w:cs="Arial"/>
          <w:color w:val="000000" w:themeColor="text1"/>
          <w:szCs w:val="16"/>
        </w:rPr>
        <w:br/>
        <w:t xml:space="preserve">This team closely examined appropriate data, including data disaggregated by race and ethnicity and primary exceptionalism, as they developed the strategic plan. The target for Indicator 1 was set based on the annual graduation rate target under Title I of </w:t>
      </w:r>
      <w:proofErr w:type="gramStart"/>
      <w:r w:rsidRPr="00781112">
        <w:rPr>
          <w:rFonts w:cs="Arial"/>
          <w:color w:val="000000" w:themeColor="text1"/>
          <w:szCs w:val="16"/>
        </w:rPr>
        <w:t>the Every</w:t>
      </w:r>
      <w:proofErr w:type="gramEnd"/>
      <w:r w:rsidRPr="00781112">
        <w:rPr>
          <w:rFonts w:cs="Arial"/>
          <w:color w:val="000000" w:themeColor="text1"/>
          <w:szCs w:val="16"/>
        </w:rPr>
        <w:t xml:space="preserve"> Student Suceeds Act (ESSA). </w:t>
      </w:r>
      <w:r w:rsidRPr="00781112">
        <w:rPr>
          <w:rFonts w:cs="Arial"/>
          <w:color w:val="000000" w:themeColor="text1"/>
          <w:szCs w:val="16"/>
        </w:rPr>
        <w:br/>
      </w:r>
      <w:r w:rsidRPr="00781112">
        <w:rPr>
          <w:rFonts w:cs="Arial"/>
          <w:color w:val="000000" w:themeColor="text1"/>
          <w:szCs w:val="16"/>
        </w:rPr>
        <w:br/>
        <w:t>One thousand five hundred fifty-eight individuals responded to the survey regarding Indicator 2. Of those, 235 (15.08%) responses indicated the targets were too high, 493 (31.64%%) responses indicated the targets were too low, and 830 (53.27%) responses indicated the targets were appropriate.</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22,289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3,040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3,040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25,437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9.45%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11.95%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Partial Data Upload. One LEA reported the wrong number of GHS. The LEA reported 29 when the corrected count is 1037 GHS. The corrected data was not submitted during the correction window. With the updated LEA data, the FFY 2021 SEA Dropout rate is 3040 divided by 26478, or 11.58%. Thus, both the state target was met, and slippage did not occur. FDOE provides DQ reports to districts, this was a rare error, additional processes have been put in place in the program office and data reporting office to improve our ability to catch issues such as this.</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 xml:space="preserve">Provide a narrative that describes what counts as dropping out for all </w:t>
      </w:r>
      <w:proofErr w:type="gramStart"/>
      <w:r w:rsidRPr="00781112">
        <w:rPr>
          <w:rFonts w:cs="Arial"/>
          <w:b/>
          <w:color w:val="000000" w:themeColor="text1"/>
          <w:szCs w:val="16"/>
        </w:rPr>
        <w:t>youth</w:t>
      </w:r>
      <w:proofErr w:type="gramEnd"/>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Below are the exit codes and definitions for a dropout as provided in our SEA database manuals. All LEAs submit these codes electronically into Florida's Student Information System: </w:t>
      </w:r>
      <w:r w:rsidRPr="00781112">
        <w:rPr>
          <w:rFonts w:cs="Arial"/>
          <w:color w:val="000000" w:themeColor="text1"/>
          <w:szCs w:val="16"/>
          <w:shd w:val="clear" w:color="auto" w:fill="FFFFFF"/>
        </w:rPr>
        <w:br/>
        <w:t xml:space="preserve">1. DNE: Any KG-12 student expected to attend a school but did not enter as expected for unknown reasons and required documented efforts to locate </w:t>
      </w:r>
      <w:r w:rsidRPr="00781112">
        <w:rPr>
          <w:rFonts w:cs="Arial"/>
          <w:color w:val="000000" w:themeColor="text1"/>
          <w:szCs w:val="16"/>
          <w:shd w:val="clear" w:color="auto" w:fill="FFFFFF"/>
        </w:rPr>
        <w:br/>
        <w:t xml:space="preserve">the student </w:t>
      </w:r>
      <w:proofErr w:type="gramStart"/>
      <w:r w:rsidRPr="00781112">
        <w:rPr>
          <w:rFonts w:cs="Arial"/>
          <w:color w:val="000000" w:themeColor="text1"/>
          <w:szCs w:val="16"/>
          <w:shd w:val="clear" w:color="auto" w:fill="FFFFFF"/>
        </w:rPr>
        <w:t>are</w:t>
      </w:r>
      <w:proofErr w:type="gramEnd"/>
      <w:r w:rsidRPr="00781112">
        <w:rPr>
          <w:rFonts w:cs="Arial"/>
          <w:color w:val="000000" w:themeColor="text1"/>
          <w:szCs w:val="16"/>
          <w:shd w:val="clear" w:color="auto" w:fill="FFFFFF"/>
        </w:rPr>
        <w:t xml:space="preserve"> maintained per s. 1003.26, Florida Statutes. </w:t>
      </w:r>
      <w:r w:rsidRPr="00781112">
        <w:rPr>
          <w:rFonts w:cs="Arial"/>
          <w:color w:val="000000" w:themeColor="text1"/>
          <w:szCs w:val="16"/>
          <w:shd w:val="clear" w:color="auto" w:fill="FFFFFF"/>
        </w:rPr>
        <w:br/>
        <w:t xml:space="preserve">2. W05: Any student </w:t>
      </w:r>
      <w:proofErr w:type="gramStart"/>
      <w:r w:rsidRPr="00781112">
        <w:rPr>
          <w:rFonts w:cs="Arial"/>
          <w:color w:val="000000" w:themeColor="text1"/>
          <w:szCs w:val="16"/>
          <w:shd w:val="clear" w:color="auto" w:fill="FFFFFF"/>
        </w:rPr>
        <w:t>age</w:t>
      </w:r>
      <w:proofErr w:type="gramEnd"/>
      <w:r w:rsidRPr="00781112">
        <w:rPr>
          <w:rFonts w:cs="Arial"/>
          <w:color w:val="000000" w:themeColor="text1"/>
          <w:szCs w:val="16"/>
          <w:shd w:val="clear" w:color="auto" w:fill="FFFFFF"/>
        </w:rPr>
        <w:t xml:space="preserve"> 16 or older who leaves school voluntarily with no intention of returning and has filed a formal declaration of intent to terminate school enrollment per s. 1003.21, Florida Statutes. </w:t>
      </w:r>
      <w:r w:rsidRPr="00781112">
        <w:rPr>
          <w:rFonts w:cs="Arial"/>
          <w:color w:val="000000" w:themeColor="text1"/>
          <w:szCs w:val="16"/>
          <w:shd w:val="clear" w:color="auto" w:fill="FFFFFF"/>
        </w:rPr>
        <w:br/>
        <w:t xml:space="preserve">3. W13: Any KG-12 student withdrawn from school due to court action. (Does not apply to DJJ students). </w:t>
      </w:r>
      <w:r w:rsidRPr="00781112">
        <w:rPr>
          <w:rFonts w:cs="Arial"/>
          <w:color w:val="000000" w:themeColor="text1"/>
          <w:szCs w:val="16"/>
          <w:shd w:val="clear" w:color="auto" w:fill="FFFFFF"/>
        </w:rPr>
        <w:br/>
        <w:t xml:space="preserve">4. W15: Any KG-12 student withdrawn from school due to nonattendance after all procedures outlined in sections 1003.26 and 1003.27, Florida Statutes, have been followed. </w:t>
      </w:r>
      <w:r w:rsidRPr="00781112">
        <w:rPr>
          <w:rFonts w:cs="Arial"/>
          <w:color w:val="000000" w:themeColor="text1"/>
          <w:szCs w:val="16"/>
          <w:shd w:val="clear" w:color="auto" w:fill="FFFFFF"/>
        </w:rPr>
        <w:br/>
        <w:t xml:space="preserve">5. W18: Any KG-12 student withdrawn from school due to medical reasons and is unable to receive educational services, such as those provided through the hospital/homebound program. </w:t>
      </w:r>
      <w:r w:rsidRPr="00781112">
        <w:rPr>
          <w:rFonts w:cs="Arial"/>
          <w:color w:val="000000" w:themeColor="text1"/>
          <w:szCs w:val="16"/>
          <w:shd w:val="clear" w:color="auto" w:fill="FFFFFF"/>
        </w:rPr>
        <w:br/>
        <w:t xml:space="preserve">6. W21: Any KG-12 student withdrawn from school due to being expelled with no educational services. </w:t>
      </w:r>
      <w:r w:rsidRPr="00781112">
        <w:rPr>
          <w:rFonts w:cs="Arial"/>
          <w:color w:val="000000" w:themeColor="text1"/>
          <w:szCs w:val="16"/>
          <w:shd w:val="clear" w:color="auto" w:fill="FFFFFF"/>
        </w:rPr>
        <w:br/>
        <w:t xml:space="preserve">7. W22: Any KG-12 student whose whereabouts are unknown and required documented efforts to locate the student are maintained per s.1003.26, Florida Statutes. </w:t>
      </w:r>
      <w:r w:rsidRPr="00781112">
        <w:rPr>
          <w:rFonts w:cs="Arial"/>
          <w:color w:val="000000" w:themeColor="text1"/>
          <w:szCs w:val="16"/>
          <w:shd w:val="clear" w:color="auto" w:fill="FFFFFF"/>
        </w:rPr>
        <w:br/>
        <w:t xml:space="preserve">8. W23: Any KG-12 student withdrawn from school for any other reason than those listed above.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Changed baseline year from 2011 (44.4%) to school year 2018-2019 (FFY 2019). The graduation rate for FFY 2019 was recalculated using the exitor calculation and data. That year had 2506 dropout, 1067 received credentials (RC) and 21750 graduated with regular high school diploma (GHS) for a 9.90% withdrawal rate due to switching from cohort data to exitor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Based on the FFY 2019 exitor calculation the bureau has contacted the SAP and stakeholders to begin the steps of soliciting input on setting new targets for indicator 2 before FFY 2022 SPP.</w:t>
      </w: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2019, and OSEP accepts that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2021 through 2025 for this indicator, however, OSEP cannot accept those targets because the FFY 2025 end target does not reflect improvement over the State’s FFY 2019 baseline data. The State must revise its FFY 2025 target to reflect improvement. OSEP notes the State reported, "Based on the FFY 2019 exitor calculation the bureau has contacted the SAP and stakeholders to begin the steps of soliciting input on setting new targets for indicator 2 before FFY 2022 SPP."</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notes the State reported, "Partial Data Upload. One LEA report of graduates dropped by an estimated 1100 while the number of dropouts remained consistent." The data reported in the FFY 2021 SPP/APR Prepopulated Data chart includes data reported to OSEP by the State. The State did not provide OSEP with a data note accompanying their 618 data submission to address any data inconsistences.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did not provide targets, as required by the Measurement Table. The State must provide the required targets through FFY 2025 in the FFY 2022 SPP/APR.</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92.76%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85.58%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81.64%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93.77%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86.49%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80.71%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85.90%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85.58%</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81.64%</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86.10%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86.10%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80.71%</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55B99BB4" w:rsidR="00480083" w:rsidRPr="009B3BC6" w:rsidRDefault="00480083" w:rsidP="009B3BC6">
      <w:pPr>
        <w:spacing w:before="0" w:after="200" w:line="276" w:lineRule="auto"/>
        <w:rPr>
          <w:b/>
          <w:color w:val="000000" w:themeColor="text1"/>
        </w:rPr>
      </w:pPr>
      <w:r w:rsidRPr="00781112">
        <w:rPr>
          <w:b/>
          <w:color w:val="000000" w:themeColor="text1"/>
        </w:rPr>
        <w:t xml:space="preserve">Targets: Description of Stakeholder Input </w:t>
      </w:r>
      <w:r w:rsidR="009B3BC6">
        <w:rPr>
          <w:b/>
          <w:color w:val="000000" w:themeColor="text1"/>
        </w:rPr>
        <w:br/>
      </w:r>
      <w:r w:rsidRPr="00781112">
        <w:rPr>
          <w:rFonts w:cs="Arial"/>
          <w:color w:val="000000" w:themeColor="text1"/>
          <w:szCs w:val="16"/>
        </w:rPr>
        <w:t xml:space="preserve">Year 2020: Representation from FDOE participating on the ELA strategic advisement team to include: Just Read, </w:t>
      </w:r>
      <w:proofErr w:type="gramStart"/>
      <w:r w:rsidRPr="00781112">
        <w:rPr>
          <w:rFonts w:cs="Arial"/>
          <w:color w:val="000000" w:themeColor="text1"/>
          <w:szCs w:val="16"/>
        </w:rPr>
        <w:t>Florida!,</w:t>
      </w:r>
      <w:proofErr w:type="gramEnd"/>
      <w:r w:rsidRPr="00781112">
        <w:rPr>
          <w:rFonts w:cs="Arial"/>
          <w:color w:val="000000" w:themeColor="text1"/>
          <w:szCs w:val="16"/>
        </w:rPr>
        <w:t xml:space="preserve"> BEESS, and the Office of Early Learning. Representation from FDOE discretionary projects participating on the ELA strategic advisement team to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 Representation from the FDOE Bureau of Standards and Instructional Supports and BEESS; FDOE discretionary projects: Problem Solving/ Response to Intervention, Florida Inclusion Network, Florida Diagnostic and Learning Resources System, State Personnel Development Grant Strategic Instruction Model, school district LEA representatives; are all on the math strategic advisement team. Representation from FDOE, BEESS; FDOE discretionary projects: Florida Inclusion Network, Problem Solving/ Response to Intervention-Technology &amp; Learning Connections, and Florida Diagnostic &amp; Learning Resources System are all on the Access-Best Practice for Standards-Based Instructional Support advisement team.</w:t>
      </w:r>
      <w:r w:rsidRPr="00781112">
        <w:rPr>
          <w:rFonts w:cs="Arial"/>
          <w:color w:val="000000" w:themeColor="text1"/>
          <w:szCs w:val="16"/>
        </w:rPr>
        <w:br/>
      </w:r>
      <w:r w:rsidRPr="00781112">
        <w:rPr>
          <w:rFonts w:cs="Arial"/>
          <w:color w:val="000000" w:themeColor="text1"/>
          <w:szCs w:val="16"/>
        </w:rPr>
        <w:lastRenderedPageBreak/>
        <w:t>1,071 individuals responded to the survey regarding Indicator 3A. Of those 73 (6.82%) responses indicated the targets were too high, 338 (31.58%) responses indicated the targets were too low, and 660 (61.62%) responses indicated the targets were appropriate.</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Reading  (</w:t>
      </w:r>
      <w:proofErr w:type="gramEnd"/>
      <w:r w:rsidRPr="00781112">
        <w:rPr>
          <w:rFonts w:cs="Arial"/>
          <w:color w:val="000000" w:themeColor="text1"/>
          <w:szCs w:val="16"/>
        </w:rPr>
        <w:t>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33,299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32,634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58,075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29,077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10,148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24,294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16,869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21,226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2,969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3,277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6,224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Math  (</w:t>
      </w:r>
      <w:proofErr w:type="gramEnd"/>
      <w:r w:rsidRPr="00781112">
        <w:rPr>
          <w:rFonts w:cs="Arial"/>
          <w:color w:val="000000" w:themeColor="text1"/>
          <w:szCs w:val="16"/>
        </w:rPr>
        <w:t>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33,133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33,769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51,577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28,844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11,319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23,302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16,728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16,769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2,967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3,282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6,025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32,220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33,299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92.76%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85.90%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96.76%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30,294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32,634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85.58%</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85.58%</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92.83%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51,744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58,075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81.64%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81.64%</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89.10%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07DCA824"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31,909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33,133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93.77%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86.10%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96.31%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31,329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33,769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86.49%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86.10%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92.77%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46,096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51,577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80.71%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80.71%</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89.37%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https://www.fldoe.org/academics/exceptional-student-edu/data/</w:t>
      </w:r>
      <w:r w:rsidRPr="00781112">
        <w:rPr>
          <w:rFonts w:cs="Arial"/>
          <w:color w:val="000000" w:themeColor="text1"/>
          <w:szCs w:val="16"/>
        </w:rPr>
        <w:br/>
        <w:t>https://edudata.fldoe.org/ReportCards/Schools.html?school=0000&amp;district=00</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Targets in the FFY 2020-2025 strategic plan did not align with ESEA requirements for FFY 2021. The bureau identified this and corrected the goals for 3A to match the ESEA target of 95% starting for FFY 2022.</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 xml:space="preserve">In the FFY 2021 SPP/APR, the State must revise its targets for FFY 2021 to align with ESEA requirements, solicit stakeholder input on the State’s targets, and report the revised targets. </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The State revised the targets to align with ESEA requirements during the SPP/APR Part B Clarification period in 2022.</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provided targets for FFYs 2021 through 2025 for this indicator, and OSEP accepts the targets for FFYs 2022 through 2025, however, OSEP cannot accept the target for FFY 2021 because the State’s target does not align with ESEA requirements.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did not provide a FFY 2021 target that aligns with ESEA requirements.  The State must provide a FFY 2021 target in the FFY 2022 SPP/APR. </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22.82%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28.08%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22.01%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14.03%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22.80%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26.00%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16.15%</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15.10%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28.08%</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29.00%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30.50%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31.00%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31.50%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22.03%</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26.50%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27.50%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14.03%</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Year 2020: Representation from FDOE participating on the ELA strategic advisement team to include: Just Read, </w:t>
      </w:r>
      <w:proofErr w:type="gramStart"/>
      <w:r w:rsidRPr="00781112">
        <w:rPr>
          <w:rFonts w:cs="Arial"/>
          <w:color w:val="000000" w:themeColor="text1"/>
          <w:szCs w:val="16"/>
        </w:rPr>
        <w:t>Florida!,</w:t>
      </w:r>
      <w:proofErr w:type="gramEnd"/>
      <w:r w:rsidRPr="00781112">
        <w:rPr>
          <w:rFonts w:cs="Arial"/>
          <w:color w:val="000000" w:themeColor="text1"/>
          <w:szCs w:val="16"/>
        </w:rPr>
        <w:t xml:space="preserve"> BEESS, and the Office of Early Learning. Representation from FDOE discretionary projects participating on the ELA strategic advisement team to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 Representation from the FDOE, Bureau of Standards and Instructional Supports and BEESS; FDOE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781112">
        <w:rPr>
          <w:rFonts w:cs="Arial"/>
          <w:color w:val="000000" w:themeColor="text1"/>
          <w:szCs w:val="16"/>
        </w:rPr>
        <w:br/>
        <w:t>Representation from FDOE, BEESS; FDOE discretionary projects: Florida Inclusion Network, Problem Solving/ Response to Intervention-Technology &amp; Learning Connections, and Florida Diagnostic &amp; Learning Resources System are all on the Access-Best Practice for Standards-Based Instructional Support advisement team.</w:t>
      </w:r>
      <w:r w:rsidRPr="00781112">
        <w:rPr>
          <w:rFonts w:cs="Arial"/>
          <w:color w:val="000000" w:themeColor="text1"/>
          <w:szCs w:val="16"/>
        </w:rPr>
        <w:br/>
      </w:r>
      <w:r w:rsidRPr="00781112">
        <w:rPr>
          <w:rFonts w:cs="Arial"/>
          <w:color w:val="000000" w:themeColor="text1"/>
          <w:szCs w:val="16"/>
        </w:rPr>
        <w:lastRenderedPageBreak/>
        <w:t>One thousand fifty-nine individuals responded to the survey regarding Indicator 3B. Of those, 260 (24.55%) responses indicated the targets were too high, 135 (12.75%%) responses indicated the targets were too low, and 664 (62.70%) responses indicated the targets were appropriate.</w:t>
      </w:r>
    </w:p>
    <w:p w14:paraId="2446B7C2" w14:textId="77777777" w:rsidR="00F20369" w:rsidRPr="00781112" w:rsidRDefault="00F20369" w:rsidP="004369B2">
      <w:pPr>
        <w:rPr>
          <w:color w:val="000000" w:themeColor="text1"/>
        </w:rPr>
      </w:pPr>
      <w:bookmarkStart w:id="17"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29,251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27,017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45,520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7,896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2,418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4,827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1,828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2,558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28,942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28,047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40,071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10,219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3,753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4,123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3,303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2,275</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7,942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29,251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22.82%</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27.15%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4,246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27,017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16.15%</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16.15%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15.72%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7,385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45,520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15.10%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16.22%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10,244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28,942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28.08%</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28.08%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35.39%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7,056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28,047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22.01%</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22.03%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25.16%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6,398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40,071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14.03%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14.03%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15.97%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11E9BAC7" w:rsidR="00497DE4" w:rsidRPr="009B3BC6" w:rsidRDefault="00497DE4" w:rsidP="009B3BC6">
      <w:pPr>
        <w:spacing w:before="0" w:after="200" w:line="276" w:lineRule="auto"/>
        <w:rPr>
          <w:color w:val="000000" w:themeColor="text1"/>
        </w:rPr>
      </w:pPr>
      <w:r w:rsidRPr="00781112">
        <w:rPr>
          <w:b/>
          <w:color w:val="000000" w:themeColor="text1"/>
        </w:rPr>
        <w:t>Regulatory Information</w:t>
      </w:r>
      <w:r w:rsidR="009B3BC6">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https://www.fldoe.org/academics/exceptional-student-edu/data/</w:t>
      </w:r>
      <w:r w:rsidRPr="00781112">
        <w:rPr>
          <w:rFonts w:cs="Arial"/>
          <w:color w:val="000000" w:themeColor="text1"/>
          <w:szCs w:val="16"/>
        </w:rPr>
        <w:br/>
        <w:t>https://edudata.fldoe.org/ReportCards/Schools.html?school=0000&amp;district=00</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 xml:space="preserve">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w:t>
      </w:r>
      <w:proofErr w:type="gramStart"/>
      <w:r w:rsidR="00385214" w:rsidRPr="00781112">
        <w:rPr>
          <w:rFonts w:cs="Arial"/>
          <w:szCs w:val="16"/>
        </w:rPr>
        <w:t>time</w:t>
      </w:r>
      <w:proofErr w:type="gramEnd"/>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56.53%</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60.98%</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55.96%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62.46%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56.50%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57.50%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57.50%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58.35%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58.50%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58.50%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61.50%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61.50%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56.50%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56.50%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62.10%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62.50%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62.50%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62.50%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63.50%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63.50%</w:t>
            </w:r>
          </w:p>
        </w:tc>
      </w:tr>
    </w:tbl>
    <w:p w14:paraId="7BA2B8B7" w14:textId="77777777" w:rsidR="009B3BC6" w:rsidRDefault="009B3BC6" w:rsidP="009B3BC6">
      <w:pPr>
        <w:spacing w:before="0" w:after="200" w:line="276" w:lineRule="auto"/>
        <w:rPr>
          <w:b/>
          <w:color w:val="000000" w:themeColor="text1"/>
        </w:rPr>
      </w:pPr>
    </w:p>
    <w:p w14:paraId="2261CE05" w14:textId="73CC72AA" w:rsidR="002D145D" w:rsidRPr="009B3BC6" w:rsidRDefault="002D145D" w:rsidP="009B3BC6">
      <w:pPr>
        <w:spacing w:before="0" w:after="200" w:line="276" w:lineRule="auto"/>
        <w:rPr>
          <w:b/>
          <w:color w:val="000000" w:themeColor="text1"/>
        </w:rPr>
      </w:pPr>
      <w:r w:rsidRPr="00781112">
        <w:rPr>
          <w:b/>
          <w:color w:val="000000" w:themeColor="text1"/>
        </w:rPr>
        <w:t xml:space="preserve">Targets: Description of Stakeholder Input </w:t>
      </w:r>
      <w:r w:rsidR="009B3BC6">
        <w:rPr>
          <w:b/>
          <w:color w:val="000000" w:themeColor="text1"/>
        </w:rPr>
        <w:br/>
      </w:r>
      <w:r w:rsidR="002B7490" w:rsidRPr="00781112">
        <w:rPr>
          <w:rFonts w:cs="Arial"/>
          <w:color w:val="000000" w:themeColor="text1"/>
          <w:szCs w:val="16"/>
        </w:rPr>
        <w:t xml:space="preserve">Representation from FDOE participating on the ELA strategic advisement team to include: Just Read, Florida!, BEESS, and the Office of Early Learning Representation from FDOE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 Representation from FDOE, Bureau of Standards and Instructional Supports and BEESS;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 Representation from FDOE, BEESS; FDOE discretionary projects: Florida Inclusion Network, Problem Solving/ Response to Intervention-Technology &amp; Learning Connections, and Florida Diagnostic &amp; Learning Resources System are all on the Access-Best Practice for Standards-Based Instructional </w:t>
      </w:r>
      <w:r w:rsidR="002B7490" w:rsidRPr="00781112">
        <w:rPr>
          <w:rFonts w:cs="Arial"/>
          <w:color w:val="000000" w:themeColor="text1"/>
          <w:szCs w:val="16"/>
        </w:rPr>
        <w:lastRenderedPageBreak/>
        <w:t>Support advisement team. One thousand forty-six individuals responded to the survey regarding Indicator 3C. Of those, 222 (21.22%) responses indicated the targets were too high, 118 (11.28%) responses indicated the targets were too low, and 706 (67.50%) responses indicated the targets were appropriate.</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2,969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3,277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6,224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1,573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1,840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3,470</w:t>
            </w:r>
          </w:p>
        </w:tc>
      </w:tr>
    </w:tbl>
    <w:p w14:paraId="65713C8A" w14:textId="77777777" w:rsidR="009B3BC6" w:rsidRDefault="009B3BC6" w:rsidP="00286BDF">
      <w:pPr>
        <w:rPr>
          <w:rFonts w:cs="Arial"/>
          <w:b/>
          <w:color w:val="000000" w:themeColor="text1"/>
          <w:szCs w:val="16"/>
        </w:rPr>
      </w:pPr>
    </w:p>
    <w:p w14:paraId="31899BDA" w14:textId="2638A07A"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1534D0BD" w14:textId="77777777" w:rsidR="009B3BC6" w:rsidRPr="00781112" w:rsidRDefault="009B3BC6"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2,967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3,282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6,025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1,555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1,926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3,537</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1,573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2,969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56.53%</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56.50%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52.98%</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1,840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3,277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58.33%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58.35%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56.15%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3,470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6,224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60.98%</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61.00%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55.75%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1,555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2,967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55.96%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56.00%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52.41%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1,926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3,282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62.05%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62.10%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58.68%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3,537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6,025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62.46%</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62.50%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58.71%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https://www.fldoe.org/academics/exceptional-student-edu/data/</w:t>
      </w:r>
      <w:r w:rsidRPr="00781112">
        <w:rPr>
          <w:rFonts w:cs="Arial"/>
          <w:color w:val="000000" w:themeColor="text1"/>
          <w:szCs w:val="16"/>
          <w:shd w:val="clear" w:color="auto" w:fill="FFFFFF"/>
        </w:rPr>
        <w:br/>
        <w:t>https://edudata.fldoe.org/ReportCards/Schools.html?school=0000&amp;district=00</w:t>
      </w:r>
    </w:p>
    <w:p w14:paraId="19728EE3" w14:textId="0557CB50" w:rsidR="00A869E9" w:rsidRDefault="00796DC0" w:rsidP="000E33D0">
      <w:pPr>
        <w:rPr>
          <w:b/>
          <w:color w:val="000000" w:themeColor="text1"/>
        </w:rPr>
      </w:pPr>
      <w:r w:rsidRPr="00781112">
        <w:rPr>
          <w:b/>
          <w:color w:val="000000" w:themeColor="text1"/>
        </w:rPr>
        <w:t>Provide additional information about this indicator (optional)</w:t>
      </w:r>
    </w:p>
    <w:p w14:paraId="748FBE43" w14:textId="77777777" w:rsidR="009B3BC6" w:rsidRPr="009B3BC6" w:rsidRDefault="009B3BC6" w:rsidP="000E33D0">
      <w:pPr>
        <w:rPr>
          <w:b/>
          <w:color w:val="000000" w:themeColor="text1"/>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lastRenderedPageBreak/>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29.57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36.43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35.23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31.81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20.01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29.57</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29.50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36.43</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36.40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35.23</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35.20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25.04</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31.81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31.80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20.01</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Year 2020: One thousand twenty-nine individuals responded to the survey regarding Indicator 3D. Of those, 216 (20.99%) responses indicated the targets were too low, 154 (14.97%) responses indicated the targets were too high, and 659 (64.04%) responses indicated the targets were appropriate.</w:t>
      </w:r>
    </w:p>
    <w:p w14:paraId="5EB19DE7" w14:textId="77777777" w:rsidR="00DD5B7A" w:rsidRPr="00781112" w:rsidRDefault="00DD5B7A" w:rsidP="00DD5B7A">
      <w:pPr>
        <w:spacing w:before="0" w:after="200" w:line="276" w:lineRule="auto"/>
        <w:rPr>
          <w:b/>
          <w:color w:val="000000" w:themeColor="text1"/>
        </w:rPr>
      </w:pPr>
    </w:p>
    <w:p w14:paraId="43EAB892" w14:textId="77777777" w:rsidR="009B3BC6" w:rsidRDefault="009B3BC6">
      <w:pPr>
        <w:spacing w:before="0" w:after="200" w:line="276" w:lineRule="auto"/>
        <w:rPr>
          <w:b/>
          <w:color w:val="000000" w:themeColor="text1"/>
        </w:rPr>
      </w:pPr>
      <w:r>
        <w:rPr>
          <w:b/>
          <w:color w:val="000000" w:themeColor="text1"/>
        </w:rPr>
        <w:br w:type="page"/>
      </w:r>
    </w:p>
    <w:p w14:paraId="5F03961C" w14:textId="49830F31"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196,351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210,257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406,947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29,251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27,017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45,520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112,549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101,484</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201,154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2,485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3,372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7,896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2,418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4,827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1,828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2,558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193,254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234,121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278,601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28,942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28,047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40,071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118,792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130,521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106,564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4,296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2,779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10,219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3,753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4,123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3,303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2,275</w:t>
            </w:r>
          </w:p>
        </w:tc>
      </w:tr>
    </w:tbl>
    <w:p w14:paraId="1EA160DB" w14:textId="77777777" w:rsidR="00DD5B7A" w:rsidRPr="00781112" w:rsidRDefault="00DD5B7A" w:rsidP="00DD5B7A">
      <w:pPr>
        <w:rPr>
          <w:color w:val="000000" w:themeColor="text1"/>
        </w:rPr>
      </w:pPr>
    </w:p>
    <w:p w14:paraId="0422EC8F" w14:textId="77777777" w:rsidR="009B3BC6" w:rsidRDefault="009B3BC6">
      <w:pPr>
        <w:spacing w:before="0" w:after="200" w:line="276" w:lineRule="auto"/>
        <w:rPr>
          <w:b/>
          <w:color w:val="000000" w:themeColor="text1"/>
        </w:rPr>
      </w:pPr>
      <w:r>
        <w:rPr>
          <w:b/>
          <w:color w:val="000000" w:themeColor="text1"/>
        </w:rPr>
        <w:br w:type="page"/>
      </w:r>
    </w:p>
    <w:p w14:paraId="300D6CD4" w14:textId="1EB796DA"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27.15%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57.36%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29.57</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30.21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15.72%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49.45%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36.43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36.43</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33.73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16.22%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50.26%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35.23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35.23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34.03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35.39%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61.50%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25.04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26.10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25.16%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57.58%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31.81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31.81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32.43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15.97%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39.25%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20.01</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20.01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may have affected the number of students scoring at or above proficiency against grade-level academic achievement standards; thus, slippage has occurred. </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 xml:space="preserve">FDOE, with the guidance of the Office of Special Education Programs, enacted changes to Rule 6A-1.0943 Statewide Standardized Assessments for Students with Disabilities in July 2021.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may have affected the number of students scoring at or above proficiency against grade-level academic achievement standards; thus, slippage has occurred.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19.40%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12.90%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12.90%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9.00%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9.00%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8.50%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8.30%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Nine hundred twenty-three individuals responded to the survey regarding Indicator 4A. Of those, 129 (13.98%) responses indicated the targets were too low, 196 (21.24%) responses indicated the targets were too high, and 598 (64.79%) responses indicated the targets were appropriate. In addition to survey feedback, input was collected from emotional/behavioral disability (E/BD) contacts from each district. Input was also collected from the parents and guardians of students with or at-risk of E/BD and the Positive Behavior/Student Engagement strategic plan workgroup. All stakeholders agreed that the targets were appropriate. </w:t>
      </w: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 xml:space="preserve">The rates of suspensions and expulsions of greater than 10 days in a school year for children with IEPs in each LEA compared to the rates for nondisabled children in the same </w:t>
      </w:r>
      <w:proofErr w:type="gramStart"/>
      <w:r w:rsidRPr="00781112">
        <w:rPr>
          <w:rFonts w:cs="Arial"/>
          <w:color w:val="000000" w:themeColor="text1"/>
          <w:szCs w:val="16"/>
        </w:rPr>
        <w:t>LEA</w:t>
      </w:r>
      <w:proofErr w:type="gramEnd"/>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significant discrepancy for indicator 4A is defined as a rate ratio of three or higher when comparing students with disabilities to students without disabilities within the local educational agency. Every LEA within the state of Florida was included in the significant discrepancy calculations.</w:t>
      </w:r>
      <w:r w:rsidRPr="00781112">
        <w:rPr>
          <w:rFonts w:cs="Arial"/>
          <w:color w:val="000000" w:themeColor="text1"/>
          <w:szCs w:val="16"/>
        </w:rPr>
        <w:br/>
      </w:r>
      <w:r w:rsidRPr="00781112">
        <w:rPr>
          <w:rFonts w:cs="Arial"/>
          <w:color w:val="000000" w:themeColor="text1"/>
          <w:szCs w:val="16"/>
        </w:rPr>
        <w:br/>
        <w:t xml:space="preserve">Numerator = rate for students with disabilities of being suspended/expelled for more than ten days (students with disabilities who were suspended/expelled for more than ten cumulative days divided by the total year enrollment of all students with disabilities) x 100. </w:t>
      </w:r>
      <w:r w:rsidRPr="00781112">
        <w:rPr>
          <w:rFonts w:cs="Arial"/>
          <w:color w:val="000000" w:themeColor="text1"/>
          <w:szCs w:val="16"/>
        </w:rPr>
        <w:br/>
      </w:r>
      <w:r w:rsidRPr="00781112">
        <w:rPr>
          <w:rFonts w:cs="Arial"/>
          <w:color w:val="000000" w:themeColor="text1"/>
          <w:szCs w:val="16"/>
        </w:rPr>
        <w:br/>
        <w:t>Denominator = rate for students without disabilities of being suspended/expelled for more than ten days (all students without disabilities who were suspended/expelled for more than ten cumulative days divided by the total year enrollment of all students without disabilities) x 100.</w:t>
      </w:r>
      <w:r w:rsidRPr="00781112">
        <w:rPr>
          <w:rFonts w:cs="Arial"/>
          <w:color w:val="000000" w:themeColor="text1"/>
          <w:szCs w:val="16"/>
        </w:rPr>
        <w:br/>
      </w:r>
      <w:r w:rsidRPr="00781112">
        <w:rPr>
          <w:rFonts w:cs="Arial"/>
          <w:color w:val="000000" w:themeColor="text1"/>
          <w:szCs w:val="16"/>
        </w:rPr>
        <w:br/>
        <w:t>There were a total of 76 LEAs included in these data.</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Florida Department of Education (FDOE) reviews suspension and expulsion data for each district. It identifies districts with a significant discrepancy in the rate of suspensions and expulsions by comparing students with disabilities to students without disabilities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disproportionality. The FDOE reviews all districts’ policies and procedures related to discipline annually. Based on FDOE’s review, districts are provided technical assistance to update their policies and procedures if out of compliance.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4C27CBE" w14:textId="77777777" w:rsidR="009B3BC6" w:rsidRPr="00781112" w:rsidRDefault="009B3BC6"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091175CB" w14:textId="77777777" w:rsidR="009B3BC6" w:rsidRPr="00781112" w:rsidRDefault="009B3BC6"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NO</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in the State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significant discrepancy for indicator 4B is defined as a rate ratio of three or higher for a specific racial/ethnic group when comparing students with disabilities to students without disabilities within the LEA. Every LEA within the state of Florida was included in the significant discrepancy calculations.</w:t>
      </w:r>
      <w:r w:rsidRPr="00781112">
        <w:rPr>
          <w:rFonts w:cs="Arial"/>
          <w:color w:val="000000" w:themeColor="text1"/>
          <w:szCs w:val="16"/>
        </w:rPr>
        <w:br/>
        <w:t xml:space="preserve"> </w:t>
      </w:r>
      <w:r w:rsidRPr="00781112">
        <w:rPr>
          <w:rFonts w:cs="Arial"/>
          <w:color w:val="000000" w:themeColor="text1"/>
          <w:szCs w:val="16"/>
        </w:rPr>
        <w:br/>
        <w:t xml:space="preserve">Numerator = rate for students with disabilities being suspended/expelled for more than 10 days (for instance, Hispanic students who were suspended/expelled for more than 10 cumulative days divided by the total year enrollment for all Hispanic students with disabilities) x 100. </w:t>
      </w:r>
      <w:r w:rsidRPr="00781112">
        <w:rPr>
          <w:rFonts w:cs="Arial"/>
          <w:color w:val="000000" w:themeColor="text1"/>
          <w:szCs w:val="16"/>
        </w:rPr>
        <w:br/>
        <w:t xml:space="preserve"> </w:t>
      </w:r>
      <w:r w:rsidRPr="00781112">
        <w:rPr>
          <w:rFonts w:cs="Arial"/>
          <w:color w:val="000000" w:themeColor="text1"/>
          <w:szCs w:val="16"/>
        </w:rPr>
        <w:br/>
        <w:t xml:space="preserve">Denominator = rate for students without disabilities of being suspended/expelled for more than 10 days (for instance, all students without disabilities who were suspended/expelled for more than 10 cumulative days divided by the total year enrollment for all students without disabilities) x 100. </w:t>
      </w:r>
      <w:r w:rsidRPr="00781112">
        <w:rPr>
          <w:rFonts w:cs="Arial"/>
          <w:color w:val="000000" w:themeColor="text1"/>
          <w:szCs w:val="16"/>
        </w:rPr>
        <w:br/>
        <w:t xml:space="preserve"> </w:t>
      </w:r>
      <w:r w:rsidRPr="00781112">
        <w:rPr>
          <w:rFonts w:cs="Arial"/>
          <w:color w:val="000000" w:themeColor="text1"/>
          <w:szCs w:val="16"/>
        </w:rPr>
        <w:br/>
        <w:t xml:space="preserve">There </w:t>
      </w:r>
      <w:proofErr w:type="gramStart"/>
      <w:r w:rsidRPr="00781112">
        <w:rPr>
          <w:rFonts w:cs="Arial"/>
          <w:color w:val="000000" w:themeColor="text1"/>
          <w:szCs w:val="16"/>
        </w:rPr>
        <w:t>were</w:t>
      </w:r>
      <w:proofErr w:type="gramEnd"/>
      <w:r w:rsidRPr="00781112">
        <w:rPr>
          <w:rFonts w:cs="Arial"/>
          <w:color w:val="000000" w:themeColor="text1"/>
          <w:szCs w:val="16"/>
        </w:rPr>
        <w:t xml:space="preserve"> a total of 76 LEAs included in these data.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Florida Department of Education (FDOE) reviews suspension and expulsion data for each of its districts and identifies those districts that have a significant discrepancy in the rate of suspensions and expulsions race and ethnicity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the disproportionality. The FDOE reviews all districts’ policies and procedures related to discipline annually. Based on FDOE’s review, districts are provided technical assistance to update their policies and procedures if out of 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AE2F9BD" w14:textId="77777777" w:rsidR="009B3BC6" w:rsidRPr="00781112" w:rsidRDefault="009B3BC6">
      <w:pPr>
        <w:rPr>
          <w:b/>
          <w:color w:val="000000" w:themeColor="text1"/>
        </w:rPr>
      </w:pPr>
    </w:p>
    <w:p w14:paraId="170FA68F" w14:textId="77777777" w:rsidR="009B3BC6" w:rsidRDefault="009B3BC6">
      <w:pPr>
        <w:spacing w:before="0" w:after="200" w:line="276" w:lineRule="auto"/>
        <w:rPr>
          <w:b/>
          <w:color w:val="000000" w:themeColor="text1"/>
        </w:rPr>
      </w:pPr>
      <w:r>
        <w:rPr>
          <w:b/>
          <w:color w:val="000000" w:themeColor="text1"/>
        </w:rPr>
        <w:br w:type="page"/>
      </w:r>
    </w:p>
    <w:p w14:paraId="54A274E0" w14:textId="60938985"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82.00%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76.73%</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75.27%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76.98%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13.35%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13.08%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3.23%</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3.11%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77.69%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77.70%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78.60%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13.35%</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13.20%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12.90%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12.80%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12.70%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3.23%</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2.90%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2.80%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2.70%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The strategic plan team analyzed data regarding districts’ identified priorities on their required Best Practices for Inclusive Education (BPIE) selfassessment. Team members also reviewed state-and district-level data related to inclusion concerning disability type, age, district, and transitions from elementary to secondary settings. It is important to note that the indicators are also examined to provide additional information on how the state and each district are performing. This collaborative process helps determine the level of support each district requires in Florida’s multi-tiered system of supporting school districts. The stakeholder groups assisted in setting targets, where appropriate, and developing appropriate activities to improve results in these areas. </w:t>
      </w:r>
      <w:r w:rsidRPr="00781112">
        <w:rPr>
          <w:rFonts w:cs="Arial"/>
          <w:color w:val="000000" w:themeColor="text1"/>
          <w:szCs w:val="16"/>
        </w:rPr>
        <w:br/>
      </w:r>
      <w:r w:rsidRPr="00781112">
        <w:rPr>
          <w:rFonts w:cs="Arial"/>
          <w:color w:val="000000" w:themeColor="text1"/>
          <w:szCs w:val="16"/>
        </w:rPr>
        <w:br/>
        <w:t xml:space="preserve">The Best Practices for Inclusion Strategic Planning Team includes representation from the bureau and the following partner organizations: </w:t>
      </w:r>
      <w:r w:rsidRPr="00781112">
        <w:rPr>
          <w:rFonts w:cs="Arial"/>
          <w:color w:val="000000" w:themeColor="text1"/>
          <w:szCs w:val="16"/>
        </w:rPr>
        <w:br/>
      </w:r>
      <w:r w:rsidRPr="00781112">
        <w:rPr>
          <w:rFonts w:cs="Arial"/>
          <w:color w:val="000000" w:themeColor="text1"/>
          <w:szCs w:val="16"/>
        </w:rPr>
        <w:br/>
        <w:t>• Florida Inclusion Network (FIN) •Florida Diagnostic &amp; Learning Resources System (FDLRS) •Resource Materials and Technology Center for the Deaf and Hard of Hearing (RMTC-D/HH) • Florida Instructional Materials Center for the Visually Impaired (FIMC-VI) •Center for Autism &amp; Related Disabilities (CARD) •Project Access Students with Emotional/Behavioral Disabilities Network (SEDNET) Eight hundred twenty-eight individuals responded to the survey regarding Indicator 5. Of those 125 (15.10%) responses indicated the targets were too low, 119 (14.37%) responses indicated the targets were too low, and 828 (70.53%) responses indicated the targets were appropriate.</w:t>
      </w:r>
      <w:r w:rsidRPr="00781112">
        <w:rPr>
          <w:rFonts w:cs="Arial"/>
          <w:color w:val="000000" w:themeColor="text1"/>
          <w:szCs w:val="16"/>
        </w:rPr>
        <w:br/>
      </w:r>
      <w:r w:rsidRPr="00781112">
        <w:rPr>
          <w:rFonts w:cs="Arial"/>
          <w:color w:val="000000" w:themeColor="text1"/>
          <w:szCs w:val="16"/>
        </w:rPr>
        <w:br/>
        <w:t xml:space="preserve">Eight hundred thirteen individuals responded to the survey regarding Indicator 5B. Of those, 145 (17.84%) responses indicated the targets were too low, </w:t>
      </w:r>
      <w:r w:rsidRPr="00781112">
        <w:rPr>
          <w:rFonts w:cs="Arial"/>
          <w:color w:val="000000" w:themeColor="text1"/>
          <w:szCs w:val="16"/>
        </w:rPr>
        <w:lastRenderedPageBreak/>
        <w:t>85 (10.46%) responses indicated the targets were too high, and 583 (71.71%) responses indicated the targets were appropriate. Eight hundred twelve individuals responded to the survey regarding Indicator 5C. Of those 121 (14.90%) responses indicated the targets were too low, 77 (9.48%) responses indicated the targets were too high, and 614 (75.62%) responses indicated the targets were appropriate.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399,312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311,948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50,302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9,340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416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2,466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311,948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399,312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76.98%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77.69%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78.12%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50,302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399,312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13.08%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13.35%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12.60%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12,222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399,312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3.11%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roofErr w:type="gramStart"/>
      <w:r w:rsidRPr="00781112">
        <w:rPr>
          <w:rFonts w:cs="Arial"/>
          <w:iCs/>
          <w:szCs w:val="16"/>
        </w:rPr>
        <w:t>).</w:t>
      </w:r>
      <w:r w:rsidR="005322B8" w:rsidRPr="00781112">
        <w:rPr>
          <w:rFonts w:cs="Arial"/>
          <w:color w:val="000000" w:themeColor="text1"/>
          <w:szCs w:val="16"/>
        </w:rPr>
        <w:t>Describe</w:t>
      </w:r>
      <w:proofErr w:type="gramEnd"/>
      <w:r w:rsidR="005322B8" w:rsidRPr="00781112">
        <w:rPr>
          <w:rFonts w:cs="Arial"/>
          <w:color w:val="000000" w:themeColor="text1"/>
          <w:szCs w:val="16"/>
        </w:rPr>
        <w:t xml:space="preserv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25.93%</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36.73%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40.09%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25.93%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46.30%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45.30%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44.80%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60.84%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49.82%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48.54%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46.90%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47.63%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60.84%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720 individuals responded to the survey regarding Indicator 6A. Of those 186 (25.83%) responses indicated the targets were too low, 48 (6.67%) responses indicated the targets were too low, and 486 (67.50%) responses indicated the targets were appropriate. 707 individuals responded to the survey regarding Indicator 6B. Of those 71 (10.04%) responses indicated the targets were too low, 130 (18.39%) responses indicated the targets were too high, and 506 (71.57%) responses indicated the targets were appropriate. 701 individuals responded to the survey regarding Indicator 6C. Of those 117 (16.69%) responses indicated the targets were too low,36 (5.14%) responses indicated the targets were too high, and 548 (78.17%) responses indicated the targets were appropriate.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25.93%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60.84%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25.93%</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26.00%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26.30%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26.50%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26.50%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60.84%</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60.83%</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60.82%</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60.81%</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0.38%</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0.38%</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0.37%</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7,077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11,923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2,367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21,367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1,313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3,551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803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5,667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4,571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6,742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1,229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12,542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226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299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597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5,667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21,367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26.52%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lastRenderedPageBreak/>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13,141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21,367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60.84%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60.84%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21,367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75.30%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69.98%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69.80%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75.80%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80.42%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77.64%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69.76%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73.32%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60.20%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58.80%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65.02%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66.55%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60.19%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63.45%</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66.38%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64.63%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59.63%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62.40%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64.60%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64.11%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65.69%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64.61%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60.52%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68.30%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78.42%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76.91%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72.38%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75.30%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75.50%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75.50%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75.60%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75.60%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69.80%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69.90%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69.90%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70.00%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60.20%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60.50%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60.50%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61.00%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51.80%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52.00%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52.00%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52.50%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52.50%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64.60%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65.00%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65.00%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65.50%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65.50%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68.30%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68.50%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68.50%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69.00%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69.00%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 xml:space="preserve">Number of preschool children aged 3 through 5 with IEPs </w:t>
      </w:r>
      <w:proofErr w:type="gramStart"/>
      <w:r w:rsidRPr="00781112">
        <w:rPr>
          <w:rFonts w:cs="Arial"/>
          <w:b/>
          <w:color w:val="000000" w:themeColor="text1"/>
          <w:szCs w:val="16"/>
        </w:rPr>
        <w:t>assessed</w:t>
      </w:r>
      <w:proofErr w:type="gramEnd"/>
    </w:p>
    <w:p w14:paraId="6F555236" w14:textId="5F84A3B7" w:rsidR="004B2C2D" w:rsidRPr="00781112" w:rsidRDefault="004B2C2D" w:rsidP="004369B2">
      <w:pPr>
        <w:rPr>
          <w:color w:val="000000" w:themeColor="text1"/>
        </w:rPr>
      </w:pPr>
      <w:r w:rsidRPr="00781112">
        <w:rPr>
          <w:rFonts w:cs="Arial"/>
          <w:color w:val="000000" w:themeColor="text1"/>
          <w:szCs w:val="16"/>
        </w:rPr>
        <w:t>6,456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202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3.13%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1,166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18.06%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803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12.44%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2,202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34.11%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2,083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32.26%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3,005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4,373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69.98%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68.72%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4,285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6,456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73.32%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69.80%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66.37%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3.87%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1,761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27.28%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976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15.12%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33.63%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1,298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20.11%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3,147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5,158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63.45%</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61.01%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3,469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6,456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59.63%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53.73%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 xml:space="preserve">Outcome C: Use of appropriate behaviors to meet their </w:t>
      </w:r>
      <w:proofErr w:type="gramStart"/>
      <w:r w:rsidRPr="00781112">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184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2.85%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1,422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22.03%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598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9.26%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1,814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28.10%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2,438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37.76%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r w:rsidRPr="00781112">
              <w:rPr>
                <w:rFonts w:cs="Arial"/>
                <w:color w:val="000000" w:themeColor="text1"/>
                <w:szCs w:val="16"/>
              </w:rPr>
              <w:lastRenderedPageBreak/>
              <w:t>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2,412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4,018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60.52%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64.60%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60.03%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4,252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6,456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72.38%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68.30%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The primary reason for the slippage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Personal Social Growth for Child Outcomes is reduced exposure to same-age peers during the pandemic. While Florida prioritized in-person instruction, some families chose not to attend school in person. Given this, some students had a decrease in attendance or irregular attendance at school, reducing the social exposure to same-age peers. </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Slippage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functioning within age expectations is due to reduced exposure to same-age peers during the pandemic. While Florida prioritized in-person instruction, some families chose not to attend school in person. Given this, some students had a decrease in attendance or irregular attendance at school, reducing the exposure to self-help skills and typically developing peer models; there was a decrease in opportunity for growth.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Slippage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functioning within age expectations is due to reduced exposure to same-age peers during the pandemic. While Florida prioritized in-person instruction, some families chose not to attend school in person. Given this, some students had a decrease in attendance or irregular attendance at school, reducing the exposure to self-help skills and typically developing peer models; there was a decrease in opportunity for growth.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Children are assessed at program entry and program exit using the Battelle Developmental Inventory, 2nd edition (BDI-2). Districts input children’s assessment data into a web-based program developed by the publisher of the BDI-2. The Department contractor periodically exports records from the web-based program and maintains a secure database of children with both entry and exit scores. The data are published annually in the BEESS Databook.</w:t>
      </w:r>
      <w:r w:rsidRPr="00781112">
        <w:rPr>
          <w:rFonts w:cs="Arial"/>
          <w:color w:val="000000" w:themeColor="text1"/>
          <w:szCs w:val="16"/>
        </w:rPr>
        <w:br/>
        <w:t>As of July 1, 2021, the DOE has begun the transition from the BDI-2 to the Child Outcomes Summary (COS) process. Children are assessed at program entry and program exit using various formal and informal assessments to inform the COS.  Assessment results are evaluated in combination with other information such as parent, service provider, and teacher observations to complete the COS. Districts input children’s COS process results into a web-based program developed by the University of Miami. The Department contractor periodically imports records from the web-based program and maintains a secure database of children with both entry and exit scores.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Battelle Developmental Inventory, 2nd Edition (BDI-2) is used to assess children on program entry and program exit. Data from assessments conducted by PreK personnel (or, for some entry assessments, obtained from a partnering Local Early Steps program) are entered into the BDI-2 Data Manager, a proprietary online scoring system. The data are downloaded from the Data Manager and analyzed through a discretionary project funded by the FDOE. Students' scores from the </w:t>
      </w:r>
      <w:proofErr w:type="gramStart"/>
      <w:r w:rsidRPr="00781112">
        <w:rPr>
          <w:rFonts w:cs="Arial"/>
          <w:color w:val="000000" w:themeColor="text1"/>
          <w:szCs w:val="16"/>
        </w:rPr>
        <w:t>Personal</w:t>
      </w:r>
      <w:proofErr w:type="gramEnd"/>
      <w:r w:rsidRPr="00781112">
        <w:rPr>
          <w:rFonts w:cs="Arial"/>
          <w:color w:val="000000" w:themeColor="text1"/>
          <w:szCs w:val="16"/>
        </w:rPr>
        <w:t xml:space="preserve">-Social domain are used to address Outcome A; scores from the Communication domain are used to address Outcome B; and scores from the Adaptive domain are used to address Outcome C.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Based on the baseline data for A2, B2, and C2 the bureau has contacted the SAP and stakeholders to begin the steps of soliciting input on setting new targets for indicator 7 before FFY2022 SPP.</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The State did not provide targets, for A2, B2, and C2 as required by the measurement table. The State must provide the required targets for FFY 2020 through FFY 2025 in the FFY 2021 SPP/APR.</w:t>
      </w:r>
    </w:p>
    <w:p w14:paraId="342951AE" w14:textId="530DEEBF" w:rsidR="00B1280F" w:rsidRPr="00781112" w:rsidRDefault="00B1280F" w:rsidP="000A2C83">
      <w:pPr>
        <w:rPr>
          <w:rFonts w:cs="Arial"/>
          <w:color w:val="000000" w:themeColor="text1"/>
          <w:szCs w:val="16"/>
        </w:rPr>
      </w:pPr>
    </w:p>
    <w:p w14:paraId="32819AD2" w14:textId="140A4495" w:rsidR="000A2C83" w:rsidRPr="00781112" w:rsidRDefault="007639D7" w:rsidP="004369B2">
      <w:pPr>
        <w:rPr>
          <w:b/>
          <w:color w:val="000000" w:themeColor="text1"/>
        </w:rPr>
      </w:pPr>
      <w:r>
        <w:rPr>
          <w:b/>
          <w:color w:val="000000" w:themeColor="text1"/>
        </w:rPr>
        <w:t>Response to actions required in FFY 2020 SPP/APR</w:t>
      </w:r>
    </w:p>
    <w:p w14:paraId="0E03AAE5" w14:textId="77777777" w:rsidR="00B1280F" w:rsidRPr="00781112" w:rsidRDefault="002B7490" w:rsidP="000A2C83">
      <w:pPr>
        <w:rPr>
          <w:rFonts w:cs="Arial"/>
          <w:color w:val="000000" w:themeColor="text1"/>
          <w:szCs w:val="16"/>
        </w:rPr>
      </w:pPr>
      <w:r w:rsidRPr="00781112">
        <w:rPr>
          <w:rFonts w:cs="Arial"/>
          <w:color w:val="000000" w:themeColor="text1"/>
          <w:szCs w:val="16"/>
        </w:rPr>
        <w:t xml:space="preserve">The State has provided targets for FFY 2020 through FFY 2025 in the FFY 2021 SPP/APR. </w:t>
      </w: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provided FFY 2020 through FFY 2025 targets for A2, B2, and C2, however, OSEP cannot accept those targets because the FFY 2025 end targets do not reflect improvement over the State's FFY 2008 baseline data. The State must revise its FFY 2025 targets for A2, B2, and C2 to reflect improvement. </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 xml:space="preserve">The State did not provide targets, as required by the Measurement Table. The State must provide the required targets through FFY 2025 in the FFY 2022 SPP/APR. </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3"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3"/>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In addition to the stakeholder input described in the introduction, stakeholder input for this indicator was also received from the Best Practices for Parent Involvement and Engagement Strategic Planning Team, which was formed and supported by the bureau. Input was received during face-to-face meetings and conference calls. Team members reviewed state-and district-level data related to parent involvement and engagement, including the percentage of parents who report that schools partnered with them. The team assisted in the setting of targets, where appropriate, and the development of appropriate activities to improve results. </w:t>
      </w:r>
      <w:r w:rsidRPr="00781112">
        <w:rPr>
          <w:rFonts w:cs="Arial"/>
          <w:color w:val="000000" w:themeColor="text1"/>
          <w:szCs w:val="16"/>
        </w:rPr>
        <w:br/>
      </w:r>
      <w:r w:rsidRPr="00781112">
        <w:rPr>
          <w:rFonts w:cs="Arial"/>
          <w:color w:val="000000" w:themeColor="text1"/>
          <w:szCs w:val="16"/>
        </w:rPr>
        <w:br/>
        <w:t>The Best Practices for Parent Involvement and Engagement Strategic Planning Team includes representatives from the bureau and from the following department areas and partner organizations:</w:t>
      </w:r>
      <w:r w:rsidRPr="00781112">
        <w:rPr>
          <w:rFonts w:cs="Arial"/>
          <w:color w:val="000000" w:themeColor="text1"/>
          <w:szCs w:val="16"/>
        </w:rPr>
        <w:br/>
      </w:r>
      <w:r w:rsidRPr="00781112">
        <w:rPr>
          <w:rFonts w:cs="Arial"/>
          <w:color w:val="000000" w:themeColor="text1"/>
          <w:szCs w:val="16"/>
        </w:rPr>
        <w:br/>
        <w:t>•Florida Department of Education, Independent Education and Parental Choice •Family Network on Disabilities-OSEP’s federally funded parent center •Florida Positive Behavior Intervention Support (PBIS) •Piedra Data Systems •State Personnel Development Grant (SPDG) •Florida Department of Education Bureau of Family and Community Outreach •Florida Diagnostic and Learning Resources Center (FDLRS) •Multiagency Network for Students with Emotional/Behavioral Disabilities (SEDNET) •Project 10: Transition Education Network • University of Miami’s Exceptional Student Education Parent Survey Project •Parents of students with disabilities •Parents of the Panhandle Information Network (POPIN) -Federally funded parent training and information center •Parent Education Network-Federally funded parent training and information center</w:t>
      </w:r>
      <w:r w:rsidRPr="00781112">
        <w:rPr>
          <w:rFonts w:cs="Arial"/>
          <w:color w:val="000000" w:themeColor="text1"/>
          <w:szCs w:val="16"/>
        </w:rPr>
        <w:br/>
      </w:r>
      <w:r w:rsidRPr="00781112">
        <w:rPr>
          <w:rFonts w:cs="Arial"/>
          <w:color w:val="000000" w:themeColor="text1"/>
          <w:szCs w:val="16"/>
        </w:rPr>
        <w:br/>
        <w:t xml:space="preserve">Bureau staff members and school district personnel all provided input, including staff from the following partner organizations, discretionary projects and advisory committees: </w:t>
      </w:r>
      <w:r w:rsidRPr="00781112">
        <w:rPr>
          <w:rFonts w:cs="Arial"/>
          <w:color w:val="000000" w:themeColor="text1"/>
          <w:szCs w:val="16"/>
        </w:rPr>
        <w:br/>
      </w:r>
      <w:r w:rsidRPr="00781112">
        <w:rPr>
          <w:rFonts w:cs="Arial"/>
          <w:color w:val="000000" w:themeColor="text1"/>
          <w:szCs w:val="16"/>
        </w:rPr>
        <w:br/>
        <w:t>•The State Advisory Committee for the Education of Exceptional Students •State Secondary Transition Interagency Committee •The Family Café •Parent to Parent (of Miami) -Federally funded parent training and information center •Florida Developmental Disability Council</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lastRenderedPageBreak/>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82.60%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83.24%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82.43%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83.53%</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81.60%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77.74%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81.64%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81.07%</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82.60%</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82.70%</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82.70%</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82.80%</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82.80%</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81.60%</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82.00%</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82.50%</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82.60%</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82.80%</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2,081</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3,480</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83.53%</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59.80%</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27,747</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34,468</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81.07%</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5EAF5470" w14:textId="0F69B707" w:rsidR="007D6BB1" w:rsidRPr="00781112" w:rsidRDefault="009B37A2" w:rsidP="007D6BB1">
      <w:pPr>
        <w:rPr>
          <w:rFonts w:cs="Arial"/>
          <w:b/>
          <w:i/>
          <w:color w:val="000000" w:themeColor="text1"/>
          <w:szCs w:val="16"/>
        </w:rPr>
      </w:pPr>
      <w:r w:rsidRPr="00781112">
        <w:rPr>
          <w:rFonts w:cs="Arial"/>
          <w:b/>
          <w:color w:val="000000" w:themeColor="text1"/>
          <w:szCs w:val="16"/>
        </w:rPr>
        <w:t>Provide reasons for Preschool slippage, if applicable</w:t>
      </w:r>
    </w:p>
    <w:p w14:paraId="25FB9E7A" w14:textId="191F844A" w:rsidR="00632372" w:rsidRPr="001E2749" w:rsidRDefault="002B7490" w:rsidP="00B6413B">
      <w:pPr>
        <w:rPr>
          <w:rFonts w:cs="Arial"/>
          <w:color w:val="000000" w:themeColor="text1"/>
          <w:szCs w:val="16"/>
        </w:rPr>
      </w:pPr>
      <w:r w:rsidRPr="00781112">
        <w:rPr>
          <w:rFonts w:cs="Arial"/>
          <w:color w:val="000000" w:themeColor="text1"/>
          <w:szCs w:val="16"/>
        </w:rPr>
        <w:t xml:space="preserve">Since at least FFY 2016, Florida has not seen slippage in Indicator 8 until this year. Thus, this could be an anomaly. However, efforts to disclose the reason for this slippage have taken place. </w:t>
      </w:r>
      <w:r w:rsidRPr="00781112">
        <w:rPr>
          <w:rFonts w:cs="Arial"/>
          <w:color w:val="000000" w:themeColor="text1"/>
          <w:szCs w:val="16"/>
        </w:rPr>
        <w:br/>
      </w:r>
      <w:r w:rsidRPr="00781112">
        <w:rPr>
          <w:rFonts w:cs="Arial"/>
          <w:color w:val="000000" w:themeColor="text1"/>
          <w:szCs w:val="16"/>
        </w:rPr>
        <w:br/>
        <w:t>The reason for slippage in Preschool can be assessed by looking at each individual district and, in turn, geographic region. (Of the 70 districts which provide Preschool services, 35 report levels lower than the state target.) Of our nine Very Large districts (&gt;90,000 students), four of them report levels lower than the state target. And three of those fall into the same geographic region. Initiative can be taken in improvement of parent feedback in this region, and</w:t>
      </w:r>
      <w:proofErr w:type="gramStart"/>
      <w:r w:rsidRPr="00781112">
        <w:rPr>
          <w:rFonts w:cs="Arial"/>
          <w:color w:val="000000" w:themeColor="text1"/>
          <w:szCs w:val="16"/>
        </w:rPr>
        <w:t>, in particular, in</w:t>
      </w:r>
      <w:proofErr w:type="gramEnd"/>
      <w:r w:rsidRPr="00781112">
        <w:rPr>
          <w:rFonts w:cs="Arial"/>
          <w:color w:val="000000" w:themeColor="text1"/>
          <w:szCs w:val="16"/>
        </w:rPr>
        <w:t xml:space="preserve"> these districts.</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417,631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9.09%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4"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11.51%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9.09%</w:t>
            </w:r>
          </w:p>
        </w:tc>
      </w:tr>
      <w:bookmarkEnd w:id="44"/>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bureau has implemented a new web-based only survey system. The survey is now available for longer periods and can be completed on mobile devices, thus, increasing the. The survey continues to be available in multiple languages. Links to the surveys, flyers for parents for LEA distribution, and scannable links to be used on paperwork sent to parents and included on forms generated by the state Portal to Exceptional Education Resources (PEER), have all been provided to LEA ESE directors.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5" w:name="_Hlk81486999"/>
      <w:r w:rsidRPr="0061205F">
        <w:rPr>
          <w:rFonts w:cs="Arial"/>
          <w:b/>
          <w:color w:val="000000" w:themeColor="text1"/>
          <w:szCs w:val="16"/>
        </w:rPr>
        <w:t>of the response rate including any nonresponse bias that was identified,</w:t>
      </w:r>
      <w:bookmarkEnd w:id="45"/>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Based on an initial analysis of the data that is provided, students with disabilities identified as Black/African American had lower parent participation rates in both the K-12 and the prekindergarten surveys. This nonresponse bias indicates where targeted focus can occur to encourage more participation. This information will be relayed to the LEAs who may then focus their efforts towards increasing participation for parents representing under-participating groups. </w:t>
      </w:r>
      <w:proofErr w:type="gramStart"/>
      <w:r>
        <w:rPr>
          <w:rFonts w:cs="Arial"/>
          <w:szCs w:val="16"/>
        </w:rPr>
        <w:t>In order to</w:t>
      </w:r>
      <w:proofErr w:type="gramEnd"/>
      <w:r>
        <w:rPr>
          <w:rFonts w:cs="Arial"/>
          <w:szCs w:val="16"/>
        </w:rPr>
        <w:t xml:space="preserve"> reduce this nonresponse bias, the survey has been offered in English, Spanish, Haitian-Creole, Russian, and Mandarin Chinese. A contract with a translation service allows the survey to be translated into almost any language by request. Additionally, the LEAs with lowest response rates can be given targeted focus in increasing parent responses.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lastRenderedPageBreak/>
        <w:t xml:space="preserve">Include the State’s analyses of the extent to which the demographics of the parents responding are representative of the demographics of children receiving special education services. </w:t>
      </w:r>
      <w:bookmarkStart w:id="46" w:name="_Hlk112070690"/>
      <w:bookmarkStart w:id="47"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6"/>
    <w:bookmarkEnd w:id="47"/>
    <w:p w14:paraId="513A1FE6" w14:textId="77777777" w:rsidR="00090132" w:rsidRDefault="00090132" w:rsidP="006F6351">
      <w:pPr>
        <w:rPr>
          <w:b/>
          <w:bCs/>
        </w:rPr>
      </w:pPr>
      <w:r w:rsidRPr="000A2B9F">
        <w:rPr>
          <w:bCs/>
          <w:color w:val="000000" w:themeColor="text1"/>
        </w:rPr>
        <w:t xml:space="preserve">Florida invites all parents of students receiving special education services to contribute their perceptions of schools’ efforts to promote their involvement. This year’s total of 37,948 respondents includes substantial representation of all racial/ethnic groups, grade levels, and categories of exceptionality. The state is actively involved in continuous improvement efforts to ensure that parent responses are representative of the demographics of the children receiving special education services to increase data available on the demographics of parents of K-12 students with disabilities. </w:t>
      </w:r>
      <w:r w:rsidRPr="000A2B9F">
        <w:rPr>
          <w:bCs/>
          <w:color w:val="000000" w:themeColor="text1"/>
        </w:rPr>
        <w:br/>
        <w:t xml:space="preserve"> </w:t>
      </w:r>
      <w:r w:rsidRPr="000A2B9F">
        <w:rPr>
          <w:bCs/>
          <w:color w:val="000000" w:themeColor="text1"/>
        </w:rPr>
        <w:br/>
        <w:t>Due to Florida’s diverse and mixed populations, FDOE is committed to offering the opportunity for all parents and guardians to provide feedback to represent all diversities of our state’s students with disabilities. Each year during pre-survey planning, data containing the native language spoken in the student’s home is compiled. Surveys are then translated and provided to meet parent/student needs based on these demographics. Currently, the survey is available in English, Spanish, Haitian Creole, Russian, and Mandarin Chinese. Other languages are made available upon request. At the survey’s end, demographic data from all submitted surveys are analyzed to determine the extent to which the demographics of the submitted surveys compare to state demographic data specific to students receiving special education services as well as all students.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 xml:space="preserve">If no, describe the strategies that the State will use to ensure that in the future the response data are representative of those </w:t>
      </w:r>
      <w:proofErr w:type="gramStart"/>
      <w:r w:rsidRPr="000762B0">
        <w:rPr>
          <w:b/>
          <w:bCs/>
        </w:rPr>
        <w:t>demographics</w:t>
      </w:r>
      <w:proofErr w:type="gramEnd"/>
    </w:p>
    <w:p w14:paraId="41E9A939" w14:textId="77777777" w:rsidR="00090132" w:rsidRPr="000A2B9F" w:rsidRDefault="00090132" w:rsidP="00090132">
      <w:pPr>
        <w:pStyle w:val="Subhed"/>
        <w:rPr>
          <w:b w:val="0"/>
          <w:bCs/>
        </w:rPr>
      </w:pPr>
      <w:r w:rsidRPr="000A2B9F">
        <w:rPr>
          <w:b w:val="0"/>
          <w:bCs/>
          <w:color w:val="000000" w:themeColor="text1"/>
        </w:rPr>
        <w:t>To ensure that the response data are representative of those demographics, BEESS plans to include as a requirement in a contract that the vendor responsible for these data provide data on demographic questions so such data can be analyzed. A consideration of this requirement will also be taken with the implementation of another methodology. Additionally, the bureau is developing processes to match student information for submitted surveys to demographic information available from the state's data warehouse and is working on a data sharing agreement specific to this process to be able to better provide information on the representativeness of the demographic data for this indicator.</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When at least 10% of the responses include information related to representativeness as part of their </w:t>
      </w:r>
      <w:proofErr w:type="gramStart"/>
      <w:r w:rsidRPr="000A2B9F">
        <w:rPr>
          <w:b w:val="0"/>
          <w:bCs/>
        </w:rPr>
        <w:t>response,  +</w:t>
      </w:r>
      <w:proofErr w:type="gramEnd"/>
      <w:r w:rsidRPr="000A2B9F">
        <w:rPr>
          <w:b w:val="0"/>
          <w:bCs/>
        </w:rPr>
        <w:t xml:space="preserve">/- 5% discrepancy in the proportion of responders compared to target group will be used to determine 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State has included the requested information in FFY 2021.</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8" w:name="_Toc384383343"/>
      <w:bookmarkStart w:id="4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8"/>
      <w:bookmarkEnd w:id="49"/>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50"/>
    <w:bookmarkEnd w:id="51"/>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77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Florida defines "disproportionate representation" as a rate ratio of 3.0 or higher using the Westats risk ratio method for calculating disproportionate representation. The minimum cell size is 10 and minimum "n" size is 30. Only one year of data is used for this calculation.</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process for determining whether the disproportionate representation of a particular racial or ethnic group is the result of inappropriate identification includes analysis of the district's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districts identified with disproportionate representation.</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5CED671" w14:textId="77777777" w:rsidR="009B3BC6" w:rsidRPr="00781112" w:rsidRDefault="009B3BC6" w:rsidP="00286BDF">
      <w:pPr>
        <w:rPr>
          <w:rFonts w:cs="Arial"/>
          <w:color w:val="000000" w:themeColor="text1"/>
          <w:szCs w:val="16"/>
        </w:rPr>
      </w:pPr>
    </w:p>
    <w:p w14:paraId="307820E6" w14:textId="2418F86F" w:rsidR="00B70FBF" w:rsidRPr="00781112" w:rsidRDefault="009F64D5" w:rsidP="008645AD">
      <w:pPr>
        <w:pStyle w:val="Heading2"/>
      </w:pPr>
      <w:bookmarkStart w:id="58" w:name="_Toc384383349"/>
      <w:bookmarkStart w:id="59"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8"/>
      <w:bookmarkEnd w:id="59"/>
    </w:tbl>
    <w:p w14:paraId="1840A66A" w14:textId="77777777" w:rsidR="00BA687C" w:rsidRPr="00781112" w:rsidRDefault="00BA687C" w:rsidP="004369B2">
      <w:pPr>
        <w:rPr>
          <w:color w:val="000000" w:themeColor="text1"/>
        </w:rPr>
      </w:pPr>
    </w:p>
    <w:p w14:paraId="0C572238" w14:textId="77777777" w:rsidR="009B3BC6" w:rsidRDefault="009B3BC6" w:rsidP="004369B2">
      <w:pPr>
        <w:rPr>
          <w:b/>
          <w:color w:val="000000" w:themeColor="text1"/>
        </w:rPr>
      </w:pPr>
    </w:p>
    <w:p w14:paraId="618FFFDA" w14:textId="4E757D5C"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0" w:name="_Hlk20258880"/>
      <w:r w:rsidRPr="00781112">
        <w:rPr>
          <w:rFonts w:cs="Arial"/>
          <w:color w:val="000000" w:themeColor="text1"/>
          <w:szCs w:val="16"/>
        </w:rPr>
        <w:t>YES</w:t>
      </w:r>
    </w:p>
    <w:bookmarkEnd w:id="60"/>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75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Florida defines "disproportionate representation" as a rate ratio of 3.0 or higher for a single year using the Westats risk ratio method. The state has established a minimum cell size of 10 and a minimum "n" size of 30 in calculating the risk ratio when determining disproportionate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process for determining whether the disproportionate representation of a particular racial or ethnic group is the result of inappropriate identification includes analysis of the LEA's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LEAs identified with disproportionate representation.</w:t>
      </w:r>
    </w:p>
    <w:p w14:paraId="6A3194C2" w14:textId="029A16A7" w:rsidR="00481536" w:rsidRPr="009B3BC6" w:rsidRDefault="00DF1529" w:rsidP="007D435F">
      <w:pPr>
        <w:rPr>
          <w:rFonts w:cs="Arial"/>
          <w:b/>
          <w:color w:val="000000" w:themeColor="text1"/>
          <w:szCs w:val="16"/>
        </w:rPr>
      </w:pPr>
      <w:bookmarkStart w:id="61" w:name="_Toc381956338"/>
      <w:bookmarkStart w:id="62" w:name="_Toc384383352"/>
      <w:bookmarkStart w:id="63" w:name="_Toc392159320"/>
      <w:r w:rsidRPr="00781112">
        <w:rPr>
          <w:rFonts w:cs="Arial"/>
          <w:b/>
          <w:color w:val="000000" w:themeColor="text1"/>
          <w:szCs w:val="16"/>
        </w:rPr>
        <w:t>Provide additional information about this indicator (optional)</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7C3D22D6" w14:textId="6C8AF67D" w:rsidR="004E2151" w:rsidRPr="00781112" w:rsidRDefault="002B7490" w:rsidP="004E2151">
      <w:pPr>
        <w:rPr>
          <w:rFonts w:cs="Arial"/>
          <w:color w:val="000000" w:themeColor="text1"/>
          <w:szCs w:val="16"/>
        </w:rPr>
      </w:pPr>
      <w:r w:rsidRPr="00781112">
        <w:rPr>
          <w:rFonts w:cs="Arial"/>
          <w:color w:val="000000" w:themeColor="text1"/>
          <w:szCs w:val="16"/>
        </w:rPr>
        <w:t>None</w:t>
      </w:r>
    </w:p>
    <w:p w14:paraId="4384A342" w14:textId="2A1F01F0" w:rsidR="00481536" w:rsidRPr="009B3BC6" w:rsidRDefault="008B2598" w:rsidP="009B3BC6">
      <w:pPr>
        <w:pStyle w:val="Heading2"/>
      </w:pPr>
      <w:r w:rsidRPr="00781112">
        <w:t>10 - OSEP Response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1"/>
      <w:bookmarkEnd w:id="62"/>
      <w:bookmarkEnd w:id="63"/>
    </w:p>
    <w:p w14:paraId="4F5D642D" w14:textId="77777777" w:rsidR="00E119B0" w:rsidRPr="00781112" w:rsidRDefault="00E119B0" w:rsidP="00A018D4">
      <w:pPr>
        <w:rPr>
          <w:color w:val="000000" w:themeColor="text1"/>
          <w:szCs w:val="20"/>
        </w:rPr>
      </w:pPr>
      <w:bookmarkStart w:id="64" w:name="_Toc384383353"/>
      <w:bookmarkStart w:id="6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6" w:name="_Toc384383354"/>
      <w:bookmarkStart w:id="67" w:name="_Toc392159322"/>
      <w:bookmarkEnd w:id="64"/>
      <w:bookmarkEnd w:id="6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96.84%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97.81%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97.39%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95.43%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97.64%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6"/>
    <w:bookmarkEnd w:id="67"/>
    <w:p w14:paraId="4945CD7C" w14:textId="77777777" w:rsidR="009B3BC6" w:rsidRDefault="009B3BC6">
      <w:pPr>
        <w:spacing w:before="0" w:after="200" w:line="276" w:lineRule="auto"/>
        <w:rPr>
          <w:b/>
          <w:color w:val="000000" w:themeColor="text1"/>
        </w:rPr>
      </w:pPr>
      <w:r>
        <w:rPr>
          <w:b/>
          <w:color w:val="000000" w:themeColor="text1"/>
        </w:rPr>
        <w:br w:type="page"/>
      </w:r>
    </w:p>
    <w:p w14:paraId="3FAEB3AB" w14:textId="6C63BC90"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66,894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65,040</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97.64%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97.23%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1,854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605 evaluations were conducted 1-10 days beyond the 60-day timeline. </w:t>
      </w:r>
      <w:r w:rsidRPr="00781112">
        <w:rPr>
          <w:color w:val="000000" w:themeColor="text1"/>
        </w:rPr>
        <w:br/>
        <w:t xml:space="preserve">367 evaluations were conducted 11-20 days beyond the 60-day timeline. </w:t>
      </w:r>
      <w:r w:rsidRPr="00781112">
        <w:rPr>
          <w:color w:val="000000" w:themeColor="text1"/>
        </w:rPr>
        <w:br/>
        <w:t xml:space="preserve">866 evaluations were conducted 21 or more days beyond the 60-day timeline. </w:t>
      </w:r>
      <w:r w:rsidRPr="00781112">
        <w:rPr>
          <w:color w:val="000000" w:themeColor="text1"/>
        </w:rPr>
        <w:br/>
        <w:t>16 evaluations were not yet conducted and were pending at the time data was pulled.</w:t>
      </w:r>
      <w:r w:rsidRPr="00781112">
        <w:rPr>
          <w:color w:val="000000" w:themeColor="text1"/>
        </w:rPr>
        <w:br/>
      </w:r>
      <w:r w:rsidRPr="00781112">
        <w:rPr>
          <w:color w:val="000000" w:themeColor="text1"/>
        </w:rPr>
        <w:br/>
        <w:t xml:space="preserve">All evaluations past 60 days </w:t>
      </w:r>
      <w:proofErr w:type="gramStart"/>
      <w:r w:rsidRPr="00781112">
        <w:rPr>
          <w:color w:val="000000" w:themeColor="text1"/>
        </w:rPr>
        <w:t>was</w:t>
      </w:r>
      <w:proofErr w:type="gramEnd"/>
      <w:r w:rsidRPr="00781112">
        <w:rPr>
          <w:color w:val="000000" w:themeColor="text1"/>
        </w:rPr>
        <w:t xml:space="preserve"> due to an approved evaluator was not available to provide a timely evaluation, a multi-lingual evaluator was not available, or evaluator delays in completing the evaluation.</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department developed a web-based application, IDEA Indicator 11 Data, which is accessed through the Department of Education Single Sign-On platform. Districts enter the number of parental consents obtained and the number of evaluations completed within and beyond the evaluation time frame. The application auto-calculates totals and percentage of evaluations completed with the 60-day timeline. When the number of consents and completed evaluations do not match, the district must provide a brief explanation for each student and the anticipated completion date in a pop-up dialogue box. </w:t>
      </w:r>
    </w:p>
    <w:p w14:paraId="4F981BFF" w14:textId="77777777" w:rsidR="00C86164" w:rsidRPr="00781112" w:rsidRDefault="00C86164" w:rsidP="00C86164">
      <w:pPr>
        <w:rPr>
          <w:rFonts w:cs="Arial"/>
          <w:b/>
          <w:color w:val="000000" w:themeColor="text1"/>
          <w:szCs w:val="16"/>
        </w:rPr>
      </w:pPr>
      <w:bookmarkStart w:id="68" w:name="_Toc381956339"/>
      <w:bookmarkStart w:id="69" w:name="_Toc384383357"/>
      <w:bookmarkStart w:id="70"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State's process for verifying that noncompliant districts are currently implementing the regulatory timeline requirements necessary to achieve 100% compliance involves randomly sampling initial evaluations and using those results to verify their current corrective effort. To be more specific, with the aim of achieving the expectation set by 34 CFR 300.301(c)(1), each of the systemic noncompliant districts that were identified as non-compliant had their evaluation caseload randomly sampled until the sample </w:t>
      </w:r>
      <w:proofErr w:type="gramStart"/>
      <w:r w:rsidRPr="00781112">
        <w:rPr>
          <w:rFonts w:cs="Arial"/>
          <w:color w:val="000000" w:themeColor="text1"/>
          <w:szCs w:val="16"/>
        </w:rPr>
        <w:t>in a given</w:t>
      </w:r>
      <w:proofErr w:type="gramEnd"/>
      <w:r w:rsidRPr="00781112">
        <w:rPr>
          <w:rFonts w:cs="Arial"/>
          <w:color w:val="000000" w:themeColor="text1"/>
          <w:szCs w:val="16"/>
        </w:rPr>
        <w:t xml:space="preserve"> month demonstrated 100% compliance, thus confirming their current level of performance and compliance consistent with the regulatory requirements. Each of the targeted districts generated compliant sample sets, verifying their correct implementation of the 34 CFR 300.301(c)(1) regulatory requirement.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the correction of each individual case of noncompliance by requiring the noncomplying districts to (1) submit the evaluation completion date for each student whose assessment was incomplete at the time of the State’s Indicator 11 data submission or (2) explain why the evaluation of record is to be exempt from the dataset (e.g., student left the district’s authority prior to completion of the evaluation). Each of the tracked cases now has evaluation completion dates or has their exemptions explained, thus correcting all identified cases of individual noncompliance.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45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 xml:space="preserve">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8"/>
      <w:bookmarkEnd w:id="69"/>
      <w:bookmarkEnd w:id="7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1" w:name="_Toc384383358"/>
      <w:bookmarkStart w:id="7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3" w:name="_Toc384383359"/>
      <w:bookmarkStart w:id="74" w:name="_Toc392159327"/>
      <w:bookmarkEnd w:id="71"/>
      <w:bookmarkEnd w:id="7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32.00%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3"/>
          <w:bookmarkEnd w:id="7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6,758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365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5,496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451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445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5,496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5,497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Child's date of birth was 12/5/2017. For completion of evaluation by 3rd birthday, the child would have needed to be evaluated no later than 12/4/2020. This action did not occur; the child's evaluation took place on 1/28/2021. The LEA indicated the use of Code K (Other) as the reason for the delay. The Bureau of Exceptional Education and Student Services reached out to the LEA for reasoning behind the delay; the LEA communicated that a bilingual therapist was not available. The LEA was determined to be out of compliance for this specific student.</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5" w:name="_Hlk20318414"/>
      <w:bookmarkEnd w:id="7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Using survey 5 (all year enrollment) and survey 2 (October enrollment) from the student information database obtained from FDOE’s Education Information and Accountability Services office, FDOE matches the data file from FDOH Early Steps with survey 5 data files. Once survey 2 is available, the FDOE repeats the matching process. Finally, FDOE unduplicated all matching records and sends districts the resulting data sets for review and data verification. Specifically, districts are asked to verify the child’s enrollment in the district, dates of eligibility determination, eligibility status, and IEP dates. Districts must code records for all children who are not located in the FDOE student information database or do not have eligibility of the IEP dates on or before their third birthday. Upon completion of the data review and verification process, districts return the final data sets to FDOE for processing. FDOE uses the final data sets to calculate Indicator 12(a), (b), (c), (d), and (e). It calculates a final compliance percentage using the following formula: [c ÷ (a - b - d - e)] × 100.</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the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6" w:name="_Toc384383363"/>
      <w:bookmarkStart w:id="7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8" w:name="_Toc384383364"/>
      <w:bookmarkStart w:id="79" w:name="_Toc392159332"/>
      <w:bookmarkEnd w:id="76"/>
      <w:bookmarkEnd w:id="7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98.96%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94.84%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90.40%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95.64%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98.96%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96.93%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8"/>
    <w:bookmarkEnd w:id="79"/>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566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578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96.93%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97.92%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BEESS/FDOE implements a statewide monitoring self-assessment system, which includes Indicator 13. A sampling plan identifies the number of student records to be reviewed, as well as any criteria that must be applied when selecting student records. The bureau staff validates the accuracy of data obtained from stakeholder input the districts' self-assessments through a desk review of student records.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 xml:space="preserve">If no, please </w:t>
      </w:r>
      <w:proofErr w:type="gramStart"/>
      <w:r w:rsidRPr="00781112">
        <w:rPr>
          <w:rFonts w:cs="Arial"/>
          <w:b/>
          <w:color w:val="000000" w:themeColor="text1"/>
          <w:szCs w:val="16"/>
        </w:rPr>
        <w:t>explain</w:t>
      </w:r>
      <w:proofErr w:type="gramEnd"/>
    </w:p>
    <w:p w14:paraId="2562A48D" w14:textId="1B6BD32F" w:rsidR="00326C0B" w:rsidRPr="00781112" w:rsidRDefault="00326C0B" w:rsidP="005F442C">
      <w:pPr>
        <w:rPr>
          <w:rFonts w:cs="Arial"/>
          <w:color w:val="000000" w:themeColor="text1"/>
          <w:szCs w:val="16"/>
        </w:rPr>
      </w:pPr>
    </w:p>
    <w:p w14:paraId="735DB55A" w14:textId="18C77FF1" w:rsidR="00644AC8" w:rsidRPr="00781112" w:rsidRDefault="00644AC8" w:rsidP="005F442C">
      <w:pPr>
        <w:rPr>
          <w:rFonts w:cs="Arial"/>
          <w:b/>
          <w:color w:val="000000" w:themeColor="text1"/>
          <w:szCs w:val="16"/>
        </w:rPr>
      </w:pPr>
      <w:bookmarkStart w:id="80"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During the State's monitoring window related to SPP Indicator 13, section 1003.5716, Florida Statutes, required the following: To ensure quality planning for a successful transition of a student with a disability to postsecondary education and career opportunities, an IEP team shall begin the process of, and develop an IEP for, identifying the need for transition services before the student with a disability attains the age of 14 years in order for his or her postsecondary goals and career goals to be identified and in place when he or she attains the age of 16 years. The State's data collection procedures related to SPP Indicator 13, however, focuses on students whose IEPs are to be in effect when the students turn 16 in accordance with federal requirements. The State, pursuant to its general supervision obligation, may and does exercise monitoring activities to ensure LEAs are compliant with all State requirements.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State provided support,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technical assistance to assist the LEA to correctly implement the regulatory requirements. The LEA with noncompliance was required to submit corrective action plans and subsequent samples until they achieved a sample that demonstrated 100 percent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18 findings of non-compliance for FFY 2019 came from a single LEA. LEA. The bureau, in collaboration with the Project 10 discretionary project, worked with this LEA to ensure all individual cases of non-compliance were corrected. This collaboration included regular check-ins and the provision of technical assistance and support. Supporting documentation was required by this LEA to be submitted to the bureau and was reviewed and found compliant by the state within one year.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0"/>
    </w:p>
    <w:p w14:paraId="22761492" w14:textId="77777777" w:rsidR="005C50DB" w:rsidRPr="00781112" w:rsidRDefault="005C50DB" w:rsidP="00A018D4">
      <w:pPr>
        <w:rPr>
          <w:szCs w:val="20"/>
        </w:rPr>
      </w:pPr>
      <w:bookmarkStart w:id="8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2"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2"/>
    <w:p w14:paraId="3FE9961A" w14:textId="1EDBA086" w:rsidR="000301BA" w:rsidRPr="00781112" w:rsidRDefault="00172058" w:rsidP="00123D76">
      <w:pPr>
        <w:pStyle w:val="Heading2"/>
      </w:pPr>
      <w:r w:rsidRPr="00781112">
        <w:t>14 - Indicator Data</w:t>
      </w:r>
    </w:p>
    <w:bookmarkEnd w:id="8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24.71%</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27.84%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25.23%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52.07%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43.84%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55.03%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52.07%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61.05%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59.34%</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56.16%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58.76%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62.97%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68.71%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25.00%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25.60%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26.00%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26.50%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26.50%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52.07%</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54.00%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55.10%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55.20%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55.20%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59.34%</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59.50%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59.50%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60.00%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3" w:name="_Toc392159337"/>
    </w:p>
    <w:bookmarkEnd w:id="83"/>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16,759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16,759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4,995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6,430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306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701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4,995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16,759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25.23%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29.80%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11,425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16,759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61.05%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52.07%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12,432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16,759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68.71%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74.18%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processes used by the Florida Education and Training Placement Information Program (FETPIP) rely on a technique referred to as "record linkage." This term describes a computerized process that combines individually identifiable data from several administrative databases. The purpose of the linkage is to develop aggregate statistics from the combinations that describe the experiences of student groups or participants after graduation or exiting an education or training program. The aggregates are used to produce outcome performance measures intended to assist in evaluating the success of educational programs. </w:t>
      </w:r>
      <w:r w:rsidRPr="00B551F2">
        <w:br/>
        <w:t>FETPIP provides follow-up data collection services to a variety of agency applications. The individual information for follow-up is collected from the following sources: universities, community colleges, school districts, selected private vocational, schools, colleges, and universities, welfare transition services, corrections system, farm Worker Jobs and Education programs, and specialized and longitudinal studies. All identifiable data are protected from public disclosure, as specified in the Buckley Amendments and Florida Statutes. The individual information is compiled into computer files and tapes distributed to agencies with administrative records that meet the purposes of the follow-up exercise. The records are electronically linked with the: Florida Department of Education, Florida Department of Corrections, Florida Department of Children and Family, Florida Department of Economic Opportunity.</w:t>
      </w:r>
    </w:p>
    <w:p w14:paraId="5A6BE78B" w14:textId="77777777" w:rsidR="00090132" w:rsidRPr="00002B33" w:rsidRDefault="00090132" w:rsidP="00090132">
      <w:pPr>
        <w:rPr>
          <w:b/>
          <w:bCs/>
        </w:rPr>
      </w:pPr>
      <w:r w:rsidRPr="00002B33">
        <w:rPr>
          <w:b/>
          <w:bCs/>
        </w:rPr>
        <w:lastRenderedPageBreak/>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FETPIP data provides accountability and outcome information for consumers and career information for students and counselors. One of the benefits of having the FETPIP system is that data is collected that can help facilitate comparisons. A sample is listed below:</w:t>
      </w:r>
      <w:r w:rsidRPr="00B551F2">
        <w:br/>
      </w:r>
      <w:r w:rsidRPr="00B551F2">
        <w:br/>
        <w:t>Employment and/or education outcomes of a training program can be compared to others.</w:t>
      </w:r>
      <w:r w:rsidRPr="00B551F2">
        <w:br/>
        <w:t>Employment results can be examined regarding the training programs that feed them.</w:t>
      </w:r>
      <w:r w:rsidRPr="00B551F2">
        <w:br/>
        <w:t>Program outcomes can be compared by race, sex, age, or income level.</w:t>
      </w:r>
      <w:r w:rsidRPr="00B551F2">
        <w:br/>
        <w:t>Earnings can be compared across various education levels</w:t>
      </w:r>
      <w:r w:rsidRPr="00B551F2">
        <w:br/>
        <w:t>The level of public assistance can be compared between graduates, dropouts, and others</w:t>
      </w:r>
      <w:r w:rsidRPr="00B551F2">
        <w:br/>
      </w:r>
      <w:r w:rsidRPr="00B551F2">
        <w:br/>
        <w:t>Several organizations have requested that FETPIP staff assist them with staged follow-up processes that batch program participants/students who terminated programs in a selected period and follows-up for employment data after the passage of a predetermined amount of time.</w:t>
      </w:r>
      <w:r w:rsidRPr="00B551F2">
        <w:br/>
      </w:r>
      <w:r w:rsidRPr="00B551F2">
        <w:br/>
        <w:t>FETPIP conducts quarterly staged follow-ups using unemployment compensation wage records for all workforce development program participants. Initially, through a state law - The Workforce Florida Act of 1996 - Florida has established a consistent set of core performance measures for all workforce education and training program areas. These data are collected through the FETPIP quarterly match process and supplemented through the annual comprehensive effort.</w:t>
      </w:r>
      <w:r w:rsidRPr="00B551F2">
        <w:br/>
      </w:r>
      <w:r w:rsidRPr="00B551F2">
        <w:br/>
        <w:t>FETPIP works with Florida's major welfare reform initiatives to conduct staged follow-ups on participants during and after their involvement in the program. The objective is to monitor the reduction in welfare that occurs as participants become increasingly employable. The quarterly process is also used to support Temporary Assistance to Needy Families High-Performance Bonus awards.</w:t>
      </w:r>
      <w:r w:rsidRPr="00B551F2">
        <w:br/>
      </w:r>
      <w:r w:rsidRPr="00B551F2">
        <w:br/>
        <w:t>Increasingly, FETPIP data continue to be an integral part of the performance measures used by Florida's public schools, vocational institutions, community colleges, universities, and the workforce development system.</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FETPIP, established by Section 1008.39, Florida Statutes to provide follow-up data on all exiters of all public education or training programs in Florida, is used to search for all exiting students in postschool settings. FETPIP does not sample or use a survey procedure to collect these data. It is a data collection and consumer reporting system, using a technique referred to as "record linkage," a computerized process that combines individually identifiable data from several different administrative databases. The linkage is to develop aggregate statistics describing the experiences of student groups or participants after exiting an education or training program. The aggregates are used to produce outcome performance measures intended to help evaluate the success of educational programs. More information about FETPIP may be found at http://www.fldoe.org/accountability/fl-edu-training-placement-info-program. As this robust data system looks for information on all students, not just a sampling, and is not predicated on surveying and survey responses, the data is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FETPIP's method of data collection replaces conventional survey-type techniques and provides information in an accurate and cost-effective manner. The follow-up studies are conducted annually by matching records of the student graduates, completers or exiters from the numerous public and independent organizations with information resources available to FETPIP. Follow-up on a quarterly basis is also done for some groups.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4" w:name="_Toc382082390"/>
      <w:bookmarkStart w:id="85"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Based on the baseline data for 14A the bureau has contacted the SAP and stakeholders to begin the steps of soliciting input on setting new targets for indicator 14 before FFY2022 SPP submission.</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The State did not provide targets, as required by the measurement table. The State must provide the required targets for FFY 2020 through FFY 2025 in the FFY 2021 SPP/APR.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The State has provided targets for FFY 2020 through FFY 2025 in the FFY 2021 SPP/APR.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2021 through 2025 for this indicator. OSEP accepts the State's FFY 2021 through FFY 2025 for 14B and 14C, however, OSEP cannot accept the State’s targets for 14A because the 2025 end target does not reflect improvement over the State’s FFY 2009 baseline data. The State must revise its 14A targets to reflect improvement. OSEP notes the State reported, "Based on the FFY 2019 exitor calculation the bureau has contacted the SAP and stakeholders to begin the steps of soliciting input on setting new targets for indicator 14 before FFY2022 SPP."</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The State did not provide 14A targets, as required by the Measurement Table. The State must provide the required targets through FFY 2025 in the FFY 2022 SPP/APR.</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4"/>
      <w:bookmarkEnd w:id="85"/>
    </w:p>
    <w:p w14:paraId="7EA31497" w14:textId="77777777" w:rsidR="005B0B58" w:rsidRPr="00781112" w:rsidRDefault="005B0B58" w:rsidP="00A018D4">
      <w:pPr>
        <w:rPr>
          <w:color w:val="000000" w:themeColor="text1"/>
          <w:szCs w:val="20"/>
        </w:rPr>
      </w:pPr>
      <w:bookmarkStart w:id="86" w:name="_Toc381786822"/>
      <w:bookmarkStart w:id="87" w:name="_Toc382731911"/>
      <w:bookmarkStart w:id="88" w:name="_Toc382731912"/>
      <w:bookmarkStart w:id="89" w:name="_Toc392159340"/>
      <w:bookmarkEnd w:id="86"/>
      <w:bookmarkEnd w:id="8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 xml:space="preserve">Select yes to use target </w:t>
      </w:r>
      <w:proofErr w:type="gramStart"/>
      <w:r w:rsidRPr="00781112">
        <w:rPr>
          <w:rFonts w:cs="Arial"/>
          <w:color w:val="000000" w:themeColor="text1"/>
          <w:szCs w:val="16"/>
        </w:rPr>
        <w:t>ranges</w:t>
      </w:r>
      <w:proofErr w:type="gramEnd"/>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88"/>
    <w:bookmarkEnd w:id="8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176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111</w:t>
            </w:r>
          </w:p>
        </w:tc>
      </w:tr>
    </w:tbl>
    <w:p w14:paraId="162CEFB3" w14:textId="55A4ED3A" w:rsidR="004A33CD" w:rsidRPr="00781112" w:rsidRDefault="00E31E29">
      <w:pPr>
        <w:rPr>
          <w:b/>
          <w:color w:val="000000" w:themeColor="text1"/>
        </w:rPr>
      </w:pPr>
      <w:bookmarkStart w:id="90" w:name="_Toc382731913"/>
      <w:bookmarkStart w:id="91"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0A2C83" w:rsidP="000A2C83">
      <w:pPr>
        <w:rPr>
          <w:rFonts w:cs="Arial"/>
          <w:color w:val="000000" w:themeColor="text1"/>
          <w:szCs w:val="16"/>
        </w:rPr>
      </w:pPr>
    </w:p>
    <w:bookmarkEnd w:id="90"/>
    <w:bookmarkEnd w:id="9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79.07%</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29.63%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97.22%</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61.83%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79.07%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79.07%</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79.50%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79.50%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80.00%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80.00%</w:t>
            </w:r>
          </w:p>
        </w:tc>
      </w:tr>
    </w:tbl>
    <w:p w14:paraId="25B7ED55" w14:textId="77777777" w:rsidR="00CE0C68" w:rsidRPr="00781112" w:rsidRDefault="00CE0C68" w:rsidP="004369B2">
      <w:pPr>
        <w:rPr>
          <w:color w:val="000000" w:themeColor="text1"/>
        </w:rPr>
      </w:pPr>
    </w:p>
    <w:p w14:paraId="2484B096" w14:textId="77777777" w:rsidR="009B3BC6" w:rsidRDefault="009B3BC6">
      <w:pPr>
        <w:spacing w:before="0" w:after="200" w:line="276" w:lineRule="auto"/>
        <w:rPr>
          <w:b/>
          <w:color w:val="000000" w:themeColor="text1"/>
        </w:rPr>
      </w:pPr>
      <w:r>
        <w:rPr>
          <w:b/>
          <w:color w:val="000000" w:themeColor="text1"/>
        </w:rPr>
        <w:br w:type="page"/>
      </w:r>
    </w:p>
    <w:p w14:paraId="639445A0" w14:textId="15E8F17B" w:rsidR="00634AD8" w:rsidRPr="00781112" w:rsidRDefault="0047313F">
      <w:pPr>
        <w:rPr>
          <w:b/>
          <w:color w:val="000000" w:themeColor="text1"/>
        </w:rPr>
      </w:pPr>
      <w:r>
        <w:rPr>
          <w:b/>
          <w:color w:val="000000" w:themeColor="text1"/>
        </w:rPr>
        <w:lastRenderedPageBreak/>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176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79.07%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79.07%</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63.07%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There was an increase in total filings for 2021-2022, a large portion of them being focused on alternate academic achievement standards eligibility and classroom setting. This is likely in response to the implementation of Florida Rule 6A-1.0943, Florida Administrative Code (F.A.C.), which implemented detailed requirements for eligibility for students to be assessed on alternate academic achievement standards. The changes included inclusionary and exclusionary criteria for students taking the Florida Standards Alternate Assessment (FSAA). Once the criteria were in effect, students who had once achieved </w:t>
      </w:r>
      <w:proofErr w:type="gramStart"/>
      <w:r w:rsidRPr="00781112">
        <w:rPr>
          <w:rFonts w:cs="Arial"/>
          <w:color w:val="000000" w:themeColor="text1"/>
          <w:szCs w:val="16"/>
        </w:rPr>
        <w:t>near-perfect</w:t>
      </w:r>
      <w:proofErr w:type="gramEnd"/>
      <w:r w:rsidRPr="00781112">
        <w:rPr>
          <w:rFonts w:cs="Arial"/>
          <w:color w:val="000000" w:themeColor="text1"/>
          <w:szCs w:val="16"/>
        </w:rPr>
        <w:t xml:space="preserve"> on the FSAA took the more appropriate general curriculum assessment, the Florida Standards Assessment (FSA). This change of instruction and evaluation took away from the number of students obtaining at or above proficiency against alternate academic achievement standards; thus, slippage has occurred. </w:t>
      </w:r>
      <w:r w:rsidRPr="00781112">
        <w:rPr>
          <w:rFonts w:cs="Arial"/>
          <w:color w:val="000000" w:themeColor="text1"/>
          <w:szCs w:val="16"/>
        </w:rPr>
        <w:br/>
        <w:t xml:space="preserve">  </w:t>
      </w:r>
      <w:r w:rsidRPr="00781112">
        <w:rPr>
          <w:rFonts w:cs="Arial"/>
          <w:color w:val="000000" w:themeColor="text1"/>
          <w:szCs w:val="16"/>
        </w:rPr>
        <w:br/>
        <w:t xml:space="preserve">Cases related to the COVID-19 pandemic continue to be filed as well. </w:t>
      </w:r>
      <w:r w:rsidRPr="00781112">
        <w:rPr>
          <w:rFonts w:cs="Arial"/>
          <w:color w:val="000000" w:themeColor="text1"/>
          <w:szCs w:val="16"/>
        </w:rPr>
        <w:br/>
      </w:r>
      <w:r w:rsidRPr="00781112">
        <w:rPr>
          <w:rFonts w:cs="Arial"/>
          <w:color w:val="000000" w:themeColor="text1"/>
          <w:szCs w:val="16"/>
        </w:rPr>
        <w:br/>
        <w:t xml:space="preserve">Additionally, there were 6 cases that went to mediation that were related to due process. Notably, the last time that there was slippage in indicator 15 for Florida was 2018-2019, wherein there were 7 cases that entered mediation that were related to due process cases.    </w:t>
      </w:r>
      <w:r w:rsidRPr="00781112">
        <w:rPr>
          <w:rFonts w:cs="Arial"/>
          <w:color w:val="000000" w:themeColor="text1"/>
          <w:szCs w:val="16"/>
        </w:rPr>
        <w:br/>
      </w:r>
      <w:r w:rsidRPr="00781112">
        <w:rPr>
          <w:rFonts w:cs="Arial"/>
          <w:color w:val="000000" w:themeColor="text1"/>
          <w:szCs w:val="16"/>
        </w:rPr>
        <w:br/>
        <w:t xml:space="preserve">It is also worth noting that according to a report from The Center for Appropriate Dispute Resolution in Special Education (CADRE) “[t]wenty-five of the 43 States reported less than 50% agreement rate” for indicator 15 for 2020-2021.  Additionally, according to the same CADRE report “[i]n 2020-21, less than four percent of due process hearing requests were resolved as a result of resolution agreements, while 40.7% were resolved without a hearing by different means.”   </w:t>
      </w:r>
      <w:r w:rsidRPr="00781112">
        <w:rPr>
          <w:rFonts w:cs="Arial"/>
          <w:color w:val="000000" w:themeColor="text1"/>
          <w:szCs w:val="16"/>
        </w:rPr>
        <w:br/>
      </w:r>
      <w:r w:rsidRPr="00781112">
        <w:rPr>
          <w:rFonts w:cs="Arial"/>
          <w:color w:val="000000" w:themeColor="text1"/>
          <w:szCs w:val="16"/>
        </w:rPr>
        <w:br/>
        <w:t xml:space="preserve">To support districts, the bureau has held presentations regarding due process annually at its administrative manager meetings since 2021. The bureau has provided additional trainings since April 2022, and continues to do so, on the topic of due process and related considerations, specifically including the resolution process related to due process. These training target local education agencies and help districts understand the hearing process and support the value of resolution sessions as they relate to positive outcomes for students with disabilities. To support families and parents, the bureau has held presentations regarding all dispute resolution options available, including due process, annually at the Family Café conference.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2" w:name="_Toc382731916"/>
      <w:bookmarkStart w:id="9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 xml:space="preserve">Select yes to use target </w:t>
      </w:r>
      <w:proofErr w:type="gramStart"/>
      <w:r w:rsidRPr="00781112">
        <w:rPr>
          <w:rFonts w:cs="Arial"/>
          <w:b/>
          <w:color w:val="000000" w:themeColor="text1"/>
          <w:szCs w:val="16"/>
        </w:rPr>
        <w:t>ranges</w:t>
      </w:r>
      <w:proofErr w:type="gramEnd"/>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92"/>
    <w:bookmarkEnd w:id="9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72.20%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74.20%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75.50%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80.65%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72.00%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69.05%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79.49%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80.65%</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83.33%</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83.50%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83.50%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84.00%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84.00%</w:t>
            </w:r>
          </w:p>
        </w:tc>
      </w:tr>
    </w:tbl>
    <w:p w14:paraId="3BC65958" w14:textId="77777777" w:rsidR="00DA3157" w:rsidRPr="00781112" w:rsidRDefault="00DA3157" w:rsidP="004369B2">
      <w:pPr>
        <w:rPr>
          <w:color w:val="000000" w:themeColor="text1"/>
        </w:rPr>
      </w:pPr>
    </w:p>
    <w:p w14:paraId="232434FD" w14:textId="77777777" w:rsidR="009B3BC6" w:rsidRDefault="009B3BC6">
      <w:pPr>
        <w:spacing w:before="0" w:after="200" w:line="276" w:lineRule="auto"/>
        <w:rPr>
          <w:b/>
          <w:color w:val="000000" w:themeColor="text1"/>
        </w:rPr>
      </w:pPr>
      <w:r>
        <w:rPr>
          <w:b/>
          <w:color w:val="000000" w:themeColor="text1"/>
        </w:rPr>
        <w:br w:type="page"/>
      </w:r>
    </w:p>
    <w:p w14:paraId="29FDEA16" w14:textId="1177271D"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80.65%</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83.33%</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81.82%</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Florida Department of Education (FDOE), in collaboration with its internal and external stakeholders, chose the State Identified Measurable Result (SIMR) of increasing the statewide cohort graduation rate for students with disabilities from 77% (2017-18 graduates) to 83% (2025-26 graduates) and closing the graduation gap between all students (baseline 10.2 percentage points in 2017-18) and students with disabilities by half (=5.1 percentage points). The State Identified Measurable Result (SIMR) is related to the State Performance Plan/Annual Performance Report (SPP/APR) results Indicator #1: Percentage of youth with individual educational plans graduating from high school with a regular diploma. (20 U.S.C. §1416(b)) </w:t>
      </w:r>
    </w:p>
    <w:p w14:paraId="43CABCA3" w14:textId="77777777" w:rsidR="00AE1972" w:rsidRPr="00781112" w:rsidRDefault="00AE1972" w:rsidP="00AE1972">
      <w:pPr>
        <w:rPr>
          <w:b/>
          <w:bCs/>
        </w:rPr>
      </w:pPr>
      <w:bookmarkStart w:id="94" w:name="_Hlk85195358"/>
      <w:r w:rsidRPr="00781112">
        <w:rPr>
          <w:b/>
          <w:bCs/>
        </w:rPr>
        <w:t>Has the SiMR changed since the last SSIP submission? (yes/no)</w:t>
      </w:r>
    </w:p>
    <w:p w14:paraId="53B392AE" w14:textId="5D60E4A2" w:rsidR="00AE1972" w:rsidRDefault="00AE1972" w:rsidP="00AE1972">
      <w:r w:rsidRPr="00781112">
        <w:t>NO</w:t>
      </w:r>
    </w:p>
    <w:bookmarkEnd w:id="9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uses a cohort model for this indicator.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https://www.fldoe.org/core/fileparse.php/7672/urlt/Theoryofaction.pdf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1FAA085B" w:rsidR="00AE1972" w:rsidRPr="00781112" w:rsidRDefault="00AE1972" w:rsidP="00FE5C1F">
            <w:pPr>
              <w:jc w:val="center"/>
              <w:rPr>
                <w:color w:val="000000" w:themeColor="text1"/>
              </w:rPr>
            </w:pPr>
            <w:r w:rsidRPr="00781112">
              <w:rPr>
                <w:color w:val="000000" w:themeColor="text1"/>
              </w:rPr>
              <w:t>82.3</w:t>
            </w:r>
            <w:r w:rsidR="003211BE">
              <w:rPr>
                <w:color w:val="000000" w:themeColor="text1"/>
              </w:rPr>
              <w:t>0</w:t>
            </w:r>
            <w:r w:rsidRPr="00781112">
              <w:rPr>
                <w:color w:val="000000" w:themeColor="text1"/>
              </w:rPr>
              <w:t>%</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82.35%</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82.50%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82.50%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83.00%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83.50%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Total number of students with disabilities (SWDs) who graduated with their federal cohort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number of SWDs in the graduation cohort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6AE30F3C" w:rsidR="00AE1972" w:rsidRPr="00781112" w:rsidRDefault="00873A14" w:rsidP="00FE5C1F">
            <w:pPr>
              <w:jc w:val="center"/>
              <w:rPr>
                <w:color w:val="000000" w:themeColor="text1"/>
                <w:szCs w:val="16"/>
              </w:rPr>
            </w:pPr>
            <w:r>
              <w:rPr>
                <w:color w:val="000000" w:themeColor="text1"/>
                <w:szCs w:val="16"/>
              </w:rPr>
              <w:t>x</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26,313</w:t>
            </w:r>
          </w:p>
        </w:tc>
        <w:tc>
          <w:tcPr>
            <w:tcW w:w="667" w:type="pct"/>
            <w:shd w:val="clear" w:color="auto" w:fill="auto"/>
          </w:tcPr>
          <w:p w14:paraId="75E02A3E" w14:textId="349C281F" w:rsidR="00AE1972" w:rsidRPr="00781112" w:rsidRDefault="00AE1972" w:rsidP="00FE5C1F">
            <w:pPr>
              <w:jc w:val="center"/>
              <w:rPr>
                <w:color w:val="000000" w:themeColor="text1"/>
                <w:szCs w:val="16"/>
              </w:rPr>
            </w:pPr>
            <w:r w:rsidRPr="00781112">
              <w:rPr>
                <w:rFonts w:cs="Arial"/>
                <w:color w:val="000000" w:themeColor="text1"/>
                <w:szCs w:val="16"/>
              </w:rPr>
              <w:t>82.3</w:t>
            </w:r>
            <w:r w:rsidR="00BA2ABD">
              <w:rPr>
                <w:rFonts w:cs="Arial"/>
                <w:color w:val="000000" w:themeColor="text1"/>
                <w:szCs w:val="16"/>
              </w:rPr>
              <w:t>0</w:t>
            </w:r>
            <w:r w:rsidRPr="00781112">
              <w:rPr>
                <w:rFonts w:cs="Arial"/>
                <w:color w:val="000000" w:themeColor="text1"/>
                <w:szCs w:val="16"/>
              </w:rPr>
              <w:t>%</w:t>
            </w:r>
          </w:p>
        </w:tc>
        <w:tc>
          <w:tcPr>
            <w:tcW w:w="626" w:type="pct"/>
            <w:shd w:val="clear" w:color="auto" w:fill="auto"/>
          </w:tcPr>
          <w:p w14:paraId="33C18B01" w14:textId="4B3F795F" w:rsidR="00AE1972" w:rsidRPr="00781112" w:rsidRDefault="00AE1972" w:rsidP="00FE5C1F">
            <w:pPr>
              <w:jc w:val="center"/>
              <w:rPr>
                <w:color w:val="000000" w:themeColor="text1"/>
                <w:szCs w:val="16"/>
              </w:rPr>
            </w:pPr>
            <w:r w:rsidRPr="00781112">
              <w:rPr>
                <w:color w:val="000000" w:themeColor="text1"/>
                <w:szCs w:val="16"/>
              </w:rPr>
              <w:t>82.</w:t>
            </w:r>
            <w:r w:rsidR="0090037C">
              <w:rPr>
                <w:color w:val="000000" w:themeColor="text1"/>
                <w:szCs w:val="16"/>
              </w:rPr>
              <w:t>4</w:t>
            </w:r>
            <w:r w:rsidR="00BA2ABD">
              <w:rPr>
                <w:color w:val="000000" w:themeColor="text1"/>
                <w:szCs w:val="16"/>
              </w:rPr>
              <w:t>0</w:t>
            </w:r>
            <w:r w:rsidRPr="00781112">
              <w:rPr>
                <w:color w:val="000000" w:themeColor="text1"/>
                <w:szCs w:val="16"/>
              </w:rPr>
              <w:t>%</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83.50%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FDOE, Final Survey 5 Cohort graduation data.</w:t>
      </w:r>
    </w:p>
    <w:p w14:paraId="17AAB1A6" w14:textId="2D1007DB" w:rsidR="00AE1972" w:rsidRPr="00781112" w:rsidRDefault="00AE1972" w:rsidP="00AE1972">
      <w:r w:rsidRPr="00781112">
        <w:rPr>
          <w:b/>
          <w:bCs/>
        </w:rPr>
        <w:lastRenderedPageBreak/>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FDOE conducts surveys of school district student and staff information at scheduled survey times during the reporting year. Survey 5 is used to collect end-of-year information and secondary career and technical education and industry certification information. More information about the state’s survey collection process can be found at the following link: https://www.fldoe.org/accountability/data-sys/database-manuals-updates/user-manual.stml.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In 2021, the SEA collected input from the State Advisory Panel (SAP) and other stakeholder groups to restructure the LEA survey to evaluate the level of application of the What Matters Most: Six Key Practices. Based on stakeholder input, the SEA restructured the LEA survey to include questions gauging the implementation at the district, school, and parent/family level. The survey response scale was also revised to reflect a more research aligned rating scale with 1 = Never (Inadequate Application), 2 = Rarely (Less than Average Application and in need of additional support/practice), 3 = Sometimes (Average Application), 4 = Often (Acceptable Application), and 5= Always (Consistent Application). Based on themes collected through LEA on-site visits, the survey required LEAs to identify specific barriers to the application of each of the Six Key Practices. The identification of statistically significant barriers that impede the implementation of the Six Key Practices will assist in identifying needs that should be addressed by the LEA with the support of the SEA. </w:t>
      </w:r>
      <w:r w:rsidRPr="00781112">
        <w:rPr>
          <w:color w:val="000000" w:themeColor="text1"/>
        </w:rPr>
        <w:br/>
        <w:t xml:space="preserve">  </w:t>
      </w:r>
      <w:r w:rsidRPr="00781112">
        <w:rPr>
          <w:color w:val="000000" w:themeColor="text1"/>
        </w:rPr>
        <w:br/>
        <w:t xml:space="preserve">The state uses a measure of the gap in graduation rates with a standard diploma by subtracting the federal cohort graduation rate for students with disabilities from the federal cohort graduation rate for all students. For 2021, the cohort graduation rate for students with disabilities was 83.50%. For 2021, the federal cohort graduation rate for all students was 87.80%. Using these numbers, the gap measure calculated was 4.30%% (87.80% - 83.50%). Our targets for this gap measure are below: </w:t>
      </w:r>
      <w:r w:rsidRPr="00781112">
        <w:rPr>
          <w:color w:val="000000" w:themeColor="text1"/>
        </w:rPr>
        <w:br/>
        <w:t xml:space="preserve">  </w:t>
      </w:r>
      <w:r w:rsidRPr="00781112">
        <w:rPr>
          <w:color w:val="000000" w:themeColor="text1"/>
        </w:rPr>
        <w:br/>
        <w:t xml:space="preserve"> FFY 2021: 7.8% </w:t>
      </w:r>
      <w:r w:rsidRPr="00781112">
        <w:rPr>
          <w:color w:val="000000" w:themeColor="text1"/>
        </w:rPr>
        <w:br/>
        <w:t xml:space="preserve"> FFY 2022: 7.5% </w:t>
      </w:r>
      <w:r w:rsidRPr="00781112">
        <w:rPr>
          <w:color w:val="000000" w:themeColor="text1"/>
        </w:rPr>
        <w:br/>
        <w:t xml:space="preserve"> FFY 2023: 7.5% </w:t>
      </w:r>
      <w:r w:rsidRPr="00781112">
        <w:rPr>
          <w:color w:val="000000" w:themeColor="text1"/>
        </w:rPr>
        <w:br/>
        <w:t xml:space="preserve"> FFY 2024: 7.1% </w:t>
      </w:r>
      <w:r w:rsidRPr="00781112">
        <w:rPr>
          <w:color w:val="000000" w:themeColor="text1"/>
        </w:rPr>
        <w:br/>
        <w:t xml:space="preserve"> FFY 2025: 7.1%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When comparing to the 2019-20 and 2020-21 graduation rates, it is important to note that pursuant to Florida Department of Education Emergency Order No. 2020-EO-1 and Florida Department of Education Emergency Order No. 2021-EO-02, students in the 2019-20 and 2020-21 graduating classes were exempt from statewide, standardized assessment requirements stipulated in s. 1003.4282, F.S. To mitigate the impact of COVID-19 on data collection in the years to come, the SEA will continue our statewide partnership with LEAs to support their continued progress monitoring and interventions to struggling learners. The accurate measurement of our collective efforts will be how we helped our students grow and overcome adversity during this </w:t>
      </w:r>
      <w:proofErr w:type="gramStart"/>
      <w:r w:rsidRPr="00781112">
        <w:rPr>
          <w:color w:val="000000" w:themeColor="text1"/>
        </w:rPr>
        <w:t>pandemic</w:t>
      </w:r>
      <w:proofErr w:type="gramEnd"/>
      <w:r w:rsidRPr="00781112">
        <w:rPr>
          <w:color w:val="000000" w:themeColor="text1"/>
        </w:rPr>
        <w:t xml:space="preserve">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https://www.fldoe.org/academics/exceptional-student-edu/data/</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SEA and stakeholders have reviewed the Theory of Action and determined no changes were required. The State Identified Measurable Result (SIMR) and the primary evidence-based practice have also not changed since the inception of the SSIP. However, the process has been enhanced each year from lessons learned in the previous year. A major example is that the most critical tier three intervention, the on-site </w:t>
      </w:r>
      <w:proofErr w:type="gramStart"/>
      <w:r w:rsidRPr="00781112">
        <w:rPr>
          <w:color w:val="000000" w:themeColor="text1"/>
        </w:rPr>
        <w:t>monitoring</w:t>
      </w:r>
      <w:proofErr w:type="gramEnd"/>
      <w:r w:rsidRPr="00781112">
        <w:rPr>
          <w:color w:val="000000" w:themeColor="text1"/>
        </w:rPr>
        <w:t xml:space="preserve"> and assistance visit, is a richer experience for both the LEA and the SEA. Additional stakeholders have been included in the visits from both SEA and LEA teams. The participation level of LEA general education staff and leaders in the on-site visits is now routine and expected. Executive leaders, including LEA superintendents, participated in </w:t>
      </w:r>
      <w:proofErr w:type="gramStart"/>
      <w:r w:rsidRPr="00781112">
        <w:rPr>
          <w:color w:val="000000" w:themeColor="text1"/>
        </w:rPr>
        <w:t>all of</w:t>
      </w:r>
      <w:proofErr w:type="gramEnd"/>
      <w:r w:rsidRPr="00781112">
        <w:rPr>
          <w:color w:val="000000" w:themeColor="text1"/>
        </w:rPr>
        <w:t xml:space="preserve"> the on-site visits, as did other district-level staff and building leaders, including the principals of the individual schools visited. The SEA added more members from general education to the on-site visit teams, including FDOE senior staff from the Bureau of School Improvement and other SEA senior leadership staff.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found by both self-assessment survey data and as seen during on-site visits to districts, the evaluation of implementation has revealed progress toward all measures and outcomes. According to the survey results, there has been increased use of the Six Key Practices by the SEA and the LEAs to lead continuous improvement efforts.  </w:t>
      </w:r>
      <w:r w:rsidRPr="00781112">
        <w:rPr>
          <w:color w:val="000000" w:themeColor="text1"/>
        </w:rPr>
        <w:br/>
      </w:r>
      <w:r w:rsidRPr="00781112">
        <w:rPr>
          <w:color w:val="000000" w:themeColor="text1"/>
        </w:rPr>
        <w:br/>
      </w:r>
      <w:r w:rsidRPr="00781112">
        <w:rPr>
          <w:color w:val="000000" w:themeColor="text1"/>
        </w:rPr>
        <w:lastRenderedPageBreak/>
        <w:t xml:space="preserve">There has also been an increase in student outcomes. The four-year graduation cohort rate for students with disabilities was 77% in 2017-2018 and has increased to 83.5% in 2021-2022. The four-year graduation cohort rate for all students was 87.2% in 2017-2018 and 87.2% in 2021-2022. Therefore, there was a 10.2% graduation gap between the four-year cohort rate for students with disabilities and all students in 2017-2018. That gap has decreased to 3.7% in 2021-2022 which meets and surpasses the SIMR target to be 7.1% or lower by 2025-2026.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Six Key Practices: </w:t>
      </w:r>
      <w:r w:rsidRPr="00781112">
        <w:rPr>
          <w:color w:val="000000" w:themeColor="text1"/>
        </w:rPr>
        <w:br/>
        <w:t xml:space="preserve">Beginning in 2012, the Bureau of Exceptional Education and Student Services engaged stakeholders in conversation </w:t>
      </w:r>
      <w:proofErr w:type="gramStart"/>
      <w:r w:rsidRPr="00781112">
        <w:rPr>
          <w:color w:val="000000" w:themeColor="text1"/>
        </w:rPr>
        <w:t>in order to</w:t>
      </w:r>
      <w:proofErr w:type="gramEnd"/>
      <w:r w:rsidRPr="00781112">
        <w:rPr>
          <w:color w:val="000000" w:themeColor="text1"/>
        </w:rPr>
        <w:t xml:space="preserve"> review key evidence-based practices for systems improvement for state, districts and schools from What Matters Most: Moving Your Numbers (NCEO, 2012). Since that time the key practices have guided the relationships between the SEA, the LEAs, and other stakeholders towards continuous improvement of the State Performance Plans for Students with Disabilities. </w:t>
      </w:r>
      <w:r w:rsidRPr="00781112">
        <w:rPr>
          <w:color w:val="000000" w:themeColor="text1"/>
        </w:rPr>
        <w:br/>
        <w:t xml:space="preserve">1. Use Data Well: FDOE will Identify and respond to community needs, and create, </w:t>
      </w:r>
      <w:proofErr w:type="gramStart"/>
      <w:r w:rsidRPr="00781112">
        <w:rPr>
          <w:color w:val="000000" w:themeColor="text1"/>
        </w:rPr>
        <w:t>refine</w:t>
      </w:r>
      <w:proofErr w:type="gramEnd"/>
      <w:r w:rsidRPr="00781112">
        <w:rPr>
          <w:color w:val="000000" w:themeColor="text1"/>
        </w:rPr>
        <w:t xml:space="preserve"> and revise state systems of support. </w:t>
      </w:r>
      <w:r w:rsidRPr="00781112">
        <w:rPr>
          <w:color w:val="000000" w:themeColor="text1"/>
        </w:rPr>
        <w:br/>
        <w:t xml:space="preserve">Anticipated outcome: Each LEA will establish clear expectations for data use. Use data to identify needs, measure implementation and impact on student learning and revise procedures. </w:t>
      </w:r>
      <w:r w:rsidRPr="00781112">
        <w:rPr>
          <w:color w:val="000000" w:themeColor="text1"/>
        </w:rPr>
        <w:br/>
        <w:t>2. Focus Goals: FDOE will establish common goals, provide products and services to facilitate focused goal setting and coherent plans.</w:t>
      </w:r>
      <w:r w:rsidRPr="00781112">
        <w:rPr>
          <w:color w:val="000000" w:themeColor="text1"/>
        </w:rPr>
        <w:br/>
        <w:t xml:space="preserve">Anticipated Outcome: Each LEA will establish priority on improving teaching and learning, ensure alignment of goals, take leadership responsibility for goal setting. </w:t>
      </w:r>
      <w:r w:rsidRPr="00781112">
        <w:rPr>
          <w:color w:val="000000" w:themeColor="text1"/>
        </w:rPr>
        <w:br/>
        <w:t>3. Select &amp; Implement Shared Instructional Practices: FDOE will serve to help districts improve the quality of instruction to all students, establish a statewide system of support to districts.</w:t>
      </w:r>
      <w:r w:rsidRPr="00781112">
        <w:rPr>
          <w:color w:val="000000" w:themeColor="text1"/>
        </w:rPr>
        <w:br/>
        <w:t xml:space="preserve">Anticipated Outcome: Each LEA will align standards-based instruction to district goals build common language understanding, require ongoing progress monitoring. </w:t>
      </w:r>
      <w:r w:rsidRPr="00781112">
        <w:rPr>
          <w:color w:val="000000" w:themeColor="text1"/>
        </w:rPr>
        <w:br/>
        <w:t>4. Implement Deeply: FDOE will limit state and district requirements provide products and services that help districts fully implement strategies.</w:t>
      </w:r>
      <w:r w:rsidRPr="00781112">
        <w:rPr>
          <w:color w:val="000000" w:themeColor="text1"/>
        </w:rPr>
        <w:br/>
        <w:t>Anticipated Outcome: Each LEA will ensure consistent implementation of selected improvement strategies, require aligned school structures, and provide support and accountability.</w:t>
      </w:r>
      <w:r w:rsidRPr="00781112">
        <w:rPr>
          <w:color w:val="000000" w:themeColor="text1"/>
        </w:rPr>
        <w:br/>
      </w:r>
      <w:proofErr w:type="gramStart"/>
      <w:r w:rsidRPr="00781112">
        <w:rPr>
          <w:color w:val="000000" w:themeColor="text1"/>
        </w:rPr>
        <w:t>5.Monitor</w:t>
      </w:r>
      <w:proofErr w:type="gramEnd"/>
      <w:r w:rsidRPr="00781112">
        <w:rPr>
          <w:color w:val="000000" w:themeColor="text1"/>
        </w:rPr>
        <w:t xml:space="preserve"> &amp; Provide Feedback: FDOE will help districts understand relationship between monitoring for improvement and monitoring for compliance. </w:t>
      </w:r>
      <w:r w:rsidRPr="00781112">
        <w:rPr>
          <w:color w:val="000000" w:themeColor="text1"/>
        </w:rPr>
        <w:br/>
        <w:t xml:space="preserve">Anticipated Outcome: Each LEA will use district identified formative indicators for implementation, provide differentiated support and consistently measure effectiveness. </w:t>
      </w:r>
      <w:r w:rsidRPr="00781112">
        <w:rPr>
          <w:color w:val="000000" w:themeColor="text1"/>
        </w:rPr>
        <w:br/>
        <w:t xml:space="preserve">6. Inquire &amp; Learn: FDOE will evaluate adult and student learning, recognize continuous improvement of all students and specific groups of students. </w:t>
      </w:r>
      <w:r w:rsidRPr="00781112">
        <w:rPr>
          <w:color w:val="000000" w:themeColor="text1"/>
        </w:rPr>
        <w:br/>
        <w:t>Anticipated Outcome: Each LEA will pursue continuous improvement, establish a decision-making process, and provide active oversight of instruction.</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In determining improvement strategies based on an implementation framework that will lead to and support systemic change for the state, the bureau has implemented </w:t>
      </w:r>
      <w:proofErr w:type="gramStart"/>
      <w:r w:rsidRPr="00781112">
        <w:rPr>
          <w:color w:val="000000" w:themeColor="text1"/>
        </w:rPr>
        <w:t>evidence based</w:t>
      </w:r>
      <w:proofErr w:type="gramEnd"/>
      <w:r w:rsidRPr="00781112">
        <w:rPr>
          <w:color w:val="000000" w:themeColor="text1"/>
        </w:rPr>
        <w:t xml:space="preserve"> practices to support this work to include: </w:t>
      </w:r>
      <w:r w:rsidRPr="00781112">
        <w:rPr>
          <w:color w:val="000000" w:themeColor="text1"/>
        </w:rPr>
        <w:br/>
        <w:t xml:space="preserve"> </w:t>
      </w:r>
      <w:r w:rsidRPr="00781112">
        <w:rPr>
          <w:color w:val="000000" w:themeColor="text1"/>
        </w:rPr>
        <w:br/>
        <w:t xml:space="preserve">Best Practices for Appropriate Evaluation and Identification </w:t>
      </w:r>
      <w:r w:rsidRPr="00781112">
        <w:rPr>
          <w:color w:val="000000" w:themeColor="text1"/>
        </w:rPr>
        <w:br/>
        <w:t xml:space="preserve">1. Monitor state and district disproportionality patterns and trends. </w:t>
      </w:r>
      <w:r w:rsidRPr="00781112">
        <w:rPr>
          <w:color w:val="000000" w:themeColor="text1"/>
        </w:rPr>
        <w:br/>
        <w:t xml:space="preserve">2. Calculate district and state risk ratios data based on October Survey 2. </w:t>
      </w:r>
      <w:r w:rsidRPr="00781112">
        <w:rPr>
          <w:color w:val="000000" w:themeColor="text1"/>
        </w:rPr>
        <w:br/>
        <w:t xml:space="preserve"> a. Review district data and identify districts with disproportionate representation due to inappropriate identification. </w:t>
      </w:r>
      <w:r w:rsidRPr="00781112">
        <w:rPr>
          <w:color w:val="000000" w:themeColor="text1"/>
        </w:rPr>
        <w:br/>
        <w:t xml:space="preserve"> b. Review and modify procedures for determining and monitoring disproportionality. </w:t>
      </w:r>
      <w:r w:rsidRPr="00781112">
        <w:rPr>
          <w:color w:val="000000" w:themeColor="text1"/>
        </w:rPr>
        <w:br/>
        <w:t xml:space="preserve"> c. Evaluate and modify, as needed, formulas for determining disproportionality and inappropriate identification (e.g., "n" size; cut-off criteria) </w:t>
      </w:r>
      <w:r w:rsidRPr="00781112">
        <w:rPr>
          <w:color w:val="000000" w:themeColor="text1"/>
        </w:rPr>
        <w:br/>
        <w:t xml:space="preserve"> d. Provide technical assistance and support on calculating risk ratios and using risk data to monitor disproportionate placement </w:t>
      </w:r>
      <w:r w:rsidRPr="00781112">
        <w:rPr>
          <w:color w:val="000000" w:themeColor="text1"/>
        </w:rPr>
        <w:br/>
        <w:t xml:space="preserve"> e. Disaggregate data on students with Emotional/Behavioral Disabilities by race/ethnicity. </w:t>
      </w:r>
      <w:r w:rsidRPr="00781112">
        <w:rPr>
          <w:color w:val="000000" w:themeColor="text1"/>
        </w:rPr>
        <w:br/>
        <w:t xml:space="preserve">3. Provide technical assistance on improving the effectiveness of the problem-solving and multi-tiered system of supports (MTSS) to reduce inappropriate identification. </w:t>
      </w:r>
      <w:r w:rsidRPr="00781112">
        <w:rPr>
          <w:color w:val="000000" w:themeColor="text1"/>
        </w:rPr>
        <w:br/>
        <w:t xml:space="preserve">4. Provide technical assistance on practical problem solving and tiered supports to selected districts </w:t>
      </w:r>
      <w:r w:rsidRPr="00781112">
        <w:rPr>
          <w:color w:val="000000" w:themeColor="text1"/>
        </w:rPr>
        <w:br/>
        <w:t xml:space="preserve">5. Collaborate with Inclusion, Positive Behavior/Student Engagement, Parent Involvement, and Pre-K workgroups to address systemic issues in disproportionality. </w:t>
      </w:r>
      <w:r w:rsidRPr="00781112">
        <w:rPr>
          <w:color w:val="000000" w:themeColor="text1"/>
        </w:rPr>
        <w:br/>
        <w:t>6. Coordinate intensive support with other performance indicators on on-site visits.</w:t>
      </w:r>
      <w:r w:rsidRPr="00781112">
        <w:rPr>
          <w:color w:val="000000" w:themeColor="text1"/>
        </w:rPr>
        <w:br/>
        <w:t>7. Integrate support for targeted districts with disproportionality in discipline with Best Practices in Positive Behavior/Student Engagement.</w:t>
      </w:r>
      <w:r w:rsidRPr="00781112">
        <w:rPr>
          <w:color w:val="000000" w:themeColor="text1"/>
        </w:rPr>
        <w:br/>
        <w:t>8. Identify evidence-based trainings that districts can implement.</w:t>
      </w:r>
      <w:r w:rsidRPr="00781112">
        <w:rPr>
          <w:color w:val="000000" w:themeColor="text1"/>
        </w:rPr>
        <w:br/>
        <w:t xml:space="preserve"> </w:t>
      </w:r>
      <w:r w:rsidRPr="00781112">
        <w:rPr>
          <w:color w:val="000000" w:themeColor="text1"/>
        </w:rPr>
        <w:br/>
        <w:t xml:space="preserve">Best Practices for Inclusion </w:t>
      </w:r>
      <w:r w:rsidRPr="00781112">
        <w:rPr>
          <w:color w:val="000000" w:themeColor="text1"/>
        </w:rPr>
        <w:br/>
        <w:t xml:space="preserve">1. Facilitate targeted problem solving and action planning with districts to improve inclusion and LRE rates. </w:t>
      </w:r>
      <w:r w:rsidRPr="00781112">
        <w:rPr>
          <w:color w:val="000000" w:themeColor="text1"/>
        </w:rPr>
        <w:br/>
        <w:t xml:space="preserve">2. Measure districts' progress on the percentage of students with disabilities educated in the LRE and identify factors contributing to its increase. </w:t>
      </w:r>
      <w:r w:rsidRPr="00781112">
        <w:rPr>
          <w:color w:val="000000" w:themeColor="text1"/>
        </w:rPr>
        <w:br/>
        <w:t xml:space="preserve"> </w:t>
      </w:r>
      <w:r w:rsidRPr="00781112">
        <w:rPr>
          <w:color w:val="000000" w:themeColor="text1"/>
        </w:rPr>
        <w:br/>
        <w:t xml:space="preserve">Best Practices for Positive Behavior/Student Engagement </w:t>
      </w:r>
      <w:r w:rsidRPr="00781112">
        <w:rPr>
          <w:color w:val="000000" w:themeColor="text1"/>
        </w:rPr>
        <w:br/>
        <w:t xml:space="preserve">1. Through collaboration with BEESS, discretionary projects, and districts, provide data, technical assistance, practical problem solving, professional development, and tiered supports to increase student engagement and reduce the use of restraint, seclusion, suspension, and expulsion. Hence, students remain in class/school and successfully master Florida Standards. </w:t>
      </w:r>
      <w:r w:rsidRPr="00781112">
        <w:rPr>
          <w:color w:val="000000" w:themeColor="text1"/>
        </w:rPr>
        <w:br/>
        <w:t xml:space="preserve">2. Collect, </w:t>
      </w:r>
      <w:proofErr w:type="gramStart"/>
      <w:r w:rsidRPr="00781112">
        <w:rPr>
          <w:color w:val="000000" w:themeColor="text1"/>
        </w:rPr>
        <w:t>compile</w:t>
      </w:r>
      <w:proofErr w:type="gramEnd"/>
      <w:r w:rsidRPr="00781112">
        <w:rPr>
          <w:color w:val="000000" w:themeColor="text1"/>
        </w:rPr>
        <w:t xml:space="preserve"> and analyze district and state restraint, seclusion, suspension, and expulsion data to inform decision making and district determinations. </w:t>
      </w:r>
      <w:r w:rsidRPr="00781112">
        <w:rPr>
          <w:color w:val="000000" w:themeColor="text1"/>
        </w:rPr>
        <w:br/>
        <w:t xml:space="preserve">3. Provide professional development opportunities related to issues of cultural diversity. </w:t>
      </w:r>
      <w:r w:rsidRPr="00781112">
        <w:rPr>
          <w:color w:val="000000" w:themeColor="text1"/>
        </w:rPr>
        <w:br/>
        <w:t xml:space="preserve">4. Collaborate with dispute resolution and monitoring to identify best practices and districts in need of assistance and collect additional information and data related to ESE P&amp;Ps. </w:t>
      </w:r>
      <w:r w:rsidRPr="00781112">
        <w:rPr>
          <w:color w:val="000000" w:themeColor="text1"/>
        </w:rPr>
        <w:br/>
        <w:t xml:space="preserve"> </w:t>
      </w:r>
      <w:r w:rsidRPr="00781112">
        <w:rPr>
          <w:color w:val="000000" w:themeColor="text1"/>
        </w:rPr>
        <w:br/>
        <w:t xml:space="preserve">Best Practices for Transition/Postsecondary </w:t>
      </w:r>
      <w:r w:rsidRPr="00781112">
        <w:rPr>
          <w:color w:val="000000" w:themeColor="text1"/>
        </w:rPr>
        <w:br/>
        <w:t xml:space="preserve">1. Review and analyze current, trend, and disaggregated data related to graduation rate and arrange districts in tiers based on performance. Identify districts for intensive training, technical assistance, and support, and assist those districts in developing, implementing, and evaluating an action plan focused on increasing the graduation rate using the eight-step problem-solving process. </w:t>
      </w:r>
      <w:r w:rsidRPr="00781112">
        <w:rPr>
          <w:color w:val="000000" w:themeColor="text1"/>
        </w:rPr>
        <w:br/>
        <w:t xml:space="preserve">2. Review and analyze current, trend, and disaggregated data related to drop-out rate and arrange districts in tiers based on performance. Identify districts for intensive training, technical assistance, and support, and assist those districts in developing, implementing, and evaluating an action plan focused on decreasing the drop-out rate using the eight-step problem-solving process. </w:t>
      </w:r>
      <w:r w:rsidRPr="00781112">
        <w:rPr>
          <w:color w:val="000000" w:themeColor="text1"/>
        </w:rPr>
        <w:br/>
      </w:r>
      <w:r w:rsidRPr="00781112">
        <w:rPr>
          <w:color w:val="000000" w:themeColor="text1"/>
        </w:rPr>
        <w:lastRenderedPageBreak/>
        <w:t>3. Evaluate data on district performance related to IEP non-compliance and arrange districts in tiers based on performance.</w:t>
      </w:r>
      <w:r w:rsidRPr="00781112">
        <w:rPr>
          <w:color w:val="000000" w:themeColor="text1"/>
        </w:rPr>
        <w:br/>
        <w:t xml:space="preserve">4. Provide tiered support in the form of professional development activities and technical assistance on evidence-based practices to school districts. Identify areas of need and develop a schedule of professional development activities designed to impact Indicator 13 outcomes (e.g., participation in PDA-ESE Transition Module, transition assessment training, secondary transition, and compliance training). </w:t>
      </w:r>
      <w:r w:rsidRPr="00781112">
        <w:rPr>
          <w:color w:val="000000" w:themeColor="text1"/>
        </w:rPr>
        <w:br/>
        <w:t xml:space="preserve">5. Increase the percentage of standard diploma graduates (SWDs) who enroll in college for AA, AS, AAS, or in state and private universities. </w:t>
      </w:r>
      <w:r w:rsidRPr="00781112">
        <w:rPr>
          <w:color w:val="000000" w:themeColor="text1"/>
        </w:rPr>
        <w:br/>
        <w:t xml:space="preserve">6. Examine postsecondary program data, including students with disabilities by program, etc. </w:t>
      </w:r>
      <w:r w:rsidRPr="00781112">
        <w:rPr>
          <w:color w:val="000000" w:themeColor="text1"/>
        </w:rPr>
        <w:br/>
        <w:t xml:space="preserve">7. Increase participation of students with disabilities in dual enrollment and other accelerated programs. </w:t>
      </w:r>
      <w:r w:rsidRPr="00781112">
        <w:rPr>
          <w:color w:val="000000" w:themeColor="text1"/>
        </w:rPr>
        <w:br/>
        <w:t xml:space="preserve">8. Increase the percentage of students who continue education at the postsecondary level. </w:t>
      </w:r>
      <w:r w:rsidRPr="00781112">
        <w:rPr>
          <w:color w:val="000000" w:themeColor="text1"/>
        </w:rPr>
        <w:br/>
        <w:t xml:space="preserve">9. Review and analyze current, trend, and disaggregated data related to post-school outcomes and arrange districts in tiers based on performance. </w:t>
      </w:r>
      <w:r w:rsidRPr="00781112">
        <w:rPr>
          <w:color w:val="000000" w:themeColor="text1"/>
        </w:rPr>
        <w:br/>
        <w:t xml:space="preserve">10. Provide tiered support in the form of professional development activities and technical assistance on evidence-based practices, including those detailed below, to school districts. </w:t>
      </w:r>
      <w:r w:rsidRPr="00781112">
        <w:rPr>
          <w:color w:val="000000" w:themeColor="text1"/>
        </w:rPr>
        <w:br/>
        <w:t xml:space="preserve">11. Collaborate with national and state partners to identify and plan support for student development activities. </w:t>
      </w:r>
      <w:r w:rsidRPr="00781112">
        <w:rPr>
          <w:color w:val="000000" w:themeColor="text1"/>
        </w:rPr>
        <w:br/>
        <w:t xml:space="preserve">12. Identify districts for intensive training, technical assistance, and support, and assist those districts in developing, implementing, and evaluating an action plan focused on improving post-school outcomes using the eight-step problem-solving process. </w:t>
      </w:r>
      <w:r w:rsidRPr="00781112">
        <w:rPr>
          <w:color w:val="000000" w:themeColor="text1"/>
        </w:rPr>
        <w:br/>
        <w:t xml:space="preserve">13. Collaborate with other agencies and interagency committees to encourage employers to hire individuals with disabilities. </w:t>
      </w:r>
      <w:r w:rsidRPr="00781112">
        <w:rPr>
          <w:color w:val="000000" w:themeColor="text1"/>
        </w:rPr>
        <w:br/>
        <w:t>14. Increase the percentage of students with disabilities who earn at least one industry certification.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In addition to the Six Key Practices for systems change, the SEA has offered additional </w:t>
      </w:r>
      <w:proofErr w:type="gramStart"/>
      <w:r w:rsidRPr="00781112">
        <w:rPr>
          <w:color w:val="000000" w:themeColor="text1"/>
        </w:rPr>
        <w:t>evidence based</w:t>
      </w:r>
      <w:proofErr w:type="gramEnd"/>
      <w:r w:rsidRPr="00781112">
        <w:rPr>
          <w:color w:val="000000" w:themeColor="text1"/>
        </w:rPr>
        <w:t xml:space="preserve"> practices geared toward supporting schools with efforts to improve student achievement and therefore increase graduation. For example, the SEA encourages all LEAs to use Early Warning Systems (EWS). The SEA, through Project 10: Transition Education Network (Project 10), a project focused on secondary transition and supported by discretionary funds, offers training and technical assistance in a Florida-developed EWS that involves using school-level data, such as grade-point average, credits earned, attendance, behavior and other data elements, to sort students into levels based on their risk of not graduating on time. The project also offers training and technical assistance on evidence-based interventions designed to help students after they have been identified as being at-risk. After categorizing the needs of students, the schools implement an MTSS, providing individual students with the appropriate level of support and services needed to ensure that each one graduates. Currently, 73 out of 79 (92.4%) of LEAs use an EWS, including 66 of the 67 (98.5%) of traditional LEAs (those that are Florida counties). In addition to training and technical assistance provided by Project 10, the online course “Using an Early Warning System to Increase Graduation Success” on the Personnel Development Alternatives Portal guides LEA personnel through the process. Some LEAs are using the system for students in both general and exceptional education and the system has been automated to work within various district information technology systems.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5"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5"/>
    <w:p w14:paraId="3E043DB7" w14:textId="7C3B2CD4" w:rsidR="00AE1972" w:rsidRPr="00781112" w:rsidRDefault="00AE1972" w:rsidP="00AE1972">
      <w:pPr>
        <w:rPr>
          <w:b/>
          <w:bCs/>
        </w:rPr>
      </w:pPr>
      <w:r w:rsidRPr="00781112">
        <w:rPr>
          <w:color w:val="000000" w:themeColor="text1"/>
        </w:rPr>
        <w:t xml:space="preserve">In addition to the Six Key Practices for systems change, the SEA has offered additional </w:t>
      </w:r>
      <w:proofErr w:type="gramStart"/>
      <w:r w:rsidRPr="00781112">
        <w:rPr>
          <w:color w:val="000000" w:themeColor="text1"/>
        </w:rPr>
        <w:t>evidence based</w:t>
      </w:r>
      <w:proofErr w:type="gramEnd"/>
      <w:r w:rsidRPr="00781112">
        <w:rPr>
          <w:color w:val="000000" w:themeColor="text1"/>
        </w:rPr>
        <w:t xml:space="preserve"> practices geared toward supporting schools to improve student achievement and therefore increase graduation. For example, the SEA encourages all LEAs to use an EWS. </w:t>
      </w:r>
      <w:r w:rsidRPr="00781112">
        <w:rPr>
          <w:color w:val="000000" w:themeColor="text1"/>
        </w:rPr>
        <w:br/>
        <w:t xml:space="preserve"> </w:t>
      </w:r>
      <w:r w:rsidRPr="00781112">
        <w:rPr>
          <w:color w:val="000000" w:themeColor="text1"/>
        </w:rPr>
        <w:br/>
        <w:t xml:space="preserve">The SEA, through Project 10, offers training and technical assistance in a Florida-developed EWS that involves using school-level data, such as grade-point average, credits earned, attendance, behavior, and other data elements, to sort students into levels based on their risk of not graduating on time. The project also offers training and technical assistance on evidence-based interventions designed to help students after being identified as at-risk. After categorizing the needs of students, the schools implement an MTSS, providing individual students with the appropriate level of support and services needed to ensure that each one graduates. Currently, 73 out of 79 (92.4%) of LEAs use an EWS, including 66 of the 67 (98.5%) of traditional LEAs (those that are Florida counties). </w:t>
      </w:r>
      <w:r w:rsidRPr="00781112">
        <w:rPr>
          <w:color w:val="000000" w:themeColor="text1"/>
        </w:rPr>
        <w:br/>
        <w:t xml:space="preserve"> </w:t>
      </w:r>
      <w:r w:rsidRPr="00781112">
        <w:rPr>
          <w:color w:val="000000" w:themeColor="text1"/>
        </w:rPr>
        <w:br/>
        <w:t xml:space="preserve">In addition to training and technical assistance provided by Project 10, the online course “Using an Early Warning System to Increase Graduation Success” on the Personnel Development Alternatives Portal guides LEA personnel through the process. Some LEAs are using the system for general and exceptional education students, and the system has been automated to work within various district information technology systems. </w:t>
      </w:r>
      <w:r w:rsidRPr="00781112">
        <w:rPr>
          <w:color w:val="000000" w:themeColor="text1"/>
        </w:rPr>
        <w:br/>
        <w:t xml:space="preserve"> </w:t>
      </w:r>
      <w:r w:rsidRPr="00781112">
        <w:rPr>
          <w:color w:val="000000" w:themeColor="text1"/>
        </w:rPr>
        <w:br/>
        <w:t>Florida’s original decision to choose a statewide increase in graduation rate for all students with disabilities as the SIMR, rather than concentrate on specific LEAs or specific sub-groups of students with disabilities, was both deliberate and strategic. Scalability is always a concern when improvement strategies are initially focused on a sub-set of the population. By choosing the entire state rate as the target for improvement and instituting a systemic framework, the Six Key Practices, rather than narrowly focused evidence-based practices, Florida avoided issues with scaling up systemic improvement efforts. Also assisting in the effort was consistency in state-level personnel. The use of an MTSS to provide differing levels of support to LEAs, based on their performance and needs, allows the state to address the needs of all LEAs in a targeted and intentional manner. Universal supports, including general, statewide support designed to inform, assist, and improve results for all districts, were provided to all LEAs. More focused and frequent supports, in addition to and aligned with existing universal supports, are provided to subgroups of LEAs in response to identified needs. The support provided to LEAs is also continuous. The SEA recognizes that LEA staff turnover creates the need for constant training and technical assistance. The discretionary projects’ staff work at the district and school level to provide continuous services to exceptional education staff, general educators, and others in the LEA, such as the management information systems (MIS) team.</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most important measures are student outcomes, specifically the cohort graduation rates, the graduation gap, and the dropout rates of students with disabilities. Desktop monitoring for performance also models key practices of implementing deeply and monitoring and providing feedback and support. The data collected through the desktop monitoring for performance and the student outcome data serve as the SEA’s method of evaluating and monitoring the fidelity of implementation and assessment of practice change. Data collected through the LEA survey indicated an increase in implementing the Six Key Practices. The data provided areas that SEA support is needed to mitigate LEA barriers to the consistent application of the key practices. Progress is also monitored by both the BEESS strategic planning teams associated with the specific work the district is doing and the discretionary projects, who report their activities in the Project Tracking System, an online database. Section 1003.57(1)(b)1., Florida Statutes (F.S.) requires that district school boards submit to FDOE proposed procedures for providing special instruction and services for exceptional students once every three years. Approval of this document by FDOE is required by Rule 6A-6.03411, Florida Administrative Code (F.A.C.). The ESE P&amp;P Monitoring is an additional mechanism for evaluating and monitoring fidelity and practice change. </w:t>
      </w:r>
      <w:r w:rsidRPr="00781112">
        <w:rPr>
          <w:color w:val="000000" w:themeColor="text1"/>
        </w:rPr>
        <w:br/>
        <w:t xml:space="preserve"> </w:t>
      </w:r>
      <w:r w:rsidRPr="00781112">
        <w:rPr>
          <w:color w:val="000000" w:themeColor="text1"/>
        </w:rPr>
        <w:br/>
        <w:t xml:space="preserve">Data collected through the LEA survey indicated an increase in implementing the Six Key Practices. The data provided areas where support is needed to mitigate L.E.A. barriers to a consistent application of the key practices. Progress is also monitored by both the BEESS strategic planning teams associated with the specific work the district is doing and the discretionary projects, who report their activities in the Project Tracking System, an online </w:t>
      </w:r>
      <w:r w:rsidRPr="00781112">
        <w:rPr>
          <w:color w:val="000000" w:themeColor="text1"/>
        </w:rPr>
        <w:lastRenderedPageBreak/>
        <w:t>database. Section 1003.57(1)(b)1</w:t>
      </w:r>
      <w:proofErr w:type="gramStart"/>
      <w:r w:rsidRPr="00781112">
        <w:rPr>
          <w:color w:val="000000" w:themeColor="text1"/>
        </w:rPr>
        <w:t>.,Florida</w:t>
      </w:r>
      <w:proofErr w:type="gramEnd"/>
      <w:r w:rsidRPr="00781112">
        <w:rPr>
          <w:color w:val="000000" w:themeColor="text1"/>
        </w:rPr>
        <w:t xml:space="preserve"> Statutes (F.S.) requires that district school boards submit to the FDOE proposed procedures for the provision of special instruction and services for exceptional students once every three years. Approval of this document by FDOE is required by Rule 6A-6.03411, Florida Administrative Code (F.A.C.). The ESE P&amp;P Monitoring is an additional mechanism for evaluating and monitoring fidelity and practice change.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Florida’s original decision to choose a statewide increase in the cohort graduation rate for all students with disabilities as the SIMR, rather than concentrate on specific LEAs or specific sub-groups of students with disabilities, was both deliberate and strategic. Scalability is always a concern when improvement strategies are initially focused on a sub-set of the population. By choosing the entire state rate as the target for improvement and instituting a systemic framework, the Six Key Practices, rather than a narrowly focused evidence-based practice, Florida avoided issues with scaling up systemic improvement efforts. Also assisting in the effort was consistency in state-level personnel. The use of an MTSS to provide differing levels of support to LEAs, based on their performance and needs, allows the state to address the needs of all LEAs in a targeted and intentional manner. Universal supports, including general, statewide support designed to inform, assist, and improve results for all districts, were provided to all LEAs. More focused and frequent supports, in addition to and aligned with existing universal supports, are provided to subgroups of LEAs in response to identified needs. The support provided to LEAs is also continuous. The SEA recognizes that LEA staff turnover creates the need for constant training and technical assistance. The discretionary projects’ staff work at the district and school level to provide continuous services to exceptional education staff, general educators, and others in the LEA, such as management information systems (MIS) staff.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BEESS will continue to use the Six Key Practices to support positive educational outcomes for students with disabilities. though the following: </w:t>
      </w:r>
      <w:r w:rsidRPr="00781112">
        <w:rPr>
          <w:color w:val="000000" w:themeColor="text1"/>
        </w:rPr>
        <w:br/>
        <w:t xml:space="preserve">1. Implementation of high-quality standards and assessments </w:t>
      </w:r>
      <w:r w:rsidRPr="00781112">
        <w:rPr>
          <w:color w:val="000000" w:themeColor="text1"/>
        </w:rPr>
        <w:br/>
        <w:t xml:space="preserve">2. Improvement of educator effectiveness </w:t>
      </w:r>
      <w:r w:rsidRPr="00781112">
        <w:rPr>
          <w:color w:val="000000" w:themeColor="text1"/>
        </w:rPr>
        <w:br/>
        <w:t xml:space="preserve">3. Incentivizing institutions to provide opportunities </w:t>
      </w:r>
      <w:r w:rsidRPr="00781112">
        <w:rPr>
          <w:color w:val="000000" w:themeColor="text1"/>
        </w:rPr>
        <w:br/>
        <w:t xml:space="preserve">4. Improvement of accountability systems that promote institution improvements </w:t>
      </w:r>
      <w:r w:rsidRPr="00781112">
        <w:rPr>
          <w:color w:val="000000" w:themeColor="text1"/>
        </w:rPr>
        <w:br/>
        <w:t xml:space="preserve">5. Improved effectiveness of and opportunity for career preparation </w:t>
      </w:r>
      <w:r w:rsidRPr="00781112">
        <w:rPr>
          <w:color w:val="000000" w:themeColor="text1"/>
        </w:rPr>
        <w:br/>
        <w:t xml:space="preserve">6. Promote high-quality educational choice </w:t>
      </w:r>
      <w:r w:rsidRPr="00781112">
        <w:rPr>
          <w:color w:val="000000" w:themeColor="text1"/>
        </w:rPr>
        <w:br/>
        <w:t xml:space="preserve">7. Strengthen stakeholder communication and partnerships </w:t>
      </w:r>
      <w:r w:rsidRPr="00781112">
        <w:rPr>
          <w:color w:val="000000" w:themeColor="text1"/>
        </w:rPr>
        <w:br/>
        <w:t xml:space="preserve">8. Increased quality and efficiency of services  </w:t>
      </w:r>
      <w:r w:rsidRPr="00781112">
        <w:rPr>
          <w:color w:val="000000" w:themeColor="text1"/>
        </w:rPr>
        <w:br/>
        <w:t xml:space="preserve">These strategies will allow FDOE/ BEESS to provide: </w:t>
      </w:r>
      <w:r w:rsidRPr="00781112">
        <w:rPr>
          <w:color w:val="000000" w:themeColor="text1"/>
        </w:rPr>
        <w:br/>
        <w:t xml:space="preserve">1. Highest student achievement, as indicated by evidence of student learning gains at all levels. </w:t>
      </w:r>
      <w:r w:rsidRPr="00781112">
        <w:rPr>
          <w:color w:val="000000" w:themeColor="text1"/>
        </w:rPr>
        <w:br/>
        <w:t xml:space="preserve">2. Seamless articulation and maximum access, as measured by evidence of progression, readiness, and access by targeted groups of students identified by </w:t>
      </w:r>
      <w:r w:rsidRPr="00781112">
        <w:rPr>
          <w:color w:val="000000" w:themeColor="text1"/>
        </w:rPr>
        <w:br/>
        <w:t xml:space="preserve">the Commissioner of Education. </w:t>
      </w:r>
      <w:r w:rsidRPr="00781112">
        <w:rPr>
          <w:color w:val="000000" w:themeColor="text1"/>
        </w:rPr>
        <w:br/>
        <w:t xml:space="preserve">3. Skilled workforce and economic development, as measured by evidence of employment and earnings. </w:t>
      </w:r>
      <w:r w:rsidRPr="00781112">
        <w:rPr>
          <w:color w:val="000000" w:themeColor="text1"/>
        </w:rPr>
        <w:br/>
        <w:t xml:space="preserve">4. Quality efficient services, as measured by evidence of return on investment.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In collaboration with stakeholders and discretionary projects throughout the state of Florida, the bureau continues to see cohort graduation rates for SWDs increase from 77% in 2020-21 to 83.50% in 2021-22. The gap in graduation rates continues to decrease between students without disabilities and students with disabilities from 10.2% to 3.7% during the same </w:t>
      </w:r>
      <w:proofErr w:type="gramStart"/>
      <w:r w:rsidRPr="00781112">
        <w:t>time period</w:t>
      </w:r>
      <w:proofErr w:type="gramEnd"/>
      <w:r w:rsidRPr="00781112">
        <w:t>. The bureau believes these data strongly indicate that efforts from stakeholders and the SSIP are having a positive impact on SWDs, and that the direction the bureau has taken is providing the desired result. The bureau will continue to strive for even greater improvement in graduation rates for SWDs and reducing the gap between students without disabilities and students with disabilities. Additionally, the bureau will continue to evaluate the data to determine the efficiency and production of the SSIP.</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BEESS staff engaged members of the State Advisory Panel (SAP), parent center staff, parents from local and statewide advocacy and advisory committees, and individual parents in setting targets, analyzing data, developing improvement strategies, and evaluating progress. This engagement occurred through weekly memos from BEESS, emails to various stakeholder email groups, and scheduled meetings.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BEESS staff engaged members of the State Advisory Panel (SAP), parent center staff, parents from local and statewide advocacy and advisory committees, and individual parents in setting targets, analyzing data, developing improvement strategies, and evaluating progress. Florida recognizes that stakeholder input is vital to develop and maintain successful educational programs. Multiple internal and external stakeholders are involved in identifying SSIP improvement strategies necessary to ensure that all students with disabilities graduate from high school with a standard diploma and college, </w:t>
      </w:r>
      <w:proofErr w:type="gramStart"/>
      <w:r w:rsidRPr="00781112">
        <w:rPr>
          <w:color w:val="000000" w:themeColor="text1"/>
        </w:rPr>
        <w:t>career</w:t>
      </w:r>
      <w:proofErr w:type="gramEnd"/>
      <w:r w:rsidRPr="00781112">
        <w:rPr>
          <w:color w:val="000000" w:themeColor="text1"/>
        </w:rPr>
        <w:t xml:space="preserve"> and life ready. The FDOE collaborates with stakeholders, including parents, students, educators and administrators from LEAs, state agencies, advocacy groups, institutions of higher education, discretionary projects, federally funded parent support groups. Many of these same stakeholders are also represented on the SAP. Stakeholders, including SAP members, participate in data analysis, provide feedback on areas of concern regarding the performance of students with disabilities and assist in identifying the root causes of low performance. They also provide information about the overall strengths and weaknesses of the state’s infrastructure. Stakeholder input is also gathered via strategic planning teams that are responsible for the development and implementation of the strategic plan. This five-year plan lists the specific actions and activities that must be completed </w:t>
      </w:r>
      <w:proofErr w:type="gramStart"/>
      <w:r w:rsidRPr="00781112">
        <w:rPr>
          <w:color w:val="000000" w:themeColor="text1"/>
        </w:rPr>
        <w:t>in order to</w:t>
      </w:r>
      <w:proofErr w:type="gramEnd"/>
      <w:r w:rsidRPr="00781112">
        <w:rPr>
          <w:color w:val="000000" w:themeColor="text1"/>
        </w:rPr>
        <w:t xml:space="preserve"> achieve the targets noted in the State Performance Plan. The plan also provides a venue to record progress made toward completing the actions and activities. </w:t>
      </w:r>
      <w:proofErr w:type="gramStart"/>
      <w:r w:rsidRPr="00781112">
        <w:rPr>
          <w:color w:val="000000" w:themeColor="text1"/>
        </w:rPr>
        <w:t>All of</w:t>
      </w:r>
      <w:proofErr w:type="gramEnd"/>
      <w:r w:rsidRPr="00781112">
        <w:rPr>
          <w:color w:val="000000" w:themeColor="text1"/>
        </w:rPr>
        <w:t xml:space="preserve"> the activities of the bureau are aimed at raising the graduation rate of students with disabilities.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lastRenderedPageBreak/>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BEESS, in partnership with its discretionary project focused on transition for students with disabilities, Project 10, and in alignment with state specific legislative changes, will perform a state level review of transition supports specific to students with disabilities and identify promising practices to disseminate to LEAs and use in trainings. The bureau will also lead efforts to implement state required transition components to the individual educational plans of students with disabilities at an earlier age and perform desktop monitoring to identify additional training and activities needed for LEAs.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Data collection, desktop monitoring, and a review of LEA current practices is ongoing. By July 1, 2023, results will be reviewed and a first draft of results, including the identification of LEAs with promising practices, will be produced. The report will be disseminated to LEAs by January 2023, and targeted training to include these results will begin that spring. Project 10 will continue an annual survey of LEA practices and data for the next five years for this purpose.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bureau has not identified barriers </w:t>
      </w:r>
      <w:proofErr w:type="gramStart"/>
      <w:r w:rsidRPr="00781112">
        <w:rPr>
          <w:color w:val="000000" w:themeColor="text1"/>
        </w:rPr>
        <w:t>at this time</w:t>
      </w:r>
      <w:proofErr w:type="gramEnd"/>
      <w:r w:rsidRPr="00781112">
        <w:rPr>
          <w:color w:val="000000" w:themeColor="text1"/>
        </w:rPr>
        <w: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In the FFY2020 strategic plan, the baseline for indicator 17 was updated to baseline year 2020, with the graduation rate at 82.32%. The previous baseline was established in 2006. With stakeholder input, the bureau decided to update the baseline to a more recent year that provides a better comparison to the current environment in the state of Florida.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The State did not provide an explanation for revising the baseline using data from FFY 2020. If the State uses data from FFY 2020 as the baseline, the State must provide an explanation for that revision in the FFY 2021 SPP/APR.</w:t>
      </w:r>
      <w:r w:rsidRPr="00781112">
        <w:rPr>
          <w:color w:val="000000" w:themeColor="text1"/>
        </w:rPr>
        <w:br/>
      </w:r>
      <w:r w:rsidRPr="00781112">
        <w:rPr>
          <w:color w:val="000000" w:themeColor="text1"/>
        </w:rPr>
        <w:br/>
        <w:t>The State did not provide targets, as required by the measurement table. The State must provide the required targets for FFY 2020 through FFY 2025 in the FFY 2021 SPP/APR.</w:t>
      </w:r>
      <w:r w:rsidRPr="00781112">
        <w:rPr>
          <w:color w:val="000000" w:themeColor="text1"/>
        </w:rPr>
        <w:br/>
      </w:r>
      <w:r w:rsidRPr="00781112">
        <w:rPr>
          <w:color w:val="000000" w:themeColor="text1"/>
        </w:rPr>
        <w:br/>
        <w:t xml:space="preserve">The State provided data for a cohort graduation gap measure in its narrative. If these data are intended to be a second State Identified Measurable Result (SiMR), the State must report the data, and related targets for FFY 2020 through FFY 2025, in the FFY 2021 SPP/APR. Specifically, these data and targets must be included in the FFY 2021 SPP/APR target and data tables. </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revised its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Chief State School Officer</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Jessica Brattain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Bureau Chief</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Jessica.Brattain@fldoe.org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8502455128</w:t>
      </w:r>
    </w:p>
    <w:bookmarkEnd w:id="9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w:t>
      </w:r>
      <w:proofErr w:type="gramStart"/>
      <w:r w:rsidRPr="00395B6C">
        <w:t>23  1:56:41</w:t>
      </w:r>
      <w:proofErr w:type="gramEnd"/>
      <w:r w:rsidRPr="00395B6C">
        <w:t xml:space="preserve">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E8142AE" w14:textId="4A5EA4C8" w:rsidR="00614DBE" w:rsidRPr="00614DBE" w:rsidRDefault="00614DBE" w:rsidP="00614DBE">
      <w:pPr>
        <w:rPr>
          <w:b/>
          <w:bCs/>
          <w:sz w:val="20"/>
          <w:szCs w:val="28"/>
        </w:rPr>
      </w:pPr>
      <w:r w:rsidRPr="00614DBE">
        <w:rPr>
          <w:b/>
          <w:bCs/>
          <w:sz w:val="20"/>
          <w:szCs w:val="28"/>
        </w:rPr>
        <w:t>Florida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88%</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83%</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42%</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39%</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90%</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87%</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83%</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60%</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88%</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24%</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88%</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12</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97.23%</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99.98%</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97.92%</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B5D9BD8" w14:textId="77777777" w:rsidR="00614DBE" w:rsidRPr="00614DBE" w:rsidRDefault="00614DBE" w:rsidP="00614DBE">
      <w:pPr>
        <w:rPr>
          <w:b/>
          <w:bCs/>
          <w:sz w:val="20"/>
          <w:szCs w:val="28"/>
        </w:rPr>
      </w:pPr>
      <w:r w:rsidRPr="00614DBE">
        <w:rPr>
          <w:b/>
          <w:bCs/>
          <w:sz w:val="20"/>
          <w:szCs w:val="28"/>
        </w:rPr>
        <w:t>Florida</w:t>
      </w:r>
    </w:p>
    <w:p w14:paraId="55398985" w14:textId="77777777" w:rsidR="00614DBE" w:rsidRPr="00614DBE" w:rsidRDefault="00614DBE" w:rsidP="00614DBE"/>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w:t>
      </w:r>
      <w:proofErr w:type="gramStart"/>
      <w:r w:rsidRPr="008A41E6">
        <w:t>collection</w:t>
      </w:r>
      <w:proofErr w:type="gramEnd"/>
      <w:r w:rsidRPr="008A41E6">
        <w:t xml:space="preserve">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DCE1EBF" w14:textId="77777777" w:rsidR="00614DBE" w:rsidRDefault="00614DBE">
      <w:pPr>
        <w:spacing w:before="0" w:after="200" w:line="276" w:lineRule="auto"/>
      </w:pPr>
    </w:p>
    <w:p w14:paraId="10BA59E7" w14:textId="31FE9FA7" w:rsidR="0058254D" w:rsidRDefault="00614DBE">
      <w:pPr>
        <w:spacing w:before="0" w:after="200" w:line="276" w:lineRule="auto"/>
      </w:pPr>
      <w:r>
        <w:object w:dxaOrig="1540" w:dyaOrig="997" w14:anchorId="462DF63D">
          <v:shape id="_x0000_i1026" type="#_x0000_t75" alt="FL-B-DR-2021-22" style="width:77.4pt;height:50.4pt" o:ole="">
            <v:imagedata r:id="rId12" o:title=""/>
          </v:shape>
          <o:OLEObject Type="Embed" ProgID="Acrobat.Document.DC" ShapeID="_x0000_i1026" DrawAspect="Icon" ObjectID="_1752998612"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7" w:name="Introduction"/>
      <w:bookmarkStart w:id="98" w:name="_Hlk124349373"/>
      <w:bookmarkEnd w:id="3"/>
      <w:bookmarkEnd w:id="97"/>
      <w:bookmarkEnd w:id="98"/>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923B" w14:textId="77777777" w:rsidR="00ED2C10" w:rsidRDefault="00ED2C10" w:rsidP="000802F7">
      <w:pPr>
        <w:spacing w:before="0" w:after="0"/>
      </w:pPr>
      <w:r>
        <w:separator/>
      </w:r>
    </w:p>
  </w:endnote>
  <w:endnote w:type="continuationSeparator" w:id="0">
    <w:p w14:paraId="055E2326" w14:textId="77777777" w:rsidR="00ED2C10" w:rsidRDefault="00ED2C10" w:rsidP="000802F7">
      <w:pPr>
        <w:spacing w:before="0" w:after="0"/>
      </w:pPr>
      <w:r>
        <w:continuationSeparator/>
      </w:r>
    </w:p>
  </w:endnote>
  <w:endnote w:type="continuationNotice" w:id="1">
    <w:p w14:paraId="008A5C10" w14:textId="77777777" w:rsidR="00ED2C10" w:rsidRDefault="00ED2C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21F" w14:textId="77777777" w:rsidR="00ED2C10" w:rsidRDefault="00ED2C10" w:rsidP="000802F7">
      <w:pPr>
        <w:spacing w:before="0" w:after="0"/>
      </w:pPr>
      <w:r>
        <w:separator/>
      </w:r>
    </w:p>
  </w:footnote>
  <w:footnote w:type="continuationSeparator" w:id="0">
    <w:p w14:paraId="1F83E72F" w14:textId="77777777" w:rsidR="00ED2C10" w:rsidRDefault="00ED2C10" w:rsidP="000802F7">
      <w:pPr>
        <w:spacing w:before="0" w:after="0"/>
      </w:pPr>
      <w:r>
        <w:continuationSeparator/>
      </w:r>
    </w:p>
  </w:footnote>
  <w:footnote w:type="continuationNotice" w:id="1">
    <w:p w14:paraId="5CFB8596" w14:textId="77777777" w:rsidR="00ED2C10" w:rsidRDefault="00ED2C10">
      <w:pPr>
        <w:spacing w:before="0" w:after="0"/>
      </w:pPr>
    </w:p>
  </w:footnote>
  <w:footnote w:id="2">
    <w:p w14:paraId="3ED4F70E" w14:textId="114F57E2" w:rsidR="00614DBE" w:rsidRPr="00747CDF" w:rsidRDefault="00614DBE" w:rsidP="00614DBE">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747CDF">
        <w:rPr>
          <w:rFonts w:cs="Arial"/>
          <w:szCs w:val="16"/>
        </w:rPr>
        <w:t>ent data source to report data under this indicator.</w:t>
      </w:r>
      <w:bookmarkEnd w:id="5"/>
    </w:p>
  </w:footnote>
  <w:footnote w:id="3">
    <w:p w14:paraId="5FF187DC" w14:textId="106EDEF7" w:rsidR="00747CDF" w:rsidRDefault="00747CDF">
      <w:pPr>
        <w:pStyle w:val="FootnoteText"/>
      </w:pPr>
      <w:r w:rsidRPr="00747CDF">
        <w:rPr>
          <w:rStyle w:val="FootnoteReference"/>
          <w:sz w:val="16"/>
          <w:szCs w:val="16"/>
        </w:rPr>
        <w:footnoteRef/>
      </w:r>
      <w:r w:rsidRPr="00747CDF">
        <w:rPr>
          <w:sz w:val="16"/>
          <w:szCs w:val="16"/>
        </w:rPr>
        <w:t xml:space="preserve"> </w:t>
      </w:r>
      <w:r w:rsidRPr="00747CDF">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8pt;height:18.6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6D1"/>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1BE"/>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DBE"/>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CDF"/>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68A"/>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3A14"/>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37C"/>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BC6"/>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ABD"/>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C10"/>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0EB15-0C6A-4ABC-A13C-9E8600405086}"/>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12</TotalTime>
  <Pages>83</Pages>
  <Words>41059</Words>
  <Characters>234038</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9</cp:revision>
  <cp:lastPrinted>2014-08-19T16:56:00Z</cp:lastPrinted>
  <dcterms:created xsi:type="dcterms:W3CDTF">2023-06-28T17:15:00Z</dcterms:created>
  <dcterms:modified xsi:type="dcterms:W3CDTF">2023-08-08T15:16:00Z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