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Delaware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DHSS Birth to Three Early Intervention Program - Administration (hereafter referred to as Administration) has multiple general components in place to ensure that Part C requirements are met. This is accomplished through sound policies and procedures; a statewide data system; monitoring and a system to ensure correction of noncompliance; fiscal management; coordination with interagency partners; stakeholder engagement; professional development and technical assistance; and a system of dispute resolution. The Program leverages these general supervision components to support the two Birth to Three Early Intervention Regional Programs – Child Development Watch (hereafter referred to as CDWs) and the 10 external early intervention service (EIS) provider agencies.</w:t>
      </w:r>
      <w:r w:rsidRPr="00ED172B">
        <w:rPr>
          <w:color w:val="000000" w:themeColor="text1"/>
        </w:rPr>
        <w:br/>
      </w:r>
      <w:r w:rsidRPr="00ED172B">
        <w:rPr>
          <w:color w:val="000000" w:themeColor="text1"/>
        </w:rPr>
        <w:br/>
        <w:t xml:space="preserve">FFY 2021 has been another pivotal year for addressing compliance and quality performance issues in the state. The Program focused much of its attention on improving policy updates and strengthening the relationship with parents, staff and providers to enrich the State Systemic Improvement Plan (SSIP). Program policies and processes have been developed to focus on data being timely, complete, and accurate so that Administration can quickly attend to issues that need improvement. To continue in its efforts to improve compliance and outcomes for infants and toddlers with disabilities and their families, Administration continued to implement the strategies included in the Corrective Action Plan that was submitted to OSEP in response to OSEP’s January 19, </w:t>
      </w:r>
      <w:proofErr w:type="gramStart"/>
      <w:r w:rsidRPr="00ED172B">
        <w:rPr>
          <w:color w:val="000000" w:themeColor="text1"/>
        </w:rPr>
        <w:t>2021</w:t>
      </w:r>
      <w:proofErr w:type="gramEnd"/>
      <w:r w:rsidRPr="00ED172B">
        <w:rPr>
          <w:color w:val="000000" w:themeColor="text1"/>
        </w:rPr>
        <w:t xml:space="preserve"> Differentiated Monitoring and Support (DMS) letter based on its December 2019 DMS visit to the state. In FFY 2021 Administration also accessed OSEP-recommended technical assistance from the Center for IDEA Early Childhood Data Systems (</w:t>
      </w:r>
      <w:proofErr w:type="spellStart"/>
      <w:r w:rsidRPr="00ED172B">
        <w:rPr>
          <w:color w:val="000000" w:themeColor="text1"/>
        </w:rPr>
        <w:t>DaSy</w:t>
      </w:r>
      <w:proofErr w:type="spellEnd"/>
      <w:r w:rsidRPr="00ED172B">
        <w:rPr>
          <w:color w:val="000000" w:themeColor="text1"/>
        </w:rPr>
        <w:t xml:space="preserve">), Early Childhood Personnel Center (ECPC), the Early Childhood Technical Assistance Center (ECTA), and the Center for IDEA Fiscal Reporting (CIFR). Administration also contracted with </w:t>
      </w:r>
      <w:proofErr w:type="spellStart"/>
      <w:r w:rsidRPr="00ED172B">
        <w:rPr>
          <w:color w:val="000000" w:themeColor="text1"/>
        </w:rPr>
        <w:t>WestEd</w:t>
      </w:r>
      <w:proofErr w:type="spellEnd"/>
      <w:r w:rsidRPr="00ED172B">
        <w:rPr>
          <w:color w:val="000000" w:themeColor="text1"/>
        </w:rPr>
        <w:t xml:space="preserve"> for additional technical assistance support. Delaware has continued to provide OSEP with updates and additional information so that OSEP is aware of Administration’s progress and assist them in determining the scope of engagement necessary to improve compliance. This will include further collaboration with OSEP-funded technical assistance centers and independent contractors, working with stakeholders to launch a root cause analysis process to identify the factors that contributed to low compliance, increasing training and technical assistance to Regional Programs - CDW, and accessing additional OSEP engagement and follow-up.</w:t>
      </w:r>
      <w:r w:rsidRPr="00ED172B">
        <w:rPr>
          <w:color w:val="000000" w:themeColor="text1"/>
        </w:rPr>
        <w:br/>
      </w:r>
      <w:r w:rsidRPr="00ED172B">
        <w:rPr>
          <w:color w:val="000000" w:themeColor="text1"/>
        </w:rPr>
        <w:br/>
        <w:t>The Program engages with DHSS leadership, the two CDWs, EIS provider agencies, the Interagency Coordinating Council (ICC), Parent Information Center (PIC), the Department of Education (DOE), Early Head Start, Division of Children, Youth and their Families (DSCYF), and collaborates with the Lead Prevention Program as well as other interested partners to engage in continuous improvement, expand on outreach and engagement with family members, and plan for system changes to ensure high quality statewide early intervention services.</w:t>
      </w:r>
      <w:r w:rsidRPr="00ED172B">
        <w:rPr>
          <w:color w:val="000000" w:themeColor="text1"/>
        </w:rPr>
        <w:br/>
      </w:r>
      <w:r w:rsidRPr="00ED172B">
        <w:rPr>
          <w:color w:val="000000" w:themeColor="text1"/>
        </w:rPr>
        <w:br/>
        <w:t xml:space="preserve">Stakeholder groups determined, when developing the FFY 2020 APR, that they would meet after the FFY 2021 data was collected to determine the need for review of the targets.  It is in the intention of the stakeholder group to begin quarterly meetings to review data and determine appropriate target settings for the FFY 2022 APR.   </w:t>
      </w:r>
      <w:r w:rsidRPr="00ED172B">
        <w:rPr>
          <w:color w:val="000000" w:themeColor="text1"/>
        </w:rPr>
        <w:br/>
      </w:r>
      <w:r w:rsidRPr="00ED172B">
        <w:rPr>
          <w:color w:val="000000" w:themeColor="text1"/>
        </w:rPr>
        <w:br/>
        <w:t xml:space="preserve"> As was stated previously, the Program continues to engage with various programs to enlist parent involvement in discussions that affect the birth to three population.  Through various outreach events attended with our stakeholder groups, we </w:t>
      </w:r>
      <w:proofErr w:type="gramStart"/>
      <w:r w:rsidRPr="00ED172B">
        <w:rPr>
          <w:color w:val="000000" w:themeColor="text1"/>
        </w:rPr>
        <w:t>are able to</w:t>
      </w:r>
      <w:proofErr w:type="gramEnd"/>
      <w:r w:rsidRPr="00ED172B">
        <w:rPr>
          <w:color w:val="000000" w:themeColor="text1"/>
        </w:rPr>
        <w:t xml:space="preserve"> reach difficult or underserved populations not only for child find activities but also to make efforts for recruitment to our program as parent representative stakeholders.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While the availability of services was made easier with the parents’ choice of virtual versus in home visits </w:t>
      </w:r>
      <w:proofErr w:type="gramStart"/>
      <w:r w:rsidRPr="00ED172B">
        <w:rPr>
          <w:color w:val="000000" w:themeColor="text1"/>
        </w:rPr>
        <w:t>in light of</w:t>
      </w:r>
      <w:proofErr w:type="gramEnd"/>
      <w:r w:rsidRPr="00ED172B">
        <w:rPr>
          <w:color w:val="000000" w:themeColor="text1"/>
        </w:rPr>
        <w:t xml:space="preserve"> the pandemic. the effects of the COVID pandemic continued to impact the provision of services for families. However, even with the challenges that were presented the CDWs were able to carry out successful delivery of early intervention services, collected and entered data, made timely payments to contracted providers, and provided services to meet the individual needs of children and families in the state.   </w:t>
      </w:r>
      <w:r w:rsidRPr="00ED172B">
        <w:rPr>
          <w:color w:val="000000" w:themeColor="text1"/>
        </w:rPr>
        <w:br/>
        <w:t>Data System: The Birth to Three data system (</w:t>
      </w:r>
      <w:proofErr w:type="spellStart"/>
      <w:r w:rsidRPr="00ED172B">
        <w:rPr>
          <w:color w:val="000000" w:themeColor="text1"/>
        </w:rPr>
        <w:t>DHSSCares</w:t>
      </w:r>
      <w:proofErr w:type="spellEnd"/>
      <w:r w:rsidRPr="00ED172B">
        <w:rPr>
          <w:color w:val="000000" w:themeColor="text1"/>
        </w:rPr>
        <w:t xml:space="preserve">) is a vital component to the general supervision system. The two CDWs enter and maintain their own data in </w:t>
      </w:r>
      <w:proofErr w:type="spellStart"/>
      <w:r w:rsidRPr="00ED172B">
        <w:rPr>
          <w:color w:val="000000" w:themeColor="text1"/>
        </w:rPr>
        <w:t>DHSSCares</w:t>
      </w:r>
      <w:proofErr w:type="spellEnd"/>
      <w:r w:rsidRPr="00ED172B">
        <w:rPr>
          <w:color w:val="000000" w:themeColor="text1"/>
        </w:rPr>
        <w:t xml:space="preserve">. The data system is web-based to allow for data to be entered from state offices and remote, third-party locations with a dual factor authentication process for users to securely access the system. The system includes child demographics, referral, Part C eligibility, evaluations, assessments, family-directed assessments, Individual Family Service Plan (IFSP) data, service delivery data, child outcome scores, progress notes and transition conference details. This allows for a wide array of performance tracking and management reports to be generated at the state and regional levels. </w:t>
      </w:r>
      <w:r w:rsidRPr="00ED172B">
        <w:rPr>
          <w:color w:val="000000" w:themeColor="text1"/>
        </w:rPr>
        <w:br/>
        <w:t xml:space="preserve">Through a SQL data system, Administration can extract raw data from </w:t>
      </w:r>
      <w:proofErr w:type="spellStart"/>
      <w:r w:rsidRPr="00ED172B">
        <w:rPr>
          <w:color w:val="000000" w:themeColor="text1"/>
        </w:rPr>
        <w:t>DHSSCares</w:t>
      </w:r>
      <w:proofErr w:type="spellEnd"/>
      <w:r w:rsidRPr="00ED172B">
        <w:rPr>
          <w:color w:val="000000" w:themeColor="text1"/>
        </w:rPr>
        <w:t xml:space="preserve"> to generate Annual Child Count reports, Child Outcome Summary (COS) reports, and other data required for compliance and quality management purposes. Data training and TA are provided by Birth to Three – Administration to all Regional Program staff.  </w:t>
      </w:r>
      <w:r w:rsidRPr="00ED172B">
        <w:rPr>
          <w:color w:val="000000" w:themeColor="text1"/>
        </w:rPr>
        <w:br/>
      </w:r>
      <w:r w:rsidRPr="00ED172B">
        <w:rPr>
          <w:color w:val="000000" w:themeColor="text1"/>
        </w:rPr>
        <w:br/>
      </w:r>
      <w:proofErr w:type="gramStart"/>
      <w:r w:rsidRPr="00ED172B">
        <w:rPr>
          <w:color w:val="000000" w:themeColor="text1"/>
        </w:rPr>
        <w:t>As a way to</w:t>
      </w:r>
      <w:proofErr w:type="gramEnd"/>
      <w:r w:rsidRPr="00ED172B">
        <w:rPr>
          <w:color w:val="000000" w:themeColor="text1"/>
        </w:rPr>
        <w:t xml:space="preserve"> enhance the quality of data and its usefulness in efficient and effective data based strategic planning, DHSS has contracted and coordinated with a vendor who is in the process of creating a more enhanced data system which will replace the current </w:t>
      </w:r>
      <w:proofErr w:type="spellStart"/>
      <w:r w:rsidRPr="00ED172B">
        <w:rPr>
          <w:color w:val="000000" w:themeColor="text1"/>
        </w:rPr>
        <w:t>DHSSCares</w:t>
      </w:r>
      <w:proofErr w:type="spellEnd"/>
      <w:r w:rsidRPr="00ED172B">
        <w:rPr>
          <w:color w:val="000000" w:themeColor="text1"/>
        </w:rPr>
        <w:t xml:space="preserve"> system.  It is anticipated that the new data system will be ready for production and data entry by July 1, 2023.</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Within DHSS as the lead agency, Administration is responsible for the general administration and supervision of programs and activities administered by the two CDWs and external early intervention service (EIS) providers. These responsibilities include:</w:t>
      </w:r>
      <w:r w:rsidRPr="00ED172B">
        <w:rPr>
          <w:color w:val="000000" w:themeColor="text1"/>
          <w:szCs w:val="16"/>
        </w:rPr>
        <w:br/>
      </w:r>
      <w:r w:rsidRPr="00ED172B">
        <w:rPr>
          <w:color w:val="000000" w:themeColor="text1"/>
          <w:szCs w:val="16"/>
        </w:rPr>
        <w:br/>
        <w:t xml:space="preserve">The monitoring of programs through annual chart review, monthly compliance review and COS </w:t>
      </w:r>
      <w:proofErr w:type="gramStart"/>
      <w:r w:rsidRPr="00ED172B">
        <w:rPr>
          <w:color w:val="000000" w:themeColor="text1"/>
          <w:szCs w:val="16"/>
        </w:rPr>
        <w:t>monitoring,.</w:t>
      </w:r>
      <w:proofErr w:type="gramEnd"/>
      <w:r w:rsidRPr="00ED172B">
        <w:rPr>
          <w:color w:val="000000" w:themeColor="text1"/>
          <w:szCs w:val="16"/>
        </w:rPr>
        <w:t xml:space="preserve"> Administration offers weekly alternating office hours, one for general/process and one for data/process concerns and questions. As part of the provider contract and process monitoring administration has begun the first of 4 cohorts of EIS provider monitoring. This monitoring is conducted via open interview process to determine if the EIS agencies </w:t>
      </w:r>
      <w:proofErr w:type="gramStart"/>
      <w:r w:rsidRPr="00ED172B">
        <w:rPr>
          <w:color w:val="000000" w:themeColor="text1"/>
          <w:szCs w:val="16"/>
        </w:rPr>
        <w:t>are able to</w:t>
      </w:r>
      <w:proofErr w:type="gramEnd"/>
      <w:r w:rsidRPr="00ED172B">
        <w:rPr>
          <w:color w:val="000000" w:themeColor="text1"/>
          <w:szCs w:val="16"/>
        </w:rPr>
        <w:t xml:space="preserve"> ensure that services are conducted in a timely manner (30 days from the date of written parental consent) and that the provision of all services are consistent with the IFSP. </w:t>
      </w:r>
      <w:r w:rsidRPr="00ED172B">
        <w:rPr>
          <w:color w:val="000000" w:themeColor="text1"/>
          <w:szCs w:val="16"/>
        </w:rPr>
        <w:br/>
        <w:t xml:space="preserve">Correcting any noncompliance identified through monitoring as soon as possible and in no case later than one year after the lead agency’s identification of the noncompliance. Administration engages in continual monthly data review for each Regional Program in compliance indicators where there was less than 100% compliance. </w:t>
      </w:r>
      <w:r w:rsidRPr="00ED172B">
        <w:rPr>
          <w:color w:val="000000" w:themeColor="text1"/>
          <w:szCs w:val="16"/>
        </w:rPr>
        <w:br/>
        <w:t xml:space="preserve">The identification and coordination of available resources for EI services within the State, including those from federal, state, local, and private sources. </w:t>
      </w:r>
      <w:r w:rsidRPr="00ED172B">
        <w:rPr>
          <w:color w:val="000000" w:themeColor="text1"/>
          <w:szCs w:val="16"/>
        </w:rPr>
        <w:lastRenderedPageBreak/>
        <w:t xml:space="preserve">Administration continues to contract with the Parent Information Center (PIC) of Delaware to support underserved populations and family outreach. </w:t>
      </w:r>
      <w:r w:rsidRPr="00ED172B">
        <w:rPr>
          <w:color w:val="000000" w:themeColor="text1"/>
          <w:szCs w:val="16"/>
        </w:rPr>
        <w:br/>
        <w:t xml:space="preserve">Within DHSS, the Division of Public Health (DPH) is charged with the single line of authority. DPH has delegated responsibility for policy and monitoring to Birth to Three Administration. </w:t>
      </w:r>
      <w:proofErr w:type="gramStart"/>
      <w:r w:rsidRPr="00ED172B">
        <w:rPr>
          <w:color w:val="000000" w:themeColor="text1"/>
          <w:szCs w:val="16"/>
        </w:rPr>
        <w:t>Administration,</w:t>
      </w:r>
      <w:proofErr w:type="gramEnd"/>
      <w:r w:rsidRPr="00ED172B">
        <w:rPr>
          <w:color w:val="000000" w:themeColor="text1"/>
          <w:szCs w:val="16"/>
        </w:rPr>
        <w:t xml:space="preserve"> assigns financial responsibility through Memoranda of Understanding with key state agency partners (DOE and DSCYF) and fiscal management based on federal and state fiscal requirements. </w:t>
      </w:r>
      <w:r w:rsidRPr="00ED172B">
        <w:rPr>
          <w:color w:val="000000" w:themeColor="text1"/>
          <w:szCs w:val="16"/>
        </w:rPr>
        <w:br/>
      </w:r>
      <w:r w:rsidRPr="00ED172B">
        <w:rPr>
          <w:color w:val="000000" w:themeColor="text1"/>
          <w:szCs w:val="16"/>
        </w:rPr>
        <w:br/>
        <w:t>Administration ensures timely dispute resolution through the establishment of procedures in its Birth to Three Early Intervention Policies and Procedures Manual (Manual) for mediation, due process hearings, and state complaints. Administration has provided training regarding Part C to due process hearing officers and mediators. Further, Administration is in the process of finalizing an internal dispute resolution processes guidance document.</w:t>
      </w:r>
      <w:r w:rsidRPr="00ED172B">
        <w:rPr>
          <w:color w:val="000000" w:themeColor="text1"/>
          <w:szCs w:val="16"/>
        </w:rPr>
        <w:br/>
      </w:r>
      <w:r w:rsidRPr="00ED172B">
        <w:rPr>
          <w:color w:val="000000" w:themeColor="text1"/>
          <w:szCs w:val="16"/>
        </w:rPr>
        <w:br/>
        <w:t xml:space="preserve">In addressing integrated monitoring activities, Administration annually monitors the CDWs on compliance and performance measures, based on the collection, analysis and utilization of data from the statewide data system as well as the Family Outcomes Survey report. Administration developed an improved monitoring tool and process steps. Administration conducts its monitoring for the SPP/APR compliance indicators via record reviews. Based on the information collected through this monitoring, Administration issued monitoring reports to each of the CDWs and worked with each CDW to identify, document, and sustain individual and systemic correction. </w:t>
      </w:r>
      <w:r w:rsidRPr="00ED172B">
        <w:rPr>
          <w:color w:val="000000" w:themeColor="text1"/>
          <w:szCs w:val="16"/>
        </w:rPr>
        <w:br/>
        <w:t>Beginning in FFY 2020 and into FFY 2021, Administration developed of a more in-depth accountability system for the monitoring and accountability component of the General Supervision system. The program Corrective Action Plan (</w:t>
      </w:r>
      <w:proofErr w:type="spellStart"/>
      <w:r w:rsidRPr="00ED172B">
        <w:rPr>
          <w:color w:val="000000" w:themeColor="text1"/>
          <w:szCs w:val="16"/>
        </w:rPr>
        <w:t>pCAP</w:t>
      </w:r>
      <w:proofErr w:type="spellEnd"/>
      <w:r w:rsidRPr="00ED172B">
        <w:rPr>
          <w:color w:val="000000" w:themeColor="text1"/>
          <w:szCs w:val="16"/>
        </w:rPr>
        <w:t xml:space="preserve">) template continues to be used as a tool for Administration, the CDWs and external EIS providers for determining reasons for noncompliance, using root cause analysis logic and benchmarks for improvements. </w:t>
      </w:r>
      <w:r w:rsidRPr="00ED172B">
        <w:rPr>
          <w:color w:val="000000" w:themeColor="text1"/>
          <w:szCs w:val="16"/>
        </w:rPr>
        <w:br/>
        <w:t xml:space="preserve">In order to verify correction of previously identified noncompliance as required by OSEP Memo 09-02, Administration has established and implemented procedures for determining whether a Regional Program has achieved both systemic and Individual correction. The state verifies that the Regional Program: (1) is correctly implementing the specific regulatory requirements based on a review of updated data showing two consecutive months of 100% compliance; and (2) has corrected each individual case of noncompliance (although late), unless the child is no longer within the jurisdiction of the early intervention program or provider. In monitoring reports issued to the CDWs on January 4, 2021, Administration made findings of noncompliance based on FFY 2019 data, requiring correction by January 4, 2022. DHSS is reporting, in each of the compliance indicators in this SPP/APR, on the status of the correction of those FFY 2020 findings of noncompliance, including detailing the actions that DHSS has taken to verify systemic and individual correction and the actions that Administration has taken when the CDWs have not yet corrected the noncompliance originally identified. Administration has provided targeted technical assistance and training to support compliance by the CDWs. In order to ensure that individual instances of noncompliance are addressed, the Data Manager reviewed progress notes and data system entries. By utilizing these measures, the Data Manager was able to determine that, while in some cases timelines were not met, those services or actions were completed, although late. </w:t>
      </w:r>
      <w:r w:rsidRPr="00ED172B">
        <w:rPr>
          <w:color w:val="000000" w:themeColor="text1"/>
          <w:szCs w:val="16"/>
        </w:rPr>
        <w:br/>
      </w:r>
      <w:r w:rsidRPr="00ED172B">
        <w:rPr>
          <w:color w:val="000000" w:themeColor="text1"/>
          <w:szCs w:val="16"/>
        </w:rPr>
        <w:br/>
        <w:t xml:space="preserve">Administration staff participate in outreach events occur throughout the year. They attend and provide resource materials to at risk populations, general public, and EI professionals. Some of the outreach activities are specifically designed to reach underserved population. A new brochure was created and distributed to outreach partners. This brochure about the Birth to Three Program and the importance of developmental screenings, is available in English, Spanish, and Haitian. Foster families, homeless or displaced families and multi-cultural populations are </w:t>
      </w:r>
      <w:proofErr w:type="gramStart"/>
      <w:r w:rsidRPr="00ED172B">
        <w:rPr>
          <w:color w:val="000000" w:themeColor="text1"/>
          <w:szCs w:val="16"/>
        </w:rPr>
        <w:t>a main focus</w:t>
      </w:r>
      <w:proofErr w:type="gramEnd"/>
      <w:r w:rsidRPr="00ED172B">
        <w:rPr>
          <w:color w:val="000000" w:themeColor="text1"/>
          <w:szCs w:val="16"/>
        </w:rPr>
        <w:t xml:space="preserve"> of several of the outreach activities. Statewide collaboration occurs with many families and child servicing organizations </w:t>
      </w:r>
      <w:proofErr w:type="gramStart"/>
      <w:r w:rsidRPr="00ED172B">
        <w:rPr>
          <w:color w:val="000000" w:themeColor="text1"/>
          <w:szCs w:val="16"/>
        </w:rPr>
        <w:t>including:</w:t>
      </w:r>
      <w:proofErr w:type="gramEnd"/>
      <w:r w:rsidRPr="00ED172B">
        <w:rPr>
          <w:color w:val="000000" w:themeColor="text1"/>
          <w:szCs w:val="16"/>
        </w:rPr>
        <w:t xml:space="preserve"> New Directions Early Head Start, the Child Care Association of Sussex County Delaware, Exceptional Family Member Program at the Dover Air Force Base.</w:t>
      </w:r>
      <w:r w:rsidRPr="00ED172B">
        <w:rPr>
          <w:color w:val="000000" w:themeColor="text1"/>
          <w:szCs w:val="16"/>
        </w:rPr>
        <w:br/>
        <w:t xml:space="preserve">Administration staff also participated in the planning and provision of vendor information tables at conferences. Some of the outreach activities were Mickey Fest, Help Me Grow Anniversary Event, Dover Airforce Base Firehouse Family Day, Milford Community, Rosehill Community, Do Care </w:t>
      </w:r>
      <w:proofErr w:type="spellStart"/>
      <w:r w:rsidRPr="00ED172B">
        <w:rPr>
          <w:color w:val="000000" w:themeColor="text1"/>
          <w:szCs w:val="16"/>
        </w:rPr>
        <w:t>Duoula</w:t>
      </w:r>
      <w:proofErr w:type="spellEnd"/>
      <w:r w:rsidRPr="00ED172B">
        <w:rPr>
          <w:color w:val="000000" w:themeColor="text1"/>
          <w:szCs w:val="16"/>
        </w:rPr>
        <w:t xml:space="preserve"> Foundation Baby Showers, and the Family Shade Summit. The Program experienced a 10 percent increase in the number of referrals due to these outreach activities. To address the increase in the number of referrals, the Program participated in an active EIS provider recruiting regime that was conducted outside of the normal RFP process. Its intent was to have EIS providers move quickly through the contract process while waiting to be approved through the RFP.</w:t>
      </w:r>
      <w:r w:rsidRPr="00ED172B">
        <w:rPr>
          <w:color w:val="000000" w:themeColor="text1"/>
          <w:szCs w:val="16"/>
        </w:rPr>
        <w:br/>
        <w:t>For fiscal management and accountability, Administration has in place a System of Payment policy, approved by OSEP in 2015 and reapproved in August 2021. Administration utilizes a central billing system to process claims. With prior written notification and written parental consent, private and public insurances are accessed to contribute funds for services. The state has had a family fee structure in place for several years, but the System of Payments policy has been revised in 2022 with the removal of family fees. This proposed policy change will be reviewed by the public in Spring 2023 and be submitted as part of the FFY 2023 grant application. If approved by OSEP, it goes into effect beginning July 2023. In addition, Administration ensures that federal Part C funds are not used to supplant other state and federal funding, are used as the payor of last resort, and obligated and liquidated within the allowable timeframe and for appropriate activities.</w:t>
      </w:r>
      <w:r w:rsidRPr="00ED172B">
        <w:rPr>
          <w:color w:val="000000" w:themeColor="text1"/>
          <w:szCs w:val="16"/>
        </w:rPr>
        <w:br/>
        <w:t>Through technical assistance provided by CIFR, Administration fiscal staff have revised and improved billing and fiscal data guidelines for programs, strengthened the communication with finance staff in DHSS to ensure accurate tracking of funding revenue and expenses, and increased oversight of the use of Part C funds by CDWs.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During the past year Administration has engaged in extensive technical assistance to address some of the state-identified needs as well as the information addressed during the OSEP onsite visit. These TA activities included participation in:</w:t>
      </w:r>
      <w:r w:rsidRPr="00ED172B">
        <w:rPr>
          <w:color w:val="000000" w:themeColor="text1"/>
          <w:szCs w:val="16"/>
        </w:rPr>
        <w:br/>
        <w:t xml:space="preserve">- National Service Coordinator Training Workgroup and the subgroup on the Service Coordinator Leadership both supported by DEC and ECPC </w:t>
      </w:r>
      <w:r w:rsidRPr="00ED172B">
        <w:rPr>
          <w:color w:val="000000" w:themeColor="text1"/>
          <w:szCs w:val="16"/>
        </w:rPr>
        <w:br/>
        <w:t>- Part C Data Manager Calls that are set up by ECTA</w:t>
      </w:r>
      <w:r w:rsidRPr="00ED172B">
        <w:rPr>
          <w:color w:val="000000" w:themeColor="text1"/>
          <w:szCs w:val="16"/>
        </w:rPr>
        <w:br/>
        <w:t>- Monthly OSEP TA calls</w:t>
      </w:r>
      <w:r w:rsidRPr="00ED172B">
        <w:rPr>
          <w:color w:val="000000" w:themeColor="text1"/>
          <w:szCs w:val="16"/>
        </w:rPr>
        <w:br/>
        <w:t>- Participation in multiple webinars hosted by national TA Centers</w:t>
      </w:r>
      <w:r w:rsidRPr="00ED172B">
        <w:rPr>
          <w:color w:val="000000" w:themeColor="text1"/>
          <w:szCs w:val="16"/>
        </w:rPr>
        <w:br/>
        <w:t xml:space="preserve">- Participation with CIFR in the Community of Practice calls, 2022 IDEA Fiscal Forum, and engagement in Intensive TA </w:t>
      </w:r>
      <w:r w:rsidRPr="00ED172B">
        <w:rPr>
          <w:color w:val="000000" w:themeColor="text1"/>
          <w:szCs w:val="16"/>
        </w:rPr>
        <w:br/>
        <w:t>- Regular TA meetings and work with independent contractors, Ardith Ferguson (</w:t>
      </w:r>
      <w:proofErr w:type="spellStart"/>
      <w:r w:rsidRPr="00ED172B">
        <w:rPr>
          <w:color w:val="000000" w:themeColor="text1"/>
          <w:szCs w:val="16"/>
        </w:rPr>
        <w:t>WestEd</w:t>
      </w:r>
      <w:proofErr w:type="spellEnd"/>
      <w:r w:rsidRPr="00ED172B">
        <w:rPr>
          <w:color w:val="000000" w:themeColor="text1"/>
          <w:szCs w:val="16"/>
        </w:rPr>
        <w:t xml:space="preserve">) and Larry Ringer (consultant) </w:t>
      </w:r>
      <w:r w:rsidRPr="00ED172B">
        <w:rPr>
          <w:color w:val="000000" w:themeColor="text1"/>
          <w:szCs w:val="16"/>
        </w:rPr>
        <w:br/>
        <w:t xml:space="preserve">- Participation in the 2022 IDIO Conference </w:t>
      </w:r>
      <w:r w:rsidRPr="00ED172B">
        <w:rPr>
          <w:color w:val="000000" w:themeColor="text1"/>
          <w:szCs w:val="16"/>
        </w:rPr>
        <w:br/>
      </w:r>
      <w:r w:rsidRPr="00ED172B">
        <w:rPr>
          <w:color w:val="000000" w:themeColor="text1"/>
          <w:szCs w:val="16"/>
        </w:rPr>
        <w:br/>
        <w:t xml:space="preserve">Administration provides training and technical assistance for each of the two Regional Programs – CDW. Program leadership provides regulatory guidance and technical assistance to ensure progress towards compliance and evidence-based service delivery practices. All new staff are required to participate in a 16-hour training and orientation on federal policies and regulatory guidance on early intervention and service coordination, as well as on the Delaware specific early intervention program. The training modules are also utilized as resources for veteran service coordinators to ensure consistency of information and best practices. Open Office Hours have been maintained by the Part C Coordinator to engage in one-on-one discussion of programmatic concerns with the CDWs. All staff are encouraged to participate. </w:t>
      </w:r>
      <w:r w:rsidRPr="00ED172B">
        <w:rPr>
          <w:color w:val="000000" w:themeColor="text1"/>
          <w:szCs w:val="16"/>
        </w:rPr>
        <w:br/>
      </w:r>
      <w:r w:rsidRPr="00ED172B">
        <w:rPr>
          <w:color w:val="000000" w:themeColor="text1"/>
          <w:szCs w:val="16"/>
        </w:rPr>
        <w:br/>
        <w:t xml:space="preserve">Administration provides individualized, targeted technical assistance as needed, and ongoing TA occurs via phone, email and virtually.  Administration also provides training on the </w:t>
      </w:r>
      <w:proofErr w:type="spellStart"/>
      <w:r w:rsidRPr="00ED172B">
        <w:rPr>
          <w:color w:val="000000" w:themeColor="text1"/>
          <w:szCs w:val="16"/>
        </w:rPr>
        <w:t>DHSSCares</w:t>
      </w:r>
      <w:proofErr w:type="spellEnd"/>
      <w:r w:rsidRPr="00ED172B">
        <w:rPr>
          <w:color w:val="000000" w:themeColor="text1"/>
          <w:szCs w:val="16"/>
        </w:rPr>
        <w:t xml:space="preserve"> data system to allow for consistency in data management and program documentation. One-on-one technical assistance is also available to individual staff as requested or identified through monitoring. Training and ongoing TA are offered on topics such as transition, early childhood outcomes, birth mandates, and other topics as necessary. Data Open Office Hours are maintained by the Part C Data Manager to encourage engagement of the Regional Programs – CDW in technical questions regarding the </w:t>
      </w:r>
      <w:proofErr w:type="spellStart"/>
      <w:r w:rsidRPr="00ED172B">
        <w:rPr>
          <w:color w:val="000000" w:themeColor="text1"/>
          <w:szCs w:val="16"/>
        </w:rPr>
        <w:t>DHSSCares</w:t>
      </w:r>
      <w:proofErr w:type="spellEnd"/>
      <w:r w:rsidRPr="00ED172B">
        <w:rPr>
          <w:color w:val="000000" w:themeColor="text1"/>
          <w:szCs w:val="16"/>
        </w:rPr>
        <w:t xml:space="preserve"> data system or data which are used in annual reports.</w:t>
      </w:r>
      <w:r w:rsidRPr="00ED172B">
        <w:rPr>
          <w:color w:val="000000" w:themeColor="text1"/>
          <w:szCs w:val="16"/>
        </w:rPr>
        <w:br/>
      </w:r>
      <w:r w:rsidRPr="00ED172B">
        <w:rPr>
          <w:color w:val="000000" w:themeColor="text1"/>
          <w:szCs w:val="16"/>
        </w:rPr>
        <w:lastRenderedPageBreak/>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three-year-old by 25%. In addition, Administration collaborates, in attendance, with the Early Hearing Detection and Intervention Advisory Board (EHDI) program and The Governor’s Advisory Council for Exceptional Citizens (GACEC).</w:t>
      </w:r>
      <w:r w:rsidRPr="00ED172B">
        <w:rPr>
          <w:color w:val="000000" w:themeColor="text1"/>
          <w:szCs w:val="16"/>
        </w:rPr>
        <w:br/>
      </w:r>
      <w:r w:rsidRPr="00ED172B">
        <w:rPr>
          <w:color w:val="000000" w:themeColor="text1"/>
          <w:szCs w:val="16"/>
        </w:rPr>
        <w:br/>
        <w:t xml:space="preserve">Administration continues to work with </w:t>
      </w:r>
      <w:proofErr w:type="spellStart"/>
      <w:r w:rsidRPr="00ED172B">
        <w:rPr>
          <w:color w:val="000000" w:themeColor="text1"/>
          <w:szCs w:val="16"/>
        </w:rPr>
        <w:t>WestEd</w:t>
      </w:r>
      <w:proofErr w:type="spellEnd"/>
      <w:r w:rsidRPr="00ED172B">
        <w:rPr>
          <w:color w:val="000000" w:themeColor="text1"/>
          <w:szCs w:val="16"/>
        </w:rPr>
        <w:t xml:space="preserve"> to develop training and materials to explain the dispute resolution options under Part C of the IDEA: mediation, written state complaints and the due process hearing procedures specific to families with infants or toddlers with disabilities. Materials from the Center for Appropriate Dispute Resolution in Special Education (CADRE) are also being shared as part of the training. Delaware adheres to Delaware Part C due process hearing procedures. Administration will also continue to work with contracted TA consultants to solidify a process for tracking any disputes and resolutions that may occur in </w:t>
      </w:r>
      <w:proofErr w:type="gramStart"/>
      <w:r w:rsidRPr="00ED172B">
        <w:rPr>
          <w:color w:val="000000" w:themeColor="text1"/>
          <w:szCs w:val="16"/>
        </w:rPr>
        <w:t>Delaware</w:t>
      </w:r>
      <w:proofErr w:type="gramEnd"/>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Administration has mechanisms in place to ensure that service providers are provided ongoing training and technical assistance to effectively provide services that improve results for infants and toddlers with disabilities and their families.</w:t>
      </w:r>
      <w:r w:rsidRPr="00ED172B">
        <w:rPr>
          <w:color w:val="000000" w:themeColor="text1"/>
          <w:szCs w:val="16"/>
        </w:rPr>
        <w:br/>
        <w:t>Delaware has received technical assistance from Early Childhood Personnel Center (ECPC) and participated in ECPC leadership institutes to support a birth to five comprehensive systems professional development plan to address training and professional development needs in early intervention and early childhood systems. This plan is continually reviewed by Delaware stakeholders to assess this cross sector sustainable personnel and professional development system for all programs serving young children, in order to sustain a qualified work force. Birth to Three - Administration actively participates in the Early Childhood Early Intervention Professional Development Community of Practice (</w:t>
      </w:r>
      <w:proofErr w:type="spellStart"/>
      <w:r w:rsidRPr="00ED172B">
        <w:rPr>
          <w:color w:val="000000" w:themeColor="text1"/>
          <w:szCs w:val="16"/>
        </w:rPr>
        <w:t>ECEIPDCoP</w:t>
      </w:r>
      <w:proofErr w:type="spellEnd"/>
      <w:r w:rsidRPr="00ED172B">
        <w:rPr>
          <w:color w:val="000000" w:themeColor="text1"/>
          <w:szCs w:val="16"/>
        </w:rPr>
        <w:t>), and National Service Coordinators Training Workgroup to address training needs of early intervention service coordinators. Birth to Three staff access both national and local resources, including conferences and webinars, to stay current on best practices and federal requirements. While the Program’s early intervention personnel standards are still in the earliest stages of redevelopment, the current standards are reinforced through provider contracts and enhanced communication with Regional Program staff.</w:t>
      </w:r>
      <w:r w:rsidRPr="00ED172B">
        <w:rPr>
          <w:color w:val="000000" w:themeColor="text1"/>
          <w:szCs w:val="16"/>
        </w:rPr>
        <w:br/>
      </w:r>
      <w:r w:rsidRPr="00ED172B">
        <w:rPr>
          <w:color w:val="000000" w:themeColor="text1"/>
          <w:szCs w:val="16"/>
        </w:rPr>
        <w:br/>
        <w:t>In addition, Administration also collaborates with Regional Program – EIS provider leadership in the hiring of all Early Childhood Special Educators (ECSE) providing services to infants and toddlers with disabilities who participate in early intervention services in Delaware. Administration has in place a Personnel Standards and Guidelines Matrix that ensures all ECSEs have appropriate collegiate certification and professional experience with a focus on infants and toddlers with special needs, and their families.</w:t>
      </w:r>
      <w:r w:rsidRPr="00ED172B">
        <w:rPr>
          <w:color w:val="000000" w:themeColor="text1"/>
          <w:szCs w:val="16"/>
        </w:rPr>
        <w:br/>
      </w:r>
      <w:r w:rsidRPr="00ED172B">
        <w:rPr>
          <w:color w:val="000000" w:themeColor="text1"/>
          <w:szCs w:val="16"/>
        </w:rPr>
        <w:br/>
        <w:t xml:space="preserve">Administration has collaborated with the Delaware State Professional Development System to aide in the development of an early intervention personnel development tracking system.  The purpose of this collaboration is to incorporate early intervention modules, trainings and policy reviews into the Delaware Learning Center (DLC), a </w:t>
      </w:r>
      <w:proofErr w:type="gramStart"/>
      <w:r w:rsidRPr="00ED172B">
        <w:rPr>
          <w:color w:val="000000" w:themeColor="text1"/>
          <w:szCs w:val="16"/>
        </w:rPr>
        <w:t>state run</w:t>
      </w:r>
      <w:proofErr w:type="gramEnd"/>
      <w:r w:rsidRPr="00ED172B">
        <w:rPr>
          <w:color w:val="000000" w:themeColor="text1"/>
          <w:szCs w:val="16"/>
        </w:rPr>
        <w:t xml:space="preserve"> training program.  Administration will be able to utilize the DLC to track participation, analyze if the training is effective and to provide certificates to participants as they complete necessary goals.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szCs w:val="16"/>
        </w:rPr>
        <w:br/>
      </w:r>
      <w:r w:rsidRPr="00ED172B">
        <w:rPr>
          <w:color w:val="000000" w:themeColor="text1"/>
          <w:szCs w:val="16"/>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szCs w:val="16"/>
        </w:rPr>
        <w:br/>
      </w:r>
      <w:r w:rsidRPr="00ED172B">
        <w:rPr>
          <w:color w:val="000000" w:themeColor="text1"/>
          <w:szCs w:val="16"/>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szCs w:val="16"/>
        </w:rPr>
        <w:t>opportunities</w:t>
      </w:r>
      <w:proofErr w:type="gramEnd"/>
      <w:r w:rsidRPr="00ED172B">
        <w:rPr>
          <w:color w:val="000000" w:themeColor="text1"/>
          <w:szCs w:val="16"/>
        </w:rPr>
        <w:t xml:space="preserve"> calls are shared during the ICC quarterly meetings. </w:t>
      </w:r>
      <w:r w:rsidRPr="00ED172B">
        <w:rPr>
          <w:color w:val="000000" w:themeColor="text1"/>
          <w:szCs w:val="16"/>
        </w:rPr>
        <w:br/>
      </w:r>
      <w:r w:rsidRPr="00ED172B">
        <w:rPr>
          <w:color w:val="000000" w:themeColor="text1"/>
          <w:szCs w:val="16"/>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szCs w:val="16"/>
        </w:rPr>
        <w:br/>
        <w:t xml:space="preserve"> </w:t>
      </w:r>
      <w:r w:rsidRPr="00ED172B">
        <w:rPr>
          <w:color w:val="000000" w:themeColor="text1"/>
          <w:szCs w:val="16"/>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szCs w:val="16"/>
        </w:rPr>
        <w:t>SiMR</w:t>
      </w:r>
      <w:proofErr w:type="spellEnd"/>
      <w:r w:rsidRPr="00ED172B">
        <w:rPr>
          <w:color w:val="000000" w:themeColor="text1"/>
          <w:szCs w:val="16"/>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szCs w:val="16"/>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szCs w:val="16"/>
        </w:rPr>
        <w:br/>
      </w:r>
      <w:r w:rsidRPr="00ED172B">
        <w:rPr>
          <w:color w:val="000000" w:themeColor="text1"/>
          <w:szCs w:val="16"/>
        </w:rPr>
        <w:br/>
        <w:t xml:space="preserve">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w:t>
      </w:r>
      <w:r w:rsidRPr="00ED172B">
        <w:rPr>
          <w:color w:val="000000" w:themeColor="text1"/>
          <w:szCs w:val="16"/>
        </w:rPr>
        <w:lastRenderedPageBreak/>
        <w:t>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szCs w:val="16"/>
        </w:rPr>
        <w:br/>
      </w:r>
      <w:r w:rsidRPr="00ED172B">
        <w:rPr>
          <w:color w:val="000000" w:themeColor="text1"/>
          <w:szCs w:val="16"/>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szCs w:val="16"/>
        </w:rPr>
        <w:t>Colectiva</w:t>
      </w:r>
      <w:proofErr w:type="spellEnd"/>
      <w:r w:rsidRPr="00ED172B">
        <w:rPr>
          <w:color w:val="000000" w:themeColor="text1"/>
          <w:szCs w:val="16"/>
        </w:rPr>
        <w:t>, La Red etc. in order to intensively engage diverse families to gain their insights into how to better ensure equitable EI services in the state and to enrich input in the state’s improvement efforts.</w:t>
      </w:r>
      <w:r w:rsidRPr="00ED172B">
        <w:rPr>
          <w:color w:val="000000" w:themeColor="text1"/>
          <w:szCs w:val="16"/>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Whenever there was an opportunity to involve individual parents and advocates, Administration staff would send invitations to and through the Interagency Coordinating Council (ICC) which occurs quarterly, the Parent Information Center (PIC), and other family networks to engage families and providers in deep and meaningful ways to understand the current needs of families.  As a result of enhanced communication via emails, word of mouth, and announcements made for inviting parent feedback, improvement strategy recommendations were also gathered from parents in one-on-one conversations with the Part C Coordinator.  Administration is developing a monthly outreach and resource calendar for parents.  This calendar will be made available to currently enrolled parents as well as to the targeted birth to three population through the PIC.  We intend to use our new data system as a means of advertisement for parent participation in outreach activities.  Making the monthly calendar of activities and resources available through the parent portal will enable our parents to be more aware of opportunities of participation.</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Stakeholder groups were invited to capture diverse representation of our populations in making decisions on future targets and implementation strategies.  </w:t>
      </w:r>
      <w:r w:rsidRPr="00ED172B">
        <w:rPr>
          <w:color w:val="000000" w:themeColor="text1"/>
          <w:szCs w:val="16"/>
        </w:rPr>
        <w:br/>
        <w:t xml:space="preserve">The stakeholder groups intend to continue to meet at least on a quarterly basis in order to develop and monitor strategic improvement plans ensuring that the families continue to receive the best services and provisions available to them. It has been a challenge to seek diverse stakeholders, especially parents. We continue to work closely with PIC to encourage parents, from diverse populations, to attend the meetings and become active members in our groups. We intend to conduct more focus groups specifically targeting those parents who are part of underserved populations.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Ongoing stakeholder meetings occur on weekly, biweekly and monthly basis. These groups are comprised of early intervention service providers, parents, Department of Education representatives, independent contractors for provider agencies, and other interested parties. The two SSIP work groups are held frequently, as are Ages and Stages reviewer meetings. Open office hours for both general information and data information are held on alternate weeks and any interested party can attend.  Community of practice calls for child find activities such as screenings are held monthly.     Each of these meetings are utilized to look at current data, discuss the validity and accuracy as well as developing improvement strategies to determine if the targets are being met.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Discussions surrounding target setting are conducted on a monthly basis and the results and recommendations that stakeholders make are presented quarterly at ICC meetings.  Continued data analysis is presented at the quarterly ICC Meetings.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Administration reports to the public on the performance of each Regional Program on the targets in the SPP/APR as soon as practicable, but not later than 120 days following the submission of its FFY APR as required by 34 CFR §303.702(b)(1)(</w:t>
      </w:r>
      <w:proofErr w:type="spellStart"/>
      <w:r w:rsidRPr="00ED172B">
        <w:rPr>
          <w:color w:val="000000" w:themeColor="text1"/>
          <w:szCs w:val="16"/>
        </w:rPr>
        <w:t>i</w:t>
      </w:r>
      <w:proofErr w:type="spellEnd"/>
      <w:r w:rsidRPr="00ED172B">
        <w:rPr>
          <w:color w:val="000000" w:themeColor="text1"/>
          <w:szCs w:val="16"/>
        </w:rPr>
        <w:t>)(A).</w:t>
      </w:r>
      <w:r w:rsidRPr="00ED172B">
        <w:rPr>
          <w:color w:val="000000" w:themeColor="text1"/>
          <w:szCs w:val="16"/>
        </w:rPr>
        <w:br/>
        <w:t xml:space="preserve">The state has reported to the public, as required, for FFY 2020 at the following URL:  </w:t>
      </w:r>
      <w:r w:rsidRPr="00ED172B">
        <w:rPr>
          <w:color w:val="000000" w:themeColor="text1"/>
          <w:szCs w:val="16"/>
        </w:rPr>
        <w:br/>
        <w:t>2022.02.03_RegionalMonitoringFFY20_PubReporte_.xls (delaware.gov)</w:t>
      </w:r>
      <w:r w:rsidRPr="00ED172B">
        <w:rPr>
          <w:color w:val="000000" w:themeColor="text1"/>
          <w:szCs w:val="16"/>
        </w:rPr>
        <w:br/>
        <w:t>A complete copy of the Program’s SPP, including any revisions, and the APR are located on the Birth to Three website at Birth to Three Early Intervention Program - Delaware Health and Social Services - State of Delaware</w:t>
      </w:r>
      <w:r w:rsidRPr="00ED172B">
        <w:rPr>
          <w:color w:val="000000" w:themeColor="text1"/>
          <w:szCs w:val="16"/>
        </w:rPr>
        <w:br/>
        <w:t>Birth to Three - Administration reports on the following:</w:t>
      </w:r>
      <w:r w:rsidRPr="00ED172B">
        <w:rPr>
          <w:color w:val="000000" w:themeColor="text1"/>
          <w:szCs w:val="16"/>
        </w:rPr>
        <w:br/>
        <w:t>A. Current data;</w:t>
      </w:r>
      <w:r w:rsidRPr="00ED172B">
        <w:rPr>
          <w:color w:val="000000" w:themeColor="text1"/>
          <w:szCs w:val="16"/>
        </w:rPr>
        <w:br/>
        <w:t>B. Current data performance in relation to state targets for each of the two CDWs using percentage measurements;</w:t>
      </w:r>
      <w:r w:rsidRPr="00ED172B">
        <w:rPr>
          <w:color w:val="000000" w:themeColor="text1"/>
          <w:szCs w:val="16"/>
        </w:rPr>
        <w:br/>
        <w:t>C. Description of whether the Regional Program met the target, made progress or slipped.</w:t>
      </w:r>
      <w:r w:rsidRPr="00ED172B">
        <w:rPr>
          <w:color w:val="000000" w:themeColor="text1"/>
          <w:szCs w:val="16"/>
        </w:rPr>
        <w:br/>
      </w:r>
      <w:r w:rsidRPr="00ED172B">
        <w:rPr>
          <w:color w:val="000000" w:themeColor="text1"/>
          <w:szCs w:val="16"/>
        </w:rPr>
        <w:br/>
        <w:t>The Regional Program Performance Report also includes:</w:t>
      </w:r>
      <w:r w:rsidRPr="00ED172B">
        <w:rPr>
          <w:color w:val="000000" w:themeColor="text1"/>
          <w:szCs w:val="16"/>
        </w:rPr>
        <w:br/>
        <w:t>Data are generated from the following sources:</w:t>
      </w:r>
      <w:r w:rsidRPr="00ED172B">
        <w:rPr>
          <w:color w:val="000000" w:themeColor="text1"/>
          <w:szCs w:val="16"/>
        </w:rPr>
        <w:br/>
        <w:t xml:space="preserve">A. </w:t>
      </w:r>
      <w:proofErr w:type="spellStart"/>
      <w:r w:rsidRPr="00ED172B">
        <w:rPr>
          <w:color w:val="000000" w:themeColor="text1"/>
          <w:szCs w:val="16"/>
        </w:rPr>
        <w:t>DHSSCares</w:t>
      </w:r>
      <w:proofErr w:type="spellEnd"/>
      <w:r w:rsidRPr="00ED172B">
        <w:rPr>
          <w:color w:val="000000" w:themeColor="text1"/>
          <w:szCs w:val="16"/>
        </w:rPr>
        <w:t xml:space="preserve"> data system;</w:t>
      </w:r>
      <w:r w:rsidRPr="00ED172B">
        <w:rPr>
          <w:color w:val="000000" w:themeColor="text1"/>
          <w:szCs w:val="16"/>
        </w:rPr>
        <w:br/>
      </w:r>
      <w:r w:rsidRPr="00ED172B">
        <w:rPr>
          <w:color w:val="000000" w:themeColor="text1"/>
          <w:szCs w:val="16"/>
        </w:rPr>
        <w:lastRenderedPageBreak/>
        <w:t>B. Family Outcomes Survey;</w:t>
      </w:r>
      <w:r w:rsidRPr="00ED172B">
        <w:rPr>
          <w:color w:val="000000" w:themeColor="text1"/>
          <w:szCs w:val="16"/>
        </w:rPr>
        <w:br/>
        <w:t>C. Onsite monitoring;</w:t>
      </w:r>
      <w:r w:rsidRPr="00ED172B">
        <w:rPr>
          <w:color w:val="000000" w:themeColor="text1"/>
          <w:szCs w:val="16"/>
        </w:rPr>
        <w:br/>
        <w:t>D. Table 1 Report of Children Receiving Early Intervention Services in Accordance with Part C; and,</w:t>
      </w:r>
      <w:r w:rsidRPr="00ED172B">
        <w:rPr>
          <w:color w:val="000000" w:themeColor="text1"/>
          <w:szCs w:val="16"/>
        </w:rPr>
        <w:br/>
        <w:t>E. Table 2 Report of Program Setting Where Early Intervention Services are Provided to Children with Disabilities and Their Families in Accordance with Part C</w:t>
      </w:r>
      <w:r w:rsidRPr="00ED172B">
        <w:rPr>
          <w:color w:val="000000" w:themeColor="text1"/>
          <w:szCs w:val="16"/>
        </w:rPr>
        <w:br/>
      </w:r>
      <w:r w:rsidRPr="00ED172B">
        <w:rPr>
          <w:color w:val="000000" w:themeColor="text1"/>
          <w:szCs w:val="16"/>
        </w:rPr>
        <w:br/>
        <w:t>Per section 508 and Section 255 of the Rehabilitation Act of 1973, each report is completed within 508 compliance to be visually safe and accessible for individuals with disabilities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4DE677F5" w14:textId="22C5CCC7" w:rsidR="003A4D77" w:rsidRPr="00A40EE1" w:rsidRDefault="00571E72" w:rsidP="00C15786">
      <w:pPr>
        <w:pStyle w:val="Heading2"/>
      </w:pPr>
      <w:r w:rsidRPr="00A40EE1">
        <w:t>Intro - Required Actions</w:t>
      </w:r>
    </w:p>
    <w:p w14:paraId="1D94D5A9" w14:textId="2E828738" w:rsidR="003A4D77" w:rsidRPr="00ED172B" w:rsidRDefault="00027F39" w:rsidP="00027F39">
      <w:pPr>
        <w:rPr>
          <w:color w:val="000000" w:themeColor="text1"/>
        </w:rPr>
      </w:pPr>
      <w:r w:rsidRPr="00ED172B">
        <w:rPr>
          <w:color w:val="000000" w:themeColor="text1"/>
        </w:rPr>
        <w:t>The State has not provided a description of the activities conducted to increase the capacity of diverse groups of parents. In its FFY 2022 SPP/APR, the State must provide the required information.</w:t>
      </w:r>
      <w:r w:rsidRPr="00ED172B">
        <w:rPr>
          <w:color w:val="000000" w:themeColor="text1"/>
        </w:rPr>
        <w:br/>
      </w:r>
      <w:r w:rsidRPr="00ED172B">
        <w:rPr>
          <w:color w:val="000000" w:themeColor="text1"/>
        </w:rPr>
        <w:b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 xml:space="preserve">OSEP notes that one or more of the APR attachment(s) included in the State's </w:t>
      </w:r>
      <w:r w:rsidR="00C25FA8">
        <w:rPr>
          <w:color w:val="000000" w:themeColor="text1"/>
        </w:rPr>
        <w:t xml:space="preserve">FFY 2021 </w:t>
      </w:r>
      <w:r w:rsidRPr="00ED172B">
        <w:rPr>
          <w:color w:val="000000" w:themeColor="text1"/>
        </w:rPr>
        <w:t>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81.28%</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79.75%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64.54%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55.33%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82.37%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85.19%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100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85.19%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79.00%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Birth to Three saw a 10% increase in the number of referrals in the past fiscal year. This increase in the number of children referred, evaluated, and found eligible for early intervention services has made it even more challenging to meet the 30-day timeline from parent consent to the date on which services begin.  </w:t>
      </w:r>
      <w:r w:rsidRPr="00ED172B">
        <w:rPr>
          <w:color w:val="000000" w:themeColor="text1"/>
        </w:rPr>
        <w:br/>
        <w:t xml:space="preserve">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Of the 16 families for whom the delays in the initiation of services were due to exceptional family circumstances, 5 were impacted by COVID, either by a sick family member or concern of exposure. One child was hospitalized so it was not possible to begin the service within 30 days, two families had a sick family member, four delays were due to family request, one family did not show for their initial visit, one family had consented to services but subsequently withdrew  consent to the services in their IFSP and two families had children with medical conditions which caused delays in the service beginning withing 30 days of the parent’s written consent.</w:t>
      </w:r>
      <w:r w:rsidRPr="00ED172B">
        <w:rPr>
          <w:color w:val="000000" w:themeColor="text1"/>
          <w:szCs w:val="16"/>
        </w:rPr>
        <w:br/>
      </w:r>
      <w:r w:rsidRPr="00ED172B">
        <w:rPr>
          <w:color w:val="000000" w:themeColor="text1"/>
          <w:szCs w:val="16"/>
        </w:rPr>
        <w:br/>
        <w:t>A total of 21 families had delays in services not related to exceptional family circumstances.  Families of 16 infants/toddlers experienced delays due to services not being available through the Regional External Early Intervention Service Providers.  One family had a delay in services because of EIS provider cancellation, one family had a delay due to the interpreter cancelling the initial visit, and three delays were due to family service coordinator scheduling issues.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state determines that the definition of timely service delivery to be that each service will start within 30 calendar days of the written parental consent which is indicated as a signature on the IFSP (Section 12). Birth to Three – Administration calculates timeliness by the time period elapsed between the date the parent provides written consent to each of the services in the IFSP and the actual start date of each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DHSS monitors both CDWs every year for all compliance indicators using the statewide data system to capture compliance data.</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r>
    </w:tbl>
    <w:p w14:paraId="7918866F" w14:textId="0BCA631D" w:rsidR="002F1A9A" w:rsidRPr="00ED172B" w:rsidRDefault="00CD74B5" w:rsidP="00B83404">
      <w:pPr>
        <w:rPr>
          <w:color w:val="000000" w:themeColor="text1"/>
        </w:rPr>
      </w:pPr>
      <w:r>
        <w:rPr>
          <w:b/>
          <w:color w:val="000000" w:themeColor="text1"/>
        </w:rPr>
        <w:t>FFY 2020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04E0B434" w14:textId="1AE3C4D5" w:rsidR="002F1A9A" w:rsidRDefault="00860830" w:rsidP="002F1A9A">
      <w:pPr>
        <w:rPr>
          <w:rFonts w:cs="Arial"/>
          <w:color w:val="000000" w:themeColor="text1"/>
          <w:szCs w:val="16"/>
        </w:rPr>
      </w:pPr>
      <w:r w:rsidRPr="00ED172B">
        <w:rPr>
          <w:rFonts w:cs="Arial"/>
          <w:color w:val="000000" w:themeColor="text1"/>
          <w:szCs w:val="16"/>
        </w:rPr>
        <w:t xml:space="preserve">Because the Regional Programs – CDW failed to correct the January 4, </w:t>
      </w:r>
      <w:proofErr w:type="gramStart"/>
      <w:r w:rsidRPr="00ED172B">
        <w:rPr>
          <w:rFonts w:cs="Arial"/>
          <w:color w:val="000000" w:themeColor="text1"/>
          <w:szCs w:val="16"/>
        </w:rPr>
        <w:t>2021</w:t>
      </w:r>
      <w:proofErr w:type="gramEnd"/>
      <w:r w:rsidRPr="00ED172B">
        <w:rPr>
          <w:rFonts w:cs="Arial"/>
          <w:color w:val="000000" w:themeColor="text1"/>
          <w:szCs w:val="16"/>
        </w:rPr>
        <w:t xml:space="preserve"> findings by January 4, 2022, and there was slippage in the data from the previous fiscal year, a corrective action plan meeting occurred in June 2022. During this meeting Administration and CDWs, which included CDW and the EIS Providers, indicated that a new referral system was going to be implemented in July 2022. This referral system (Referral Portal) was implemented beginning July 1,2022. The CDWs post each child and family needing EIS on the Portal, and then, after first confirming that the provider agency had the needed personnel to begin each EIS within 30 days from referral, will use the Portal to accept the case. Not only will the process help to increase the timeliness of the provision of services, </w:t>
      </w:r>
      <w:proofErr w:type="gramStart"/>
      <w:r w:rsidRPr="00ED172B">
        <w:rPr>
          <w:rFonts w:cs="Arial"/>
          <w:color w:val="000000" w:themeColor="text1"/>
          <w:szCs w:val="16"/>
        </w:rPr>
        <w:t>it</w:t>
      </w:r>
      <w:proofErr w:type="gramEnd"/>
      <w:r w:rsidRPr="00ED172B">
        <w:rPr>
          <w:rFonts w:cs="Arial"/>
          <w:color w:val="000000" w:themeColor="text1"/>
          <w:szCs w:val="16"/>
        </w:rPr>
        <w:t xml:space="preserve"> will also allow Administration the opportunity to determine which services need more targeted recruitment because of the lack of availability. Administration is working with the Regional Programs – CDW by providing monthly Indicator 1 reports showing the number of services that were provided timely, which were provided late and had exceptional family circumstances as well as those services which provided late and did not have exceptional family circumstance. The Regional Programs – CDW </w:t>
      </w:r>
      <w:proofErr w:type="gramStart"/>
      <w:r w:rsidRPr="00ED172B">
        <w:rPr>
          <w:rFonts w:cs="Arial"/>
          <w:color w:val="000000" w:themeColor="text1"/>
          <w:szCs w:val="16"/>
        </w:rPr>
        <w:t>are able to</w:t>
      </w:r>
      <w:proofErr w:type="gramEnd"/>
      <w:r w:rsidRPr="00ED172B">
        <w:rPr>
          <w:rFonts w:cs="Arial"/>
          <w:color w:val="000000" w:themeColor="text1"/>
          <w:szCs w:val="16"/>
        </w:rPr>
        <w:t xml:space="preserve"> better monitor the new referral process and provide guidance to coordinators who may be part of a trend in not getting services started in a timely manner. This process will provide up-to-date knowledge on what is occurring with services so that the Regional Programs – CDW and EIS Providers are able to better address the continued noncompliance. In addition, the Portal allows EIS Providers the opportunity to gather data to determine which disciplines are in need to be recruited.</w:t>
      </w:r>
      <w:r w:rsidRPr="00ED172B">
        <w:rPr>
          <w:rFonts w:cs="Arial"/>
          <w:color w:val="000000" w:themeColor="text1"/>
          <w:szCs w:val="16"/>
        </w:rPr>
        <w:br/>
      </w:r>
      <w:r w:rsidRPr="00ED172B">
        <w:rPr>
          <w:rFonts w:cs="Arial"/>
          <w:color w:val="000000" w:themeColor="text1"/>
          <w:szCs w:val="16"/>
        </w:rPr>
        <w:br/>
        <w:t xml:space="preserve">Only findings made for Indicator 1 were the FFY 2020 findings of noncompliance made on January 4, 2021.  There were no previous reports, and subsequent reports continued the findings made on January 4, </w:t>
      </w:r>
      <w:proofErr w:type="gramStart"/>
      <w:r w:rsidRPr="00ED172B">
        <w:rPr>
          <w:rFonts w:cs="Arial"/>
          <w:color w:val="000000" w:themeColor="text1"/>
          <w:szCs w:val="16"/>
        </w:rPr>
        <w:t>2021</w:t>
      </w:r>
      <w:proofErr w:type="gramEnd"/>
      <w:r w:rsidRPr="00ED172B">
        <w:rPr>
          <w:rFonts w:cs="Arial"/>
          <w:color w:val="000000" w:themeColor="text1"/>
          <w:szCs w:val="16"/>
        </w:rPr>
        <w:t xml:space="preserve"> rather than making new findings.</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As noted above, only findings made for Indicator 1 were the FFY 2020 findings of noncompliance made on January 4, 2021.  There were no previous reports, and subsequent reports continued the findings made on January 4, </w:t>
      </w:r>
      <w:proofErr w:type="gramStart"/>
      <w:r w:rsidRPr="00ED172B">
        <w:rPr>
          <w:color w:val="000000" w:themeColor="text1"/>
        </w:rPr>
        <w:t>2021</w:t>
      </w:r>
      <w:proofErr w:type="gramEnd"/>
      <w:r w:rsidRPr="00ED172B">
        <w:rPr>
          <w:color w:val="000000" w:themeColor="text1"/>
        </w:rPr>
        <w:t xml:space="preserve"> rather than making new findings.</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two uncorrected findings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85.12%</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90.03%</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90.05%</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95.41%</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95.58%</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96.21%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96.52%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95.41%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95.59%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95.58%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95.61%</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95.64%</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95.67%</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95.70%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95.73%</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 xml:space="preserve">The SSIP Professional Development and Assessment Practices Teams represent stakeholder networks that are critical to SSIP success in increasing </w:t>
      </w:r>
      <w:r w:rsidRPr="00ED172B">
        <w:rPr>
          <w:color w:val="000000" w:themeColor="text1"/>
        </w:rPr>
        <w:lastRenderedPageBreak/>
        <w:t>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br/>
        <w:t>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1,174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1,202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1,174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1,202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95.58%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95.61%</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97.67%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br/>
        <w:t>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61.25%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46.63%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63.79%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63.74%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68.01%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61.25%</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49.24%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45.51%</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48.73%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41.46%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39.29%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33.49%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65.42%</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48.39%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70.44%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67.68%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65.42%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41.51%</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41.53%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33.58%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27.77%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51.06%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65.97%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50.54%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65.28%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71.01%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65.97%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47.98%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46.47%</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47.46%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50.62%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42.61%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41.25%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36.64%</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61.50%</w:t>
            </w:r>
          </w:p>
        </w:tc>
        <w:tc>
          <w:tcPr>
            <w:tcW w:w="918" w:type="pct"/>
          </w:tcPr>
          <w:p w14:paraId="7A62957C" w14:textId="59554121" w:rsidR="009E2382" w:rsidRPr="00ED172B" w:rsidRDefault="009E2382" w:rsidP="002242B8">
            <w:pPr>
              <w:jc w:val="center"/>
              <w:rPr>
                <w:color w:val="000000" w:themeColor="text1"/>
              </w:rPr>
            </w:pPr>
            <w:r>
              <w:rPr>
                <w:color w:val="000000" w:themeColor="text1"/>
              </w:rPr>
              <w:t>61.75%</w:t>
            </w:r>
          </w:p>
        </w:tc>
        <w:tc>
          <w:tcPr>
            <w:tcW w:w="918" w:type="pct"/>
          </w:tcPr>
          <w:p w14:paraId="330DB307" w14:textId="4DD70DCA" w:rsidR="009E2382" w:rsidRPr="00ED172B" w:rsidRDefault="009E2382" w:rsidP="002242B8">
            <w:pPr>
              <w:jc w:val="center"/>
              <w:rPr>
                <w:color w:val="000000" w:themeColor="text1"/>
              </w:rPr>
            </w:pPr>
            <w:r>
              <w:rPr>
                <w:color w:val="000000" w:themeColor="text1"/>
              </w:rPr>
              <w:t>62.00%</w:t>
            </w:r>
          </w:p>
        </w:tc>
        <w:tc>
          <w:tcPr>
            <w:tcW w:w="917" w:type="pct"/>
          </w:tcPr>
          <w:p w14:paraId="1E535134" w14:textId="174673D1" w:rsidR="009E2382" w:rsidRPr="00ED172B" w:rsidRDefault="009E2382" w:rsidP="002242B8">
            <w:pPr>
              <w:jc w:val="center"/>
              <w:rPr>
                <w:color w:val="000000" w:themeColor="text1"/>
              </w:rPr>
            </w:pPr>
            <w:r>
              <w:rPr>
                <w:color w:val="000000" w:themeColor="text1"/>
              </w:rPr>
              <w:t>62.25%</w:t>
            </w:r>
          </w:p>
        </w:tc>
        <w:tc>
          <w:tcPr>
            <w:tcW w:w="916" w:type="pct"/>
          </w:tcPr>
          <w:p w14:paraId="7D5EFC26" w14:textId="3AFE59A1" w:rsidR="009E2382" w:rsidRPr="00ED172B" w:rsidRDefault="009E2382" w:rsidP="002242B8">
            <w:pPr>
              <w:jc w:val="center"/>
              <w:rPr>
                <w:color w:val="000000" w:themeColor="text1"/>
              </w:rPr>
            </w:pPr>
            <w:r>
              <w:rPr>
                <w:color w:val="000000" w:themeColor="text1"/>
              </w:rPr>
              <w:t>62.50%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45.52%</w:t>
            </w:r>
          </w:p>
        </w:tc>
        <w:tc>
          <w:tcPr>
            <w:tcW w:w="918" w:type="pct"/>
          </w:tcPr>
          <w:p w14:paraId="1DD5AC15" w14:textId="552D0AAC" w:rsidR="009E2382" w:rsidRPr="00ED172B" w:rsidRDefault="009E2382" w:rsidP="002242B8">
            <w:pPr>
              <w:jc w:val="center"/>
              <w:rPr>
                <w:color w:val="000000" w:themeColor="text1"/>
              </w:rPr>
            </w:pPr>
            <w:r>
              <w:rPr>
                <w:color w:val="000000" w:themeColor="text1"/>
              </w:rPr>
              <w:t>45.53%</w:t>
            </w:r>
          </w:p>
        </w:tc>
        <w:tc>
          <w:tcPr>
            <w:tcW w:w="918" w:type="pct"/>
          </w:tcPr>
          <w:p w14:paraId="29377148" w14:textId="76F6C6ED" w:rsidR="009E2382" w:rsidRPr="00ED172B" w:rsidRDefault="009E2382" w:rsidP="002242B8">
            <w:pPr>
              <w:jc w:val="center"/>
              <w:rPr>
                <w:color w:val="000000" w:themeColor="text1"/>
              </w:rPr>
            </w:pPr>
            <w:r>
              <w:rPr>
                <w:color w:val="000000" w:themeColor="text1"/>
              </w:rPr>
              <w:t>45.54%</w:t>
            </w:r>
          </w:p>
        </w:tc>
        <w:tc>
          <w:tcPr>
            <w:tcW w:w="917" w:type="pct"/>
          </w:tcPr>
          <w:p w14:paraId="3F8E8EE0" w14:textId="1AB30A36" w:rsidR="009E2382" w:rsidRPr="00ED172B" w:rsidRDefault="009E2382" w:rsidP="002242B8">
            <w:pPr>
              <w:jc w:val="center"/>
              <w:rPr>
                <w:color w:val="000000" w:themeColor="text1"/>
              </w:rPr>
            </w:pPr>
            <w:r>
              <w:rPr>
                <w:color w:val="000000" w:themeColor="text1"/>
              </w:rPr>
              <w:t>45.55%</w:t>
            </w:r>
          </w:p>
        </w:tc>
        <w:tc>
          <w:tcPr>
            <w:tcW w:w="916" w:type="pct"/>
          </w:tcPr>
          <w:p w14:paraId="5B0C0E7A" w14:textId="73E7E860" w:rsidR="009E2382" w:rsidRPr="00ED172B" w:rsidRDefault="009E2382" w:rsidP="002242B8">
            <w:pPr>
              <w:jc w:val="center"/>
              <w:rPr>
                <w:color w:val="000000" w:themeColor="text1"/>
              </w:rPr>
            </w:pPr>
            <w:r>
              <w:rPr>
                <w:color w:val="000000" w:themeColor="text1"/>
              </w:rPr>
              <w:t>48.75%</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65.67%</w:t>
            </w:r>
          </w:p>
        </w:tc>
        <w:tc>
          <w:tcPr>
            <w:tcW w:w="918" w:type="pct"/>
          </w:tcPr>
          <w:p w14:paraId="7EDAF97B" w14:textId="4B219601" w:rsidR="009E2382" w:rsidRPr="00ED172B" w:rsidRDefault="009E2382" w:rsidP="002242B8">
            <w:pPr>
              <w:jc w:val="center"/>
              <w:rPr>
                <w:color w:val="000000" w:themeColor="text1"/>
              </w:rPr>
            </w:pPr>
            <w:r>
              <w:rPr>
                <w:color w:val="000000" w:themeColor="text1"/>
              </w:rPr>
              <w:t>65.92%</w:t>
            </w:r>
          </w:p>
        </w:tc>
        <w:tc>
          <w:tcPr>
            <w:tcW w:w="918" w:type="pct"/>
          </w:tcPr>
          <w:p w14:paraId="31A1D7D3" w14:textId="003191E1" w:rsidR="009E2382" w:rsidRPr="00ED172B" w:rsidRDefault="009E2382" w:rsidP="002242B8">
            <w:pPr>
              <w:jc w:val="center"/>
              <w:rPr>
                <w:color w:val="000000" w:themeColor="text1"/>
              </w:rPr>
            </w:pPr>
            <w:r>
              <w:rPr>
                <w:color w:val="000000" w:themeColor="text1"/>
              </w:rPr>
              <w:t>66.17%</w:t>
            </w:r>
          </w:p>
        </w:tc>
        <w:tc>
          <w:tcPr>
            <w:tcW w:w="917" w:type="pct"/>
          </w:tcPr>
          <w:p w14:paraId="493915A7" w14:textId="24756F38" w:rsidR="009E2382" w:rsidRPr="00ED172B" w:rsidRDefault="009E2382" w:rsidP="002242B8">
            <w:pPr>
              <w:jc w:val="center"/>
              <w:rPr>
                <w:color w:val="000000" w:themeColor="text1"/>
              </w:rPr>
            </w:pPr>
            <w:r>
              <w:rPr>
                <w:color w:val="000000" w:themeColor="text1"/>
              </w:rPr>
              <w:t>66.42%</w:t>
            </w:r>
          </w:p>
        </w:tc>
        <w:tc>
          <w:tcPr>
            <w:tcW w:w="916" w:type="pct"/>
          </w:tcPr>
          <w:p w14:paraId="2E008F25" w14:textId="53C173A2" w:rsidR="009E2382" w:rsidRPr="00ED172B" w:rsidRDefault="009E2382" w:rsidP="002242B8">
            <w:pPr>
              <w:jc w:val="center"/>
              <w:rPr>
                <w:color w:val="000000" w:themeColor="text1"/>
              </w:rPr>
            </w:pPr>
            <w:r>
              <w:rPr>
                <w:color w:val="000000" w:themeColor="text1"/>
              </w:rPr>
              <w:t>66.67%</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41.52%</w:t>
            </w:r>
          </w:p>
        </w:tc>
        <w:tc>
          <w:tcPr>
            <w:tcW w:w="918" w:type="pct"/>
          </w:tcPr>
          <w:p w14:paraId="5980DE18" w14:textId="10CD7859" w:rsidR="009E2382" w:rsidRPr="00ED172B" w:rsidRDefault="009E2382" w:rsidP="002242B8">
            <w:pPr>
              <w:jc w:val="center"/>
              <w:rPr>
                <w:color w:val="000000" w:themeColor="text1"/>
              </w:rPr>
            </w:pPr>
            <w:r>
              <w:rPr>
                <w:color w:val="000000" w:themeColor="text1"/>
              </w:rPr>
              <w:t>41.53%</w:t>
            </w:r>
          </w:p>
        </w:tc>
        <w:tc>
          <w:tcPr>
            <w:tcW w:w="918" w:type="pct"/>
          </w:tcPr>
          <w:p w14:paraId="3FD51CD4" w14:textId="4E5875CE" w:rsidR="009E2382" w:rsidRPr="00ED172B" w:rsidRDefault="009E2382" w:rsidP="002242B8">
            <w:pPr>
              <w:jc w:val="center"/>
              <w:rPr>
                <w:color w:val="000000" w:themeColor="text1"/>
              </w:rPr>
            </w:pPr>
            <w:r>
              <w:rPr>
                <w:color w:val="000000" w:themeColor="text1"/>
              </w:rPr>
              <w:t>41.54%</w:t>
            </w:r>
          </w:p>
        </w:tc>
        <w:tc>
          <w:tcPr>
            <w:tcW w:w="917" w:type="pct"/>
          </w:tcPr>
          <w:p w14:paraId="3A7274FD" w14:textId="38B9FCB4" w:rsidR="009E2382" w:rsidRPr="00ED172B" w:rsidRDefault="009E2382" w:rsidP="002242B8">
            <w:pPr>
              <w:jc w:val="center"/>
              <w:rPr>
                <w:color w:val="000000" w:themeColor="text1"/>
              </w:rPr>
            </w:pPr>
            <w:r>
              <w:rPr>
                <w:color w:val="000000" w:themeColor="text1"/>
              </w:rPr>
              <w:t>41.55%</w:t>
            </w:r>
          </w:p>
        </w:tc>
        <w:tc>
          <w:tcPr>
            <w:tcW w:w="916" w:type="pct"/>
          </w:tcPr>
          <w:p w14:paraId="53FEE354" w14:textId="77777777" w:rsidR="009E2382" w:rsidRPr="00ED172B" w:rsidRDefault="009E2382" w:rsidP="002242B8">
            <w:pPr>
              <w:jc w:val="center"/>
              <w:rPr>
                <w:color w:val="000000" w:themeColor="text1"/>
              </w:rPr>
            </w:pPr>
            <w:r>
              <w:rPr>
                <w:color w:val="000000" w:themeColor="text1"/>
              </w:rPr>
              <w:t>41.56%</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66.22%</w:t>
            </w:r>
          </w:p>
        </w:tc>
        <w:tc>
          <w:tcPr>
            <w:tcW w:w="918" w:type="pct"/>
          </w:tcPr>
          <w:p w14:paraId="3564984B" w14:textId="08842718" w:rsidR="009E2382" w:rsidRPr="00ED172B" w:rsidRDefault="009E2382" w:rsidP="0012497F">
            <w:pPr>
              <w:jc w:val="center"/>
              <w:rPr>
                <w:color w:val="000000" w:themeColor="text1"/>
              </w:rPr>
            </w:pPr>
            <w:r>
              <w:rPr>
                <w:color w:val="000000" w:themeColor="text1"/>
              </w:rPr>
              <w:t>66.47%</w:t>
            </w:r>
          </w:p>
        </w:tc>
        <w:tc>
          <w:tcPr>
            <w:tcW w:w="918" w:type="pct"/>
          </w:tcPr>
          <w:p w14:paraId="6F334EB5" w14:textId="748BD28E" w:rsidR="009E2382" w:rsidRPr="00ED172B" w:rsidRDefault="009E2382" w:rsidP="0012497F">
            <w:pPr>
              <w:jc w:val="center"/>
              <w:rPr>
                <w:color w:val="000000" w:themeColor="text1"/>
              </w:rPr>
            </w:pPr>
            <w:r>
              <w:rPr>
                <w:color w:val="000000" w:themeColor="text1"/>
              </w:rPr>
              <w:t>66.72%</w:t>
            </w:r>
          </w:p>
        </w:tc>
        <w:tc>
          <w:tcPr>
            <w:tcW w:w="917" w:type="pct"/>
          </w:tcPr>
          <w:p w14:paraId="13A1DF6C" w14:textId="36831C30" w:rsidR="009E2382" w:rsidRPr="00ED172B" w:rsidRDefault="009E2382" w:rsidP="0012497F">
            <w:pPr>
              <w:jc w:val="center"/>
              <w:rPr>
                <w:color w:val="000000" w:themeColor="text1"/>
              </w:rPr>
            </w:pPr>
            <w:r>
              <w:rPr>
                <w:color w:val="000000" w:themeColor="text1"/>
              </w:rPr>
              <w:t>66.97%</w:t>
            </w:r>
          </w:p>
        </w:tc>
        <w:tc>
          <w:tcPr>
            <w:tcW w:w="916" w:type="pct"/>
          </w:tcPr>
          <w:p w14:paraId="4404EA0E" w14:textId="45986E0D" w:rsidR="009E2382" w:rsidRPr="00ED172B" w:rsidRDefault="009E2382" w:rsidP="0012497F">
            <w:pPr>
              <w:jc w:val="center"/>
              <w:rPr>
                <w:color w:val="000000" w:themeColor="text1"/>
              </w:rPr>
            </w:pPr>
            <w:r>
              <w:rPr>
                <w:color w:val="000000" w:themeColor="text1"/>
              </w:rPr>
              <w:t>67.22%</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46.48%</w:t>
            </w:r>
          </w:p>
        </w:tc>
        <w:tc>
          <w:tcPr>
            <w:tcW w:w="918" w:type="pct"/>
          </w:tcPr>
          <w:p w14:paraId="58EBEEB4" w14:textId="68AFCCA1" w:rsidR="009E2382" w:rsidRPr="00ED172B" w:rsidRDefault="009E2382" w:rsidP="0012497F">
            <w:pPr>
              <w:jc w:val="center"/>
              <w:rPr>
                <w:color w:val="000000" w:themeColor="text1"/>
              </w:rPr>
            </w:pPr>
            <w:r>
              <w:rPr>
                <w:color w:val="000000" w:themeColor="text1"/>
              </w:rPr>
              <w:t>46.49%</w:t>
            </w:r>
          </w:p>
        </w:tc>
        <w:tc>
          <w:tcPr>
            <w:tcW w:w="918" w:type="pct"/>
          </w:tcPr>
          <w:p w14:paraId="6E31560A" w14:textId="75F80FC4" w:rsidR="009E2382" w:rsidRPr="00ED172B" w:rsidRDefault="009E2382" w:rsidP="0012497F">
            <w:pPr>
              <w:jc w:val="center"/>
              <w:rPr>
                <w:color w:val="000000" w:themeColor="text1"/>
              </w:rPr>
            </w:pPr>
            <w:r>
              <w:rPr>
                <w:color w:val="000000" w:themeColor="text1"/>
              </w:rPr>
              <w:t>46.50%</w:t>
            </w:r>
          </w:p>
        </w:tc>
        <w:tc>
          <w:tcPr>
            <w:tcW w:w="917" w:type="pct"/>
          </w:tcPr>
          <w:p w14:paraId="42F0DDB0" w14:textId="671196CD" w:rsidR="009E2382" w:rsidRPr="00ED172B" w:rsidRDefault="009E2382" w:rsidP="0012497F">
            <w:pPr>
              <w:jc w:val="center"/>
              <w:rPr>
                <w:color w:val="000000" w:themeColor="text1"/>
              </w:rPr>
            </w:pPr>
            <w:r>
              <w:rPr>
                <w:color w:val="000000" w:themeColor="text1"/>
              </w:rPr>
              <w:t>46.51%</w:t>
            </w:r>
          </w:p>
        </w:tc>
        <w:tc>
          <w:tcPr>
            <w:tcW w:w="916" w:type="pct"/>
          </w:tcPr>
          <w:p w14:paraId="2D756F12" w14:textId="626F7751" w:rsidR="009E2382" w:rsidRPr="00ED172B" w:rsidRDefault="009E2382" w:rsidP="0012497F">
            <w:pPr>
              <w:jc w:val="center"/>
              <w:rPr>
                <w:color w:val="000000" w:themeColor="text1"/>
              </w:rPr>
            </w:pPr>
            <w:r>
              <w:rPr>
                <w:color w:val="000000" w:themeColor="text1"/>
              </w:rPr>
              <w:t>47.47%</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814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301</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36.98%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223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27.40%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199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24.45%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11.18%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422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723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61.25%</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61.50%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58.37%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290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814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33.49%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45.52%</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35.63%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While, during evaluation, the State did not see an increase in Social Emotional developmental delays, once services started, the interventionists found that in other delay areas, children were affected on a social emotional level. Due to the restrictions of COVID, children were unable to participate in activities with peers. The lack of peer interaction made an impact on the potential progress of the children. Other challenges that children and families faced, related to COVID, consisted of breaks in services that were once provided in the home or childcare which then had to be provided via telehealth. Some parents were working from home and may have had other children in the home who were expected to attend school via online learning, which would interfere with access to [online] services. Additionally, a parent’s opportunity to engage in coaching therapy with interventionists in a manner that would benefit the child was affected by the switch to virtual communications. Services for children were also impacted by the 10-day quarantine due to </w:t>
      </w:r>
      <w:r w:rsidRPr="00ED172B">
        <w:rPr>
          <w:color w:val="000000" w:themeColor="text1"/>
        </w:rPr>
        <w:lastRenderedPageBreak/>
        <w:t>positive COVID results or cases of voluntary quarantine because of exposure to COVID.  Inconsistencies due to family concerns impacted all areas of the COS, not just social emotional.</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298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36.61%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269</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33.05%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22.85%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7.49%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455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753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65.42%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65.67%</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60.42%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247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814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27.77%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41.52%</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30.34%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Due to the restrictions of COVID, children were unable to participate in activities with peers. The lack of peer interaction made an impact on the potential progress of the children’s acquisition and use of knowledge and skills which include early language and communication.  Other challenges that children and families faced, related to COVID, consisted of breaks in services that were once provided in the home or childcare which then had to be provided via telehealth. Some parents were working from home and may have had other children in the home who were expected to attend school via online learning, which would interfere with access to [online] services. Additionally, a parent’s opportunity to engage in coaching therapy with interventionists in a manner that would benefit the child was affected by the switch to virtual communications. Services for children were also impacted by the 10-day quarantine due to positive COVID results or cases of voluntary quarantine because of exposure to COVID.  Inconsistencies due to family concerns impacted all areas of the COS, not just social emotional.</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310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38.08%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195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23.96%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278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34.15%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3.81%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473</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783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65.97%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66.22%</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60.41%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lastRenderedPageBreak/>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309</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814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36.64%</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46.48%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37.96%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Due to the restrictions of COVID, children were unable to participate in activities with peers. The lack of peer interaction made an impact on the potential progress of the children’s appropriate behaviors to meet their needs.  Other challenges that children and families faced, related to COVID, consisted of breaks in services that were once provided in the home or childcare which then had to be provided via telehealth. Some parents were working from home and may have had other children in the home who were expected to attend school via online learning, which would interfere with access to [online] services. Additionally, a parent’s opportunity to engage in coaching therapy with interventionists in a manner that would benefit the child was affected by the switch to virtual communications. Services for children were also impacted by the 10-day quarantine due to positive COVID results or cases of voluntary quarantine because of exposure to COVID.  Inconsistencies due to family concerns impacted all areas of the COS, not just social emotional.</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1,339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442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COS is completed as part of the IFSP process at the Initial IFSP meeting and after the completions of Transition activities.  Information for the initial rating is collected during the MDE and MDA processes, using a variety of developmental test tools, observation, and family report; and the exit rating is based on </w:t>
      </w:r>
      <w:proofErr w:type="gramStart"/>
      <w:r w:rsidRPr="00ED172B">
        <w:rPr>
          <w:rFonts w:cs="Arial"/>
          <w:color w:val="000000" w:themeColor="text1"/>
          <w:szCs w:val="16"/>
        </w:rPr>
        <w:t>the  most</w:t>
      </w:r>
      <w:proofErr w:type="gramEnd"/>
      <w:r w:rsidRPr="00ED172B">
        <w:rPr>
          <w:rFonts w:cs="Arial"/>
          <w:color w:val="000000" w:themeColor="text1"/>
          <w:szCs w:val="16"/>
        </w:rPr>
        <w:t xml:space="preserve"> current assessments of the providers, observation and family report.  The IFSP team uses the Child outcomes Summary (COS) process to collect and report child outcomes data to the federal government.</w:t>
      </w:r>
      <w:r w:rsidRPr="00ED172B">
        <w:rPr>
          <w:rFonts w:cs="Arial"/>
          <w:color w:val="000000" w:themeColor="text1"/>
          <w:szCs w:val="16"/>
        </w:rPr>
        <w:br/>
      </w:r>
      <w:r w:rsidRPr="00ED172B">
        <w:rPr>
          <w:rFonts w:cs="Arial"/>
          <w:color w:val="000000" w:themeColor="text1"/>
          <w:szCs w:val="16"/>
        </w:rPr>
        <w:br/>
        <w:t>Birth to Three – Administration runs a SQL report of raw data based on the criteria necessary to complete this indicator, which is then interpreted for the use in the COS reporting.  Periodic review is conducted to ensure valid and reliable child outcome data are entered.</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92.23%</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46.30%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93.75%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92.23%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92.23%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98.26%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95.35%</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95.36%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96.19%</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55.90%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96.23%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92.33%</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92.43%</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92.53%</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92.63%</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92.73%</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95.45%</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95.55%</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95.65%</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95.75%</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95.85%</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96.29%</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96.39%</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96.49%</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96.59%</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96.69%</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br/>
        <w:t>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1,110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346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31.17%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lastRenderedPageBreak/>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334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346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333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346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342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346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98.26%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92.33%</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96.53%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95.36%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95.45%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96.24%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96.23%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96.29%</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98.84%</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013004" w:rsidP="00781A26">
            <w:pPr>
              <w:rPr>
                <w:rFonts w:cs="Arial"/>
                <w:color w:val="000000" w:themeColor="text1"/>
                <w:szCs w:val="16"/>
              </w:rPr>
            </w:pP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32.52%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31.17%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During the contract negotiation process, Administration collaborates with the University of Delaware’s CRESP program to determine where underlying needs may be for increasing the response rate year over year.  For FFY 2021 reporting,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the surveys were introduced to the families via email or text message.  In cases where an email or cell phone was not available, a letter was mailed to the parents’ home address.  In this year’s contract negotiation for the FFY 2022 Family Survey, Administration and the CRESP program are discussing the possibility of outreach infographics and a social media presence to help families become aware of the survey, the need to fill out the survey, as well as how to access the survey.  Training service coordinators in better describing the survey process and expectation is also on the list of activities.  We intend to use the data provided in the FFY 2021 Survey to dictate where our resources need to go in order to reach underrepresented populations.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Statistical analyses of survey data were conducted in a Statistical Package for Social Sciences (SPSS) program. To treat missing quantitative data, we excluded cases based on individual case analysis. We used descriptive (mean, standard deviation) and summary statistics (percentage of responses for ‘strongly agree,’ ‘agree,’ ‘disagree,’ ‘strongly disagree’) to describe the basic features of the survey data. In addition, to compare how families scored across items, survey data were analyzed using the independent-samples Mann Whitney U tests (for comparing 2 groups) or Kruskal-Wallis tests (for comparing three or more groups) of significance. P-values were set at .05. </w:t>
      </w:r>
      <w:r w:rsidRPr="00ED172B">
        <w:rPr>
          <w:rFonts w:cs="Arial"/>
          <w:color w:val="000000" w:themeColor="text1"/>
          <w:szCs w:val="16"/>
        </w:rPr>
        <w:br/>
        <w:t>Families were compared across demographic characteristics (child’s age, child’s biological sex, county, child’s race, child’s ethnicity). The category ‘child’s race’ was collapsed from the original groups to ‘White’ (1) and ‘children of color’ (2) due to uneven distribution of families across the original categories. Likewise, the category ‘child’s age’ was collapsed from the original groups to ‘Birth to 2’ (1) and ‘Over 2’ (2) due to the uneven distribution of families across the original categories. Tests of significance were run for every group of survey items. In addition, post-hoc tests were conducted following Kruskal-Wallis tests to analyze all pairs of groups. Significance values for post-hoc tests are Bonferroni corrected to control for Type I error.</w:t>
      </w:r>
      <w:r w:rsidRPr="00ED172B">
        <w:rPr>
          <w:rFonts w:cs="Arial"/>
          <w:color w:val="000000" w:themeColor="text1"/>
          <w:szCs w:val="16"/>
        </w:rPr>
        <w:br/>
      </w:r>
      <w:r w:rsidRPr="00ED172B">
        <w:rPr>
          <w:rFonts w:cs="Arial"/>
          <w:color w:val="000000" w:themeColor="text1"/>
          <w:szCs w:val="16"/>
        </w:rPr>
        <w:lastRenderedPageBreak/>
        <w:br/>
        <w:t xml:space="preserve">In addition to the Likert-style questions, the survey asked three open-ended questions, which asked families to (1) Please share with us if the changes in your Family Service Coordinator have affected your family's experience in the B23/Child Development Watch Program, (2) Please share with us any additional information about your experience with the B23/CDW program, and (3) Do you have any suggestions for us to improve in the future?. Two-hundred and fifty-nine (259) opened-ended responses were provided in relation to these three items. </w:t>
      </w:r>
      <w:r w:rsidRPr="00ED172B">
        <w:rPr>
          <w:rFonts w:cs="Arial"/>
          <w:color w:val="000000" w:themeColor="text1"/>
          <w:szCs w:val="16"/>
        </w:rPr>
        <w:br/>
        <w:t>Qualitative data were analyzed using open coding to identify themes. Responses in Spanish were translated to English by bilingual research staff during the coding process. Where Spanish quotes are provided throughout the report, an English translation is provided in square brackets immediately following the original text. A complete list of all open-ended responses is provided in Appendix C. All identifying information (e.g., names) have been removed from the comments to ensure confidentiality.</w:t>
      </w:r>
      <w:r w:rsidRPr="00ED172B">
        <w:rPr>
          <w:rFonts w:cs="Arial"/>
          <w:color w:val="000000" w:themeColor="text1"/>
          <w:szCs w:val="16"/>
        </w:rPr>
        <w:br/>
      </w:r>
      <w:r w:rsidRPr="00ED172B">
        <w:rPr>
          <w:rFonts w:cs="Arial"/>
          <w:color w:val="000000" w:themeColor="text1"/>
          <w:szCs w:val="16"/>
        </w:rPr>
        <w:br/>
        <w:t xml:space="preserve">The State utilizes </w:t>
      </w:r>
      <w:proofErr w:type="gramStart"/>
      <w:r w:rsidRPr="00ED172B">
        <w:rPr>
          <w:rFonts w:cs="Arial"/>
          <w:color w:val="000000" w:themeColor="text1"/>
          <w:szCs w:val="16"/>
        </w:rPr>
        <w:t>a number of</w:t>
      </w:r>
      <w:proofErr w:type="gramEnd"/>
      <w:r w:rsidRPr="00ED172B">
        <w:rPr>
          <w:rFonts w:cs="Arial"/>
          <w:color w:val="000000" w:themeColor="text1"/>
          <w:szCs w:val="16"/>
        </w:rPr>
        <w:t xml:space="preserve"> steps and strategies to address identified bias.  This year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the surveys were conducted via email, where in the past we depended on the responses to be provided via phone conversations.   It was found that by using email, families were more readily able to participate.   Moving forward, the State has determined that utilizing infographics distributed electronically and at outreach events to promote better participation of parents in the survey.  The outreach events specifically target the underserved populations of Delaware such as the Hispanic, Haitian/Creole and military population.  The State has created a new infographic which will be distributed quarterly to all parents who have children with active IFSPs.  The infographic indicates that the parents should be prepared for potential contact from the CRESP program to participate in the survey.  It is the intention of this process to have the parents be more aware of the survey, the need of the survey and the availability of the survey.   </w:t>
      </w:r>
      <w:r w:rsidRPr="00ED172B">
        <w:rPr>
          <w:rFonts w:cs="Arial"/>
          <w:color w:val="000000" w:themeColor="text1"/>
          <w:szCs w:val="16"/>
        </w:rPr>
        <w:br/>
      </w:r>
      <w:r w:rsidRPr="00ED172B">
        <w:rPr>
          <w:rFonts w:cs="Arial"/>
          <w:color w:val="000000" w:themeColor="text1"/>
          <w:szCs w:val="16"/>
        </w:rPr>
        <w:br/>
        <w:t xml:space="preserve">The State acknowledges </w:t>
      </w:r>
      <w:proofErr w:type="gramStart"/>
      <w:r w:rsidRPr="00ED172B">
        <w:rPr>
          <w:rFonts w:cs="Arial"/>
          <w:color w:val="000000" w:themeColor="text1"/>
          <w:szCs w:val="16"/>
        </w:rPr>
        <w:t>at this time</w:t>
      </w:r>
      <w:proofErr w:type="gramEnd"/>
      <w:r w:rsidRPr="00ED172B">
        <w:rPr>
          <w:rFonts w:cs="Arial"/>
          <w:color w:val="000000" w:themeColor="text1"/>
          <w:szCs w:val="16"/>
        </w:rPr>
        <w:t xml:space="preserve"> that we are unable to provide a deeper analysis of non-response bias due to the nature of the blind survey.  In previous years it was decided to not include specific identifiable information due to the parent's fears of punitive measures should coordinators become aware of their answers to the survey.  We intend to work with the University of Delaware's CRESP program to establish a means to capture information in a non-identifiable way to better gather information for analysis.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Based on the Child Count and Settings report compared to the Family Survey, data on race were   18.89 % (21.1% Family Survey) of the population was Hispanic, .17% (&lt;.1% Family Survey) were American Indian / Alaska Native, 3.08% (5% Family Survey) were Asian, 26.37% (24% Family Survey) Black, .17% (0% Family Survey) NH/PI, 47% (48.27% Family Survey) Ca, 4.33% (8.38% Family Survey) of more than one race.  Our Child Count report shows that 8.49% of the children were Birth to 1 years, the Family Survey shows that 1.2% of children were represented.  For the one – </w:t>
      </w:r>
      <w:proofErr w:type="gramStart"/>
      <w:r w:rsidRPr="00ED172B">
        <w:rPr>
          <w:rFonts w:cs="Arial"/>
          <w:color w:val="000000" w:themeColor="text1"/>
          <w:szCs w:val="16"/>
        </w:rPr>
        <w:t>two year</w:t>
      </w:r>
      <w:proofErr w:type="gramEnd"/>
      <w:r w:rsidRPr="00ED172B">
        <w:rPr>
          <w:rFonts w:cs="Arial"/>
          <w:color w:val="000000" w:themeColor="text1"/>
          <w:szCs w:val="16"/>
        </w:rPr>
        <w:t xml:space="preserve"> population of 28.87%, the Family Survey showed that 23% were represented.  For the </w:t>
      </w:r>
      <w:proofErr w:type="gramStart"/>
      <w:r w:rsidRPr="00ED172B">
        <w:rPr>
          <w:rFonts w:cs="Arial"/>
          <w:color w:val="000000" w:themeColor="text1"/>
          <w:szCs w:val="16"/>
        </w:rPr>
        <w:t>two to three year</w:t>
      </w:r>
      <w:proofErr w:type="gramEnd"/>
      <w:r w:rsidRPr="00ED172B">
        <w:rPr>
          <w:rFonts w:cs="Arial"/>
          <w:color w:val="000000" w:themeColor="text1"/>
          <w:szCs w:val="16"/>
        </w:rPr>
        <w:t xml:space="preserve"> population of 62.65%, the report showed that 55.5% of the population was represented.</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confidence intervals for data from FFY 2020 and FFY 2021 are as follows: Parents know their rights, FFY 20 ± 1.23%, and FFY 21 ± 1.69%. Qualitative questions were asked which helped us to determine that continued training of the Family Service Coordinators helped them to discuss and assist parents with understanding and knowing their rights. For parents being able to effectively communication their child’s needs – FFY 20 ± 1.94% and FFY 21 ± 1.75% which is not a significant difference. Lastly, for parents who feel they can help their child develop and learn, FFY 20 - ± 1.76% and FFY 21 ± 1.03% which is a significant difference.</w:t>
      </w:r>
      <w:r w:rsidRPr="00ED172B">
        <w:rPr>
          <w:rFonts w:cs="Arial"/>
          <w:color w:val="000000" w:themeColor="text1"/>
          <w:szCs w:val="16"/>
        </w:rPr>
        <w:br/>
      </w:r>
      <w:r w:rsidRPr="00ED172B">
        <w:rPr>
          <w:rFonts w:cs="Arial"/>
          <w:color w:val="000000" w:themeColor="text1"/>
          <w:szCs w:val="16"/>
        </w:rPr>
        <w:br/>
        <w:t xml:space="preserve">Geographic Location </w:t>
      </w:r>
      <w:r w:rsidRPr="00ED172B">
        <w:rPr>
          <w:rFonts w:cs="Arial"/>
          <w:color w:val="000000" w:themeColor="text1"/>
          <w:szCs w:val="16"/>
        </w:rPr>
        <w:br/>
        <w:t xml:space="preserve">The family outcomes federal reporting requirement for Part C programs requires that states report on the percent of families for whom their participation in early intervention services has helped their family know their rights, effectively communicate their children’s needs, and  helped families help their children develop and learn. Families overwhelmingly indicated (92%-97% agree or strongly agree) that early intervention services (i.e., the Regional Program - CDW program) has helped their family in these areas. Most families also reported positive experiences with the B23/CDW admission process. </w:t>
      </w:r>
      <w:proofErr w:type="gramStart"/>
      <w:r w:rsidRPr="00ED172B">
        <w:rPr>
          <w:rFonts w:cs="Arial"/>
          <w:color w:val="000000" w:themeColor="text1"/>
          <w:szCs w:val="16"/>
        </w:rPr>
        <w:t>Similar to</w:t>
      </w:r>
      <w:proofErr w:type="gramEnd"/>
      <w:r w:rsidRPr="00ED172B">
        <w:rPr>
          <w:rFonts w:cs="Arial"/>
          <w:color w:val="000000" w:themeColor="text1"/>
          <w:szCs w:val="16"/>
        </w:rPr>
        <w:t xml:space="preserve"> last year, families had mixed perceptions about the transition process, with some families reporting struggles with the transition process out of B23. Families’ experiences with their Family Service Coordinators and Early Intervention Providers were highly rated. Approximately one-quarter of families surveyed indicated that they experienced a change in their family service coordinator over the past year. Families reported mixed perceptions related to the changes in their coordinator. Although most families responded positively to survey items, tests of significance revealed differences between families living in New Castle County and families living in Sussex and Kent Counties. Specifically, New Castle participants scored some items lower than participants from Kent/Sussex Counties. While analyses revealed that there were significant differences between families’ scores, the means for all items remained in the ‘3’ range (where 1= Strongly Disagree and 4= Strongly Agree). As such, it’s important to note that most families are satisfied with the services they are receiving.</w:t>
      </w:r>
      <w:r w:rsidRPr="00ED172B">
        <w:rPr>
          <w:rFonts w:cs="Arial"/>
          <w:color w:val="000000" w:themeColor="text1"/>
          <w:szCs w:val="16"/>
        </w:rPr>
        <w:br/>
        <w:t>A Kruskal-</w:t>
      </w:r>
      <w:proofErr w:type="gramStart"/>
      <w:r w:rsidRPr="00ED172B">
        <w:rPr>
          <w:rFonts w:cs="Arial"/>
          <w:color w:val="000000" w:themeColor="text1"/>
          <w:szCs w:val="16"/>
        </w:rPr>
        <w:t>Wallis</w:t>
      </w:r>
      <w:proofErr w:type="gramEnd"/>
      <w:r w:rsidRPr="00ED172B">
        <w:rPr>
          <w:rFonts w:cs="Arial"/>
          <w:color w:val="000000" w:themeColor="text1"/>
          <w:szCs w:val="16"/>
        </w:rPr>
        <w:t xml:space="preserve"> test was used to compare whether families living in New Castle, Sussex, and Kent Counties answered items significantly differently.  The tests indicated that families living in different counties scored significantly differently on only one item, “Helped me know about my family’s rights”, </w:t>
      </w:r>
      <w:proofErr w:type="gramStart"/>
      <w:r w:rsidRPr="00ED172B">
        <w:rPr>
          <w:rFonts w:cs="Arial"/>
          <w:color w:val="000000" w:themeColor="text1"/>
          <w:szCs w:val="16"/>
        </w:rPr>
        <w:t>H(</w:t>
      </w:r>
      <w:proofErr w:type="gramEnd"/>
      <w:r w:rsidRPr="00ED172B">
        <w:rPr>
          <w:rFonts w:cs="Arial"/>
          <w:color w:val="000000" w:themeColor="text1"/>
          <w:szCs w:val="16"/>
        </w:rPr>
        <w:t xml:space="preserve">2)=10.34, p=.006. Pairwise comparisons revealed that there were significant differences between New Castle County and Kent County </w:t>
      </w:r>
      <w:proofErr w:type="gramStart"/>
      <w:r w:rsidRPr="00ED172B">
        <w:rPr>
          <w:rFonts w:cs="Arial"/>
          <w:color w:val="000000" w:themeColor="text1"/>
          <w:szCs w:val="16"/>
        </w:rPr>
        <w:t>H(</w:t>
      </w:r>
      <w:proofErr w:type="gramEnd"/>
      <w:r w:rsidRPr="00ED172B">
        <w:rPr>
          <w:rFonts w:cs="Arial"/>
          <w:color w:val="000000" w:themeColor="text1"/>
          <w:szCs w:val="16"/>
        </w:rPr>
        <w:t xml:space="preserve">2)=41.50, p=.004. A comparison of group means indicates that families from Kent County (M= 3.68, SD= .508) rated this item higher than families from New Castle County (M= 3.38, SD= .641). None of the other comparisons were significant. </w:t>
      </w:r>
      <w:r w:rsidRPr="00ED172B">
        <w:rPr>
          <w:rFonts w:cs="Arial"/>
          <w:color w:val="000000" w:themeColor="text1"/>
          <w:szCs w:val="16"/>
        </w:rPr>
        <w:br/>
      </w:r>
      <w:r w:rsidRPr="00ED172B">
        <w:rPr>
          <w:rFonts w:cs="Arial"/>
          <w:color w:val="000000" w:themeColor="text1"/>
          <w:szCs w:val="16"/>
        </w:rPr>
        <w:br/>
        <w:t>Nine open-ended responses referenced the fact that the B23/CDW program has helped them (and their family) know how to help their child develop and learn. Relatedly, 13 families reported that B23/CDW services have helped their child develop and learn. A couple of these quotes are highlighted below.</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survey tool underwent significant revision last year for the 2020-2021 iteration of the survey. During last year’s revision, the research team conducted exploratory factor analysis, a jurisdictional scan of available Part C Family Outcome Surveys, and a review of previous final reports on the B23/Family Outcomes Surveys. In addition, the research team collaborated with staff members from Delaware’s Department of Health and Social Services (DHSS), and staff from Birth to Three Early Intervention Program Child Development Watch to inform the survey’s development.</w:t>
      </w:r>
      <w:r w:rsidRPr="00ED172B">
        <w:rPr>
          <w:rFonts w:cs="Arial"/>
          <w:color w:val="000000" w:themeColor="text1"/>
          <w:szCs w:val="16"/>
        </w:rPr>
        <w:br/>
      </w:r>
      <w:r w:rsidRPr="00ED172B">
        <w:rPr>
          <w:rFonts w:cs="Arial"/>
          <w:color w:val="000000" w:themeColor="text1"/>
          <w:szCs w:val="16"/>
        </w:rPr>
        <w:br/>
        <w:t xml:space="preserve">This year (2021-2022), the survey underwent additional revision and refinement to reflect the opinions of the ICC. The research team met with stakeholders from the ICC twice on November 17,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December 1, 2021. During the first meeting, the 2020-2021 survey was reviewed and the stakeholders discussed potential areas for further refinement. Stakeholders suggested revisions to (a) remove items that were redundant or lacking in value, (a) refine questions to reduce confusion, (c) add items where stakeholders perceived they were needed.</w:t>
      </w:r>
      <w:r w:rsidRPr="00ED172B">
        <w:rPr>
          <w:rFonts w:cs="Arial"/>
          <w:color w:val="000000" w:themeColor="text1"/>
          <w:szCs w:val="16"/>
        </w:rPr>
        <w:br/>
      </w:r>
      <w:r w:rsidRPr="00ED172B">
        <w:rPr>
          <w:rFonts w:cs="Arial"/>
          <w:color w:val="000000" w:themeColor="text1"/>
          <w:szCs w:val="16"/>
        </w:rPr>
        <w:br/>
        <w:t xml:space="preserve">After the first meeting, members of the research team revised the survey based on the stakeholders’ feedback and submitted the revised tool to the stakeholders for review. During the second meeting, proposed changes were discussed and voted on by the stakeholder group. </w:t>
      </w:r>
      <w:r w:rsidRPr="00ED172B">
        <w:rPr>
          <w:rFonts w:cs="Arial"/>
          <w:color w:val="000000" w:themeColor="text1"/>
          <w:szCs w:val="16"/>
        </w:rPr>
        <w:br/>
        <w:t xml:space="preserve">The revised survey has eight sections of information collection and a demographic section for use during the analysis of responses. Several question formats were used in the survey. The demographic section includes a checklist response to questions. Sections one to six were set up as a 4-point </w:t>
      </w:r>
      <w:r w:rsidRPr="00ED172B">
        <w:rPr>
          <w:rFonts w:cs="Arial"/>
          <w:color w:val="000000" w:themeColor="text1"/>
          <w:szCs w:val="16"/>
        </w:rPr>
        <w:lastRenderedPageBreak/>
        <w:t>Likert scale to establish "degree of alignment" with the statement made (1 = strongly disagree; 2 = disagree; 3 = agree; 4 = strongly agree). Sections seven and eight of the survey were set up as open-ended questions to allow respondents to describe issues that are important to them. In addition, section 4a includes an open-ended question to allow respondents to describe their experiences with changes to their Family Service Coordinator. The eight revised survey sections are as follows:</w:t>
      </w:r>
      <w:r w:rsidRPr="00ED172B">
        <w:rPr>
          <w:rFonts w:cs="Arial"/>
          <w:color w:val="000000" w:themeColor="text1"/>
          <w:szCs w:val="16"/>
        </w:rPr>
        <w:br/>
        <w:t>1. Demographics (4 questions)</w:t>
      </w:r>
      <w:r w:rsidRPr="00ED172B">
        <w:rPr>
          <w:rFonts w:cs="Arial"/>
          <w:color w:val="000000" w:themeColor="text1"/>
          <w:szCs w:val="16"/>
        </w:rPr>
        <w:br/>
        <w:t>2. Federal Reporting Requirements (3 questions)</w:t>
      </w:r>
      <w:r w:rsidRPr="00ED172B">
        <w:rPr>
          <w:rFonts w:cs="Arial"/>
          <w:color w:val="000000" w:themeColor="text1"/>
          <w:szCs w:val="16"/>
        </w:rPr>
        <w:br/>
        <w:t>3. The B23/CDW admissions process (3 questions)</w:t>
      </w:r>
      <w:r w:rsidRPr="00ED172B">
        <w:rPr>
          <w:rFonts w:cs="Arial"/>
          <w:color w:val="000000" w:themeColor="text1"/>
          <w:szCs w:val="16"/>
        </w:rPr>
        <w:br/>
        <w:t>4. Families' experiences with their family service coordinator (10 questions)</w:t>
      </w:r>
      <w:r w:rsidRPr="00ED172B">
        <w:rPr>
          <w:rFonts w:cs="Arial"/>
          <w:color w:val="000000" w:themeColor="text1"/>
          <w:szCs w:val="16"/>
        </w:rPr>
        <w:br/>
        <w:t>a. Families' experiences with changes to their Family Service Coordinator (if applicable) (3 questions)</w:t>
      </w:r>
      <w:r w:rsidRPr="00ED172B">
        <w:rPr>
          <w:rFonts w:cs="Arial"/>
          <w:color w:val="000000" w:themeColor="text1"/>
          <w:szCs w:val="16"/>
        </w:rPr>
        <w:br/>
        <w:t>5. Families' experiences with their Early Intervention Provider(s) (7 questions)</w:t>
      </w:r>
      <w:r w:rsidRPr="00ED172B">
        <w:rPr>
          <w:rFonts w:cs="Arial"/>
          <w:color w:val="000000" w:themeColor="text1"/>
          <w:szCs w:val="16"/>
        </w:rPr>
        <w:br/>
        <w:t>6. Families' experiences during the transition process (6 questions)</w:t>
      </w:r>
      <w:r w:rsidRPr="00ED172B">
        <w:rPr>
          <w:rFonts w:cs="Arial"/>
          <w:color w:val="000000" w:themeColor="text1"/>
          <w:szCs w:val="16"/>
        </w:rPr>
        <w:br/>
        <w:t>7. Families' perceptions about their experiences with the B23/CDW program (1 question)</w:t>
      </w:r>
      <w:r w:rsidRPr="00ED172B">
        <w:rPr>
          <w:rFonts w:cs="Arial"/>
          <w:color w:val="000000" w:themeColor="text1"/>
          <w:szCs w:val="16"/>
        </w:rPr>
        <w:br/>
        <w:t>8. Families’ perceptions about how B23/CDW can improve its services (1 question)</w:t>
      </w:r>
      <w:r w:rsidRPr="00ED172B">
        <w:rPr>
          <w:rFonts w:cs="Arial"/>
          <w:color w:val="000000" w:themeColor="text1"/>
          <w:szCs w:val="16"/>
        </w:rPr>
        <w:br/>
        <w:t>See attached Family Survey Report.</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In its description of its FFY 2021 data, the State did not describe strategies that will be implemented to increase the response rate year over year for those groups that are underrepresented,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describe strategies which are expected to increase the response rate for those groups that are underrepresented.</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0.50%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0.60%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0.70%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0.90%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1.00%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lastRenderedPageBreak/>
        <w:br/>
        <w:t>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102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10,280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102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10,280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0.50%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DHSS collaborated with the Department of Education (DOE) and the Office of Early Learning (OEL) by adding an Ages and Stages Questionnaire (ASQ) link to the Birth to Three website. This is to offer families an additional opportunity to access developmental screenings. Birth to Three – Administration continues to contract with Help Me Grow/211 to ensure that any ASQ screenings that come through the Birth to Three – Administration portal are processed timely so that parents are aware of their child’s current developmental needs.  Should a screening indicate the need for further evaluation, a referral is sent to the Regional Program – CDW.    The governor has approved legislation, that beginning July 2023, all licensed childcare providers must conduct Ages and Stages screenings on the children enrolled in the childcare programs in order to maintain their licensure.  This will mean an increase in the number of referrals that the CDWs will receive.  Birth to Three - Administration is working with the DOE/OEL Developmental Screening Technical Assistant team to determine the impact that the new legislation may have on our programs.  Birth to Three staff continue to attend core leadership team meetings as well as community of practice meetings in conjunction with the school districts to collaborate on resources and mechanisms to put into place when the 2023 timeline starts.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2.94%</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2.74%</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2.76%</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3.27%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3.50%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2.97%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3.00%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3.03%</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3.06%</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3.09%</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3.12%</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br/>
        <w:t xml:space="preserve">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w:t>
      </w:r>
      <w:r w:rsidRPr="00ED172B">
        <w:rPr>
          <w:color w:val="000000" w:themeColor="text1"/>
        </w:rPr>
        <w:lastRenderedPageBreak/>
        <w:t>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1,202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31,412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1,202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31,412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2.97%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3.83%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DHSS collaborates with the Department of Education (DOE) and, within the DOE, the Office of Early Learning (OEL) by adding an Ages and Stages Questionnaire (ASQ) link to the Birth to Three website. This is to offer families an additional opportunity to access developmental screenings. Birth to Three – Administration continues to contract with Help Me Grow/211 to ensure that any ASQ screenings that come through the Birth to Three – Administration portal are processed timely so that parents are aware of their child’s current developmental needs.  Should a screening indicate the need for further evaluation, a referral is sent to the Regional Program – CDW.    The governor has approved legislation, that beginning July 2023, all licensed childcare providers must conduct Ages and Stages screenings on the children enrolled in the childcare programs in order to maintain their licensure.  This will mean an increase in the number of referrals that the CDWs will receive.  Birth to Three - Administration is working with the DOE/OEL Developmental Screening Technical Assistant team to determine the impact that the new legislation may have on our programs.  Birth to Three staff continue to attend core leadership team meetings as well as community of practice meetings in conjunction with the school districts to collaborate on resources and mechanisms to put into place when the 2023 timeline starts.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89.90%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89.67%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82.11%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92.67%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86.78%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97.71%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97.71%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81.00%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With the onset of the 10% increase in referrals in FFY 2021, timely multidisciplinary evaluations became a challenge for one of the CDWs.  The Regional Program – CDW with the challenge of not being able to provide a timely multidisciplinary evaluation which led to a late initial IFSP meeting has since revised their processes.   Because of the revised processes and upon continued monthly review of Indicator 7 data, so far for FFY 2022, the regional program in question is in 100% compliance. </w:t>
      </w:r>
    </w:p>
    <w:p w14:paraId="23726145" w14:textId="77777777" w:rsidR="00293B59" w:rsidRPr="00ED172B" w:rsidRDefault="00293B59" w:rsidP="00293B59">
      <w:pPr>
        <w:rPr>
          <w:color w:val="000000" w:themeColor="text1"/>
          <w:szCs w:val="16"/>
        </w:rPr>
      </w:pPr>
      <w:r w:rsidRPr="00ED172B">
        <w:rPr>
          <w:b/>
          <w:color w:val="000000" w:themeColor="text1"/>
          <w:szCs w:val="16"/>
        </w:rPr>
        <w:lastRenderedPageBreak/>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Data indicated that 58% (58/100) of families had an IFSP meeting conducted within 45 days, and a total of 42 (42%) of families did not receive an initial IFSP meeting within 45 days of the referral date.  Of those 42 families, 23 (23% of the 100 records reviewed) had initial IFSP meetings beyond the 45-day timeline due to documented exceptional family circumstances.  Those reasons were indicated as  one family cancelled the initial IFSP meeting, three families had an illness which prevented the initial IFSP meeting to be conducted timely, three families requested that the initial IFSP meeting be rescheduled, six families requested that the initial IFSP meeting be conducted outside of the 45 day timeline, two families did not show for the initial IFSP meeting and service coordinators lost contact with eight families which caused a delay in the initial IFSP meeting.   The remaining 19 families who did not receive an initial IFSP meeting within the 45 days were due to circumstances not surrounding exceptional family circumstances; those being 18 multi-disciplinary evaluations being scheduled late by the Regional Program causing the initial IFSP to be conducted late, and one child did not have an initial IFSP meeting within the timeline due to the service coordinator scheduling late.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Both Regional Programs – CDW (Kent/Sussex and New Castle) -- are monitored annually via the statewide data system.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As required by OSEP Memo 09-02, Administration verified that both CDWs were now correctly implementing the requirement that the multidisciplinary evaluation and assessment, and the initial IFSP meeting must be conducted within 45 days of referral unless there was a delay due to a documented exceptional family circumstance.  On a monthly basis, Administration reviewed data for each through its </w:t>
      </w:r>
      <w:proofErr w:type="spellStart"/>
      <w:r w:rsidRPr="00ED172B">
        <w:rPr>
          <w:rFonts w:cs="Arial"/>
          <w:color w:val="000000" w:themeColor="text1"/>
          <w:szCs w:val="16"/>
        </w:rPr>
        <w:t>DHSSCares</w:t>
      </w:r>
      <w:proofErr w:type="spellEnd"/>
      <w:r w:rsidRPr="00ED172B">
        <w:rPr>
          <w:rFonts w:cs="Arial"/>
          <w:color w:val="000000" w:themeColor="text1"/>
          <w:szCs w:val="16"/>
        </w:rPr>
        <w:t xml:space="preserve"> database to determine whether the Regional Program had achieved100% compliance with the 45-day timeline.  </w:t>
      </w:r>
      <w:proofErr w:type="gramStart"/>
      <w:r w:rsidRPr="00ED172B">
        <w:rPr>
          <w:rFonts w:cs="Arial"/>
          <w:color w:val="000000" w:themeColor="text1"/>
          <w:szCs w:val="16"/>
        </w:rPr>
        <w:t>In order for</w:t>
      </w:r>
      <w:proofErr w:type="gramEnd"/>
      <w:r w:rsidRPr="00ED172B">
        <w:rPr>
          <w:rFonts w:cs="Arial"/>
          <w:color w:val="000000" w:themeColor="text1"/>
          <w:szCs w:val="16"/>
        </w:rPr>
        <w:t xml:space="preserve"> Administration to find that a Regional Program had achieved systemic correction, the Regional Program needed to have 100% compliance for two consecutive months.  Through this process, Administration determined that one of the two CDWs achieved 100% compliance for two consecutive months (the months of December 2020 and January 2021) within one year of the January 4, </w:t>
      </w:r>
      <w:proofErr w:type="gramStart"/>
      <w:r w:rsidRPr="00ED172B">
        <w:rPr>
          <w:rFonts w:cs="Arial"/>
          <w:color w:val="000000" w:themeColor="text1"/>
          <w:szCs w:val="16"/>
        </w:rPr>
        <w:t>2021</w:t>
      </w:r>
      <w:proofErr w:type="gramEnd"/>
      <w:r w:rsidRPr="00ED172B">
        <w:rPr>
          <w:rFonts w:cs="Arial"/>
          <w:color w:val="000000" w:themeColor="text1"/>
          <w:szCs w:val="16"/>
        </w:rPr>
        <w:t xml:space="preserve"> finding of noncompliance.  The other Regional Program also achieved 100% compliance for two consecutive months (the months of July and August 2022) but beyond the one-year timeline.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During the annual chart review process, Administration was able to determine based on progress notes and data entry into the statewide data system, that while late, the initial IFSP meeting did occur for each child whose initial IFSP meeting was delayed for a reason other than a documented exceptional family </w:t>
      </w:r>
      <w:proofErr w:type="gramStart"/>
      <w:r w:rsidRPr="00ED172B">
        <w:rPr>
          <w:rFonts w:cs="Arial"/>
          <w:color w:val="000000" w:themeColor="text1"/>
          <w:szCs w:val="16"/>
        </w:rPr>
        <w:t>circumstance..</w:t>
      </w:r>
      <w:proofErr w:type="gramEnd"/>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As noted above, only findings made for Indicator 7 were the FFY 2020 findings of noncompliance made on January 4, 2021.  There were no previous reports, and subsequent reports continued the findings made on January 4, </w:t>
      </w:r>
      <w:proofErr w:type="gramStart"/>
      <w:r w:rsidRPr="00ED172B">
        <w:rPr>
          <w:color w:val="000000" w:themeColor="text1"/>
        </w:rPr>
        <w:t>2021</w:t>
      </w:r>
      <w:proofErr w:type="gramEnd"/>
      <w:r w:rsidRPr="00ED172B">
        <w:rPr>
          <w:color w:val="000000" w:themeColor="text1"/>
        </w:rPr>
        <w:t xml:space="preserve"> rather than making new findings.</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85.00%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88.57%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94.85%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99.15%</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99.15%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DHSS monitors both CDWs every year for all compliance indicators via the statewide data system.</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No finding of noncompliance was made in any FFY. Although FFY 2020 data for one Regional Program - CDW were less than 100%, the Regional Program - CDW demonstrated individual and systemic correction before the monitoring report was issued.</w:t>
      </w:r>
      <w:r w:rsidRPr="00ED172B">
        <w:rPr>
          <w:color w:val="000000" w:themeColor="text1"/>
        </w:rPr>
        <w:br/>
      </w:r>
      <w:r w:rsidRPr="00ED172B">
        <w:rPr>
          <w:color w:val="000000" w:themeColor="text1"/>
        </w:rPr>
        <w:br/>
        <w:t>Regarding the one toddler for whom, as reflected in the FFY 2020 data of 99.15%, transition steps and services were not included in the IFSP at least 90 days before the child's third birthday had left the Part C program before the individual noncompliance could be corrected. although late, by adding transition steps and services to the IFSP.</w:t>
      </w:r>
      <w:r w:rsidRPr="00ED172B">
        <w:rPr>
          <w:color w:val="000000" w:themeColor="text1"/>
        </w:rPr>
        <w:br/>
      </w:r>
      <w:r w:rsidRPr="00ED172B">
        <w:rPr>
          <w:color w:val="000000" w:themeColor="text1"/>
        </w:rPr>
        <w:br/>
        <w:t xml:space="preserve">DHSS verified systemic correction before the October 27, </w:t>
      </w:r>
      <w:proofErr w:type="gramStart"/>
      <w:r w:rsidRPr="00ED172B">
        <w:rPr>
          <w:color w:val="000000" w:themeColor="text1"/>
        </w:rPr>
        <w:t>2021</w:t>
      </w:r>
      <w:proofErr w:type="gramEnd"/>
      <w:r w:rsidRPr="00ED172B">
        <w:rPr>
          <w:color w:val="000000" w:themeColor="text1"/>
        </w:rPr>
        <w:t xml:space="preserve"> issuance of the monitoring report based on the FFY 2020 data, based upon two consecutive months of 100% compliance for the months of April and May of 2021.</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1,284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1,284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An Operations Agreement exists between the Department of Health and Social Services, Division of Public Health and the Delaware Department of Education. This agreement specifically defines the roles of the two regional Department of Education (DOE)/Regional Program - CDW liaisons that are employed by DOE. These individuals act as liaisons between the CDWs and the local school districts in order to facilitate transition. </w:t>
      </w:r>
      <w:r w:rsidRPr="00ED172B">
        <w:rPr>
          <w:color w:val="000000" w:themeColor="text1"/>
          <w:szCs w:val="16"/>
        </w:rPr>
        <w:br/>
        <w:t xml:space="preserve"> </w:t>
      </w:r>
      <w:r w:rsidRPr="00ED172B">
        <w:rPr>
          <w:color w:val="000000" w:themeColor="text1"/>
          <w:szCs w:val="16"/>
        </w:rPr>
        <w:br/>
        <w:t xml:space="preserve">This year, notification reports were sent through the DOE liaisons to the local school districts on 100% of the 1284 children identified as potentially eligible for Part B services. </w:t>
      </w:r>
      <w:r w:rsidRPr="00ED172B">
        <w:rPr>
          <w:color w:val="000000" w:themeColor="text1"/>
          <w:szCs w:val="16"/>
        </w:rPr>
        <w:br/>
        <w:t>Notification is distributed on directory information for children who reside in each LEA (local school district) and will shortly reach the age of eligibility for preschool services under Part B, according to regulations under 303.209(b)(1) and to the SEA. Delaware included these requirements of IDEA 2004 and associated regulations when updating the Interagency Agreement for the Early Intervention System under Part C of the Individuals with Disabilities Education Improvement Act of 2004.</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process for ensuring compliance with the notification process is described above.  This process provides data for all toddlers, in both CDWs, who are potentially eligible for Part B preschool special educational services and have reached the age of 33 months for the full FFY 2021 (July 1, </w:t>
      </w:r>
      <w:proofErr w:type="gramStart"/>
      <w:r w:rsidRPr="00ED172B">
        <w:rPr>
          <w:color w:val="000000" w:themeColor="text1"/>
        </w:rPr>
        <w:t>2021</w:t>
      </w:r>
      <w:proofErr w:type="gramEnd"/>
      <w:r w:rsidRPr="00ED172B">
        <w:rPr>
          <w:color w:val="000000" w:themeColor="text1"/>
        </w:rPr>
        <w:t xml:space="preserve">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process for ensuring compliance with the notification process is described above.  This process provides data for all toddlers who are potentially eligible for Part B preschool special educational services and have reached the age of 33 months for the full FFY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June 30, 2022.)</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75.00%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88.41%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81.23%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93.33%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97.06%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91.21%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91.21%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During FFY2021 charts were randomly reviewed for each program.  A total of 75 charts were reviewed, 25 for Regional Program New Castle and 50 charts for Regional Program Kent/Sussex.</w:t>
      </w:r>
      <w:r w:rsidRPr="00ED172B">
        <w:rPr>
          <w:color w:val="000000" w:themeColor="text1"/>
        </w:rPr>
        <w:br/>
      </w:r>
      <w:r w:rsidRPr="00ED172B">
        <w:rPr>
          <w:color w:val="000000" w:themeColor="text1"/>
        </w:rPr>
        <w:br/>
        <w:t>Of the 75 charts reviewed 100</w:t>
      </w:r>
      <w:proofErr w:type="gramStart"/>
      <w:r w:rsidRPr="00ED172B">
        <w:rPr>
          <w:color w:val="000000" w:themeColor="text1"/>
        </w:rPr>
        <w:t>%  (</w:t>
      </w:r>
      <w:proofErr w:type="gramEnd"/>
      <w:r w:rsidRPr="00ED172B">
        <w:rPr>
          <w:color w:val="000000" w:themeColor="text1"/>
        </w:rPr>
        <w:t>75/75) families had transition conferences conducted within 9 months to 90 days of the child’s third birthday.</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As required by OSEP Memo 09-02, Administration verified that both CDWs were now correctly implementing the requirement for timely transition conferences.  On a monthly basis, Administration reviewed data for each through its </w:t>
      </w:r>
      <w:proofErr w:type="spellStart"/>
      <w:r w:rsidRPr="00ED172B">
        <w:rPr>
          <w:color w:val="000000" w:themeColor="text1"/>
        </w:rPr>
        <w:t>DHSSCares</w:t>
      </w:r>
      <w:proofErr w:type="spellEnd"/>
      <w:r w:rsidRPr="00ED172B">
        <w:rPr>
          <w:color w:val="000000" w:themeColor="text1"/>
        </w:rPr>
        <w:t xml:space="preserve"> database to determine whether the Regional Program had achieved 100% compliance for timely transition conferences.  </w:t>
      </w:r>
      <w:proofErr w:type="gramStart"/>
      <w:r w:rsidRPr="00ED172B">
        <w:rPr>
          <w:color w:val="000000" w:themeColor="text1"/>
        </w:rPr>
        <w:t>In order for</w:t>
      </w:r>
      <w:proofErr w:type="gramEnd"/>
      <w:r w:rsidRPr="00ED172B">
        <w:rPr>
          <w:color w:val="000000" w:themeColor="text1"/>
        </w:rPr>
        <w:t xml:space="preserve"> Administration to find that a Regional Program had achieved systemic correction, the Regional Program needed to have 100% compliance for two consecutive months.  Through this process, Administration determined that one of the two CDWs achieved 100% compliance for two consecutive months (the months of December 2020 and January 2021) within one year of the January 4, </w:t>
      </w:r>
      <w:proofErr w:type="gramStart"/>
      <w:r w:rsidRPr="00ED172B">
        <w:rPr>
          <w:color w:val="000000" w:themeColor="text1"/>
        </w:rPr>
        <w:t>2021</w:t>
      </w:r>
      <w:proofErr w:type="gramEnd"/>
      <w:r w:rsidRPr="00ED172B">
        <w:rPr>
          <w:color w:val="000000" w:themeColor="text1"/>
        </w:rPr>
        <w:t xml:space="preserve"> finding of noncompliance.  The other Regional Program also achieved 100% compliance for two consecutive months (the months of December 2021 and January 2022) but beyond the one-year timeline.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During the annual chart review process, Administration was able to determine based on progress notes and data entry into the statewide data system, that while late, transition conferences did occur.</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As noted above, only findings made for Indicator 8C were the FFY 2020 findings of noncompliance made on January 4, 2021.  There were no previous reports, and subsequent reports continued the findings made on January 4, </w:t>
      </w:r>
      <w:proofErr w:type="gramStart"/>
      <w:r w:rsidRPr="00ED172B">
        <w:rPr>
          <w:color w:val="000000" w:themeColor="text1"/>
        </w:rPr>
        <w:t>2021</w:t>
      </w:r>
      <w:proofErr w:type="gramEnd"/>
      <w:r w:rsidRPr="00ED172B">
        <w:rPr>
          <w:color w:val="000000" w:themeColor="text1"/>
        </w:rPr>
        <w:t xml:space="preserve"> rather than making new findings.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state has adopted Part C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br/>
        <w:t>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0</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lastRenderedPageBreak/>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Delaware will increase the number and percentage of infants and toddlers who enter early intervention programming below age expectations in the in the area of Social-Emotional (SE) development and increase their rate of growth by the time they turn three or exit the </w:t>
      </w:r>
      <w:proofErr w:type="gramStart"/>
      <w:r w:rsidRPr="00ED172B">
        <w:rPr>
          <w:color w:val="000000" w:themeColor="text1"/>
        </w:rPr>
        <w:t>program</w:t>
      </w:r>
      <w:proofErr w:type="gramEnd"/>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4" w:name="_Hlk109646837"/>
      <w:r>
        <w:rPr>
          <w:b/>
          <w:bCs/>
        </w:rPr>
        <w:t>Please provide a description of the changes and updates to the theory of action.</w:t>
      </w:r>
    </w:p>
    <w:bookmarkEnd w:id="64"/>
    <w:p w14:paraId="24B767D6" w14:textId="14B54B79" w:rsidR="00A5616C" w:rsidRDefault="00A5616C" w:rsidP="00A5616C">
      <w:r w:rsidRPr="005137B6">
        <w:t>Originally, our Theory of Action contained five strands: Collaboration, Assessment practices, Professional Development, Family Involvement and Monitoring and Accountability. Last year, the Birth to Three Administration chose to focus on the Assessment Practices and Professional Development strands as both the Assessment Practices and Professional Development strands incorporate collaboration, family involvement and monitoring and accountability practices. Monitoring and accountability, collaboration and family involvement cross over all areas of assessment practices and professional development. Therefore, it was determined that they would be embedded within each of the two primary categories (Assessment Practices and Professional Development) rather than having them stand apart. Our updated Theory of Action reflects this thinking. While the updated Theory of Action may look different, the philosophy and integrity of it remain the same. In order to strengthen the implementation of the Theory of Action, our two stakeholder groups continue to meet (at least 3 times/month) to discuss current activities and to update on any progress made. As of the writing of last year’s report, the Theory of Action on our website had not been updated. It has now. A copy of this updated Theory of Action will be uploaded with this APR.</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46.63%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61.50%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61.75%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62.00%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62.25%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62.50%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422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723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61.25%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61.50%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58.37%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During evaluations to determine eligibility, the State did not see an increase in social emotional developmental delays. However, once services started, the interventionists found that children who were initially identified as having delays in other developmental areas were showing social emotional delays </w:t>
      </w:r>
      <w:r w:rsidRPr="00ED172B">
        <w:rPr>
          <w:color w:val="000000" w:themeColor="text1"/>
        </w:rPr>
        <w:lastRenderedPageBreak/>
        <w:t>as well. It is suspected that, due to the restrictions of COVID, children were unable to participate in activities with peers. The lack of peer interaction may have made an impact on the potential progress of the children. There was slippage because of the difficulty in observing social emotional delays when restricted to virtual intervention visits.  Therefore, we suspect that social emotional concerns were not being addressed, hence children were not making as much progress in this area.</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data captured for the FFY 2021 was extracted from the statewide data system, </w:t>
      </w:r>
      <w:proofErr w:type="spellStart"/>
      <w:r w:rsidRPr="00ED172B">
        <w:rPr>
          <w:color w:val="000000" w:themeColor="text1"/>
        </w:rPr>
        <w:t>DHSSCares</w:t>
      </w:r>
      <w:proofErr w:type="spellEnd"/>
      <w:r w:rsidRPr="00ED172B">
        <w:rPr>
          <w:color w:val="000000" w:themeColor="text1"/>
        </w:rPr>
        <w:t>.</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It is the responsibility of the Regional Programs to enter the data into the statewide data system, </w:t>
      </w:r>
      <w:proofErr w:type="spellStart"/>
      <w:r w:rsidRPr="00ED172B">
        <w:rPr>
          <w:color w:val="000000" w:themeColor="text1"/>
        </w:rPr>
        <w:t>DHSSCares</w:t>
      </w:r>
      <w:proofErr w:type="spellEnd"/>
      <w:r w:rsidRPr="00ED172B">
        <w:rPr>
          <w:color w:val="000000" w:themeColor="text1"/>
        </w:rPr>
        <w:t>, with validity and reliability. Administration and the Regional Programs worked collaboratively through September 2022 to ensure that all data that could be collected from the early intervention service providers were completed. Once the data were entered and subsequently extracted, the Part C Data Manager in Administration ran the calculations to determine of the total children captured (723) for Indicator 3 (A1), how many had entered the program below age expectations in Positive Social Emotional Skills substantially increased their rate of growth by the time they exited the program (422) resulting in a 58.37% total.</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8"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8"/>
    <w:p w14:paraId="1A9E428E" w14:textId="14D1AA65" w:rsidR="00C77A39" w:rsidRDefault="005838E8" w:rsidP="00741E58">
      <w:pPr>
        <w:rPr>
          <w:color w:val="000000" w:themeColor="text1"/>
        </w:rPr>
      </w:pPr>
      <w:proofErr w:type="spellStart"/>
      <w:r w:rsidRPr="00ED172B">
        <w:rPr>
          <w:color w:val="000000" w:themeColor="text1"/>
        </w:rPr>
        <w:t>DHSSCares</w:t>
      </w:r>
      <w:proofErr w:type="spellEnd"/>
      <w:r w:rsidRPr="00ED172B">
        <w:rPr>
          <w:color w:val="000000" w:themeColor="text1"/>
        </w:rPr>
        <w:t xml:space="preserve"> continues to capture the quantitative and qualitative data from the Regional Program-Child Development Watch COS liaisons who have been trained to appropriately review and determine progress or regression in a child’s skills. They work collaboratively with the early intervention service providers through the Child Outcome Summary process to obtain clinical opinions and assessment ratings for the initial and exit COS. The collection of data was not so much affected as the quality of the results. It was determined, through review of progress notes provided by EIS providers that children were challenged in making progress in this outcome due to the inability to interact with other children because of the complexity of the COVID situation. With COVID numbers decreasing and more opportunities for interaction becoming available, it is our prediction that the data next year will show an increase in progress and the probability of meeting our target. Also, with new early intervention service providers coming on board through new contracts, the Birth to Three Program intends to continue to provide updated trainings to ensure a more consistent and targeted look at all subcategories under Indicator 3, with a specific focus on Indicator 3, Outcome A, Statement 1. </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https://dhss.delaware.gov/dhss/dph/birthtothree/files/SSIP_Implementation_Evaluation_Plan_2022.pdf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This is our first submission of the Evaluation Plan. https://dhss.delaware.gov/dhss/dph/birthtothree/files/SSIP_Implementation_Evaluation_Plan_2022.pdf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Birth to Three staff, together with stakeholders, made a concentrated effort to solidify the implementation plan, which then allowed us to develop ways to measure progress in an evaluation plan.  https://dhss.delaware.gov/dhss/dph/birthtothree/files/SSIP_Implementation_Evaluation_Plan_2022.pdf</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We have established and maintained two robust SSIP Workgroups comprised of Birth to Three staff, EI providers, Family Service Coordinators, ICC members, and interested parties. These workgroups are instrumental in the implementation plan for training on, and statewide use of, the Behavioral Assessment of Baby’s Emotional and Social Style (BABES) toolkit. Implementation of the BABES tool (which begins in January 2023) represents a change in the Multi-Disciplinary Assessment (MDA) and Family-Directed Assessment (FDA) process; the assessment will be given (with parental agreement) to all newly eligible infants and toddlers, and again at each six-month review, to identify social emotional concerns and monitor progress in addressing them. Together with our SSIP workgroups, we have put evaluation strategies in place to measure progress as we implement this new tool. We have provided professional development and technical assistance to our Family Service Coordination (FSC) staff who will be using the tool. We have endeavored to increase FSCs’ and providers’ knowledge of and access to community resources, particularly ones that support social-emotional learning and development. We are partnering with PIC (Parent Information Center, Delaware’s PTI), not only to reach diverse families, but to conduct family focus groups centered around social emotional development and concerns. Additionally, we are working with the University of Delaware, who conducts our annual Family Outcomes surveys, to collect more information related to social emotional learning as part of the Family Outcomes Survey process. The surveys are conducted each spring, and so Birth to Three will be able to report further on these data in next year’s report. We are also revising the IFSP section in our new data system to facilitate the collection and interpretation of data related to social emotional concerns. This new data system will offer the opportunity for a smoother flow from the MDA and Family-Directed Assessment process into the development of functional IFSP goals that are specifically directed toward social emotional outcomes. In collaboration with our SSIP workgroups, we have created an infographic for parents that explains what social-emotional learning is and why it is important. It will be distributed this winter.</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The Program’s SSIP short-term and intermediate outcomes are fully described in the attached Implementation Plan and below are a few highlights:</w:t>
      </w:r>
      <w:r w:rsidRPr="00ED172B">
        <w:rPr>
          <w:color w:val="000000" w:themeColor="text1"/>
        </w:rPr>
        <w:br/>
        <w:t>All current Family Service Coordinators and their Supervisors have been trained to administer the BABES assessment. The statewide implementation begins January 1, 2023.</w:t>
      </w:r>
      <w:r w:rsidRPr="00ED172B">
        <w:rPr>
          <w:color w:val="000000" w:themeColor="text1"/>
        </w:rPr>
        <w:br/>
        <w:t xml:space="preserve">The SSIP workgroups have designed numerous progress measures including pre-and post-training surveys, periodic check-in surveys, and parent focus group questions that are now incorporated into the new Evaluation Plan. </w:t>
      </w:r>
      <w:r w:rsidRPr="00ED172B">
        <w:rPr>
          <w:color w:val="000000" w:themeColor="text1"/>
        </w:rPr>
        <w:br/>
        <w:t xml:space="preserve">We have created a list of community resources related to social-emotional concerns and have posted this list on our website for FSCs and families to access. </w:t>
      </w:r>
      <w:r w:rsidRPr="00ED172B">
        <w:rPr>
          <w:color w:val="000000" w:themeColor="text1"/>
        </w:rPr>
        <w:br/>
        <w:t xml:space="preserve">We are engaging with stakeholders to increase communication and transparency through our SSIP workgroups, as well as through regularly providing progress updates and seeking feedback, advice, and assistance at our quarterly ICC meetings as well as our ICC committee meetings. </w:t>
      </w:r>
      <w:r w:rsidRPr="00ED172B">
        <w:rPr>
          <w:color w:val="000000" w:themeColor="text1"/>
        </w:rPr>
        <w:br/>
        <w:t xml:space="preserve">As noted above, we have a major data system improvement process underway that will support the collection of accurate IFSP and service delivery data. </w:t>
      </w:r>
      <w:r w:rsidRPr="00ED172B">
        <w:rPr>
          <w:color w:val="000000" w:themeColor="text1"/>
        </w:rPr>
        <w:br/>
        <w:t>An Evaluation Plan has been developed and evaluative activities are underway to ensure that we are tracking adherence to our plan and measuring impact.</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3"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3"/>
    <w:p w14:paraId="5CE1B56C" w14:textId="3CE2BA28" w:rsidR="006A728F" w:rsidRPr="000123EB" w:rsidRDefault="00802016" w:rsidP="003447DC">
      <w:pPr>
        <w:rPr>
          <w:b/>
          <w:bCs/>
        </w:rPr>
      </w:pPr>
      <w:r w:rsidRPr="00ED172B">
        <w:rPr>
          <w:color w:val="000000" w:themeColor="text1"/>
        </w:rPr>
        <w:t>The Birth to Three Program has made many new infrastructure improvements this past year. A few of the key improvements are:</w:t>
      </w:r>
      <w:r w:rsidRPr="00ED172B">
        <w:rPr>
          <w:color w:val="000000" w:themeColor="text1"/>
        </w:rPr>
        <w:br/>
      </w:r>
      <w:r w:rsidRPr="00ED172B">
        <w:rPr>
          <w:color w:val="000000" w:themeColor="text1"/>
        </w:rPr>
        <w:br/>
        <w:t xml:space="preserve">The Program developed training for Regional Program staff and early intervention service providers to ensure consistent and efficient implementation of the policies and procedures. </w:t>
      </w:r>
      <w:r w:rsidRPr="00ED172B">
        <w:rPr>
          <w:color w:val="000000" w:themeColor="text1"/>
        </w:rPr>
        <w:br/>
        <w:t xml:space="preserve">Additional trainings have been implemented to further strengthen Delaware’s early intervention system. </w:t>
      </w:r>
      <w:r w:rsidRPr="00ED172B">
        <w:rPr>
          <w:color w:val="000000" w:themeColor="text1"/>
        </w:rPr>
        <w:br/>
        <w:t xml:space="preserve">The Program has increased performance monitoring and continuous review of important requirements and regulations which has allowed the program to prepare for fuller implementation of best practices while maintaining compliance according to federal regulations, state law, and policies and procedures. </w:t>
      </w:r>
      <w:r w:rsidRPr="00ED172B">
        <w:rPr>
          <w:color w:val="000000" w:themeColor="text1"/>
        </w:rPr>
        <w:br/>
        <w:t xml:space="preserve">The Program executed updated contracts with external early intervention service providers to ensure increased compliance with federal regulation, state law, and program policies and procedures. The updated contracts included stronger communication with the single line of authority. </w:t>
      </w:r>
      <w:r w:rsidRPr="00ED172B">
        <w:rPr>
          <w:color w:val="000000" w:themeColor="text1"/>
        </w:rPr>
        <w:br/>
        <w:t>The Program has executed a contract for a new data system that will provide more robust data, improve timely data entry, and capture more detailed data that will improve the overall delivery of early intervention services and collection of data.</w:t>
      </w:r>
      <w:r w:rsidRPr="00ED172B">
        <w:rPr>
          <w:color w:val="000000" w:themeColor="text1"/>
        </w:rPr>
        <w:br/>
        <w:t>The Program has made a strong financial commitment to obligate and track the state and federal funds being used to support these systemic changes.</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The Program’s SSIP short-term and intermediate outcomes are described in the attached Implementation Plan and below are a few highlights:</w:t>
      </w:r>
      <w:r w:rsidRPr="00ED172B">
        <w:rPr>
          <w:color w:val="000000" w:themeColor="text1"/>
        </w:rPr>
        <w:br/>
        <w:t>Through a contract with PIC, there is a concerted effort underway to increase engagement with diverse families to ensure that the early intervention program is responsive to all Delaware families.</w:t>
      </w:r>
      <w:r w:rsidRPr="00ED172B">
        <w:rPr>
          <w:color w:val="000000" w:themeColor="text1"/>
        </w:rPr>
        <w:br/>
        <w:t>The Program will launch the new data system in Summer 2023 which is expected to improve data entry, collection, monitoring, and accountability. It also creates a flow for development of functional outcomes that will influence the services provided to families which will be monitored through development of the EIS provider progress notes. We can then monitor for quality and family enrichments.</w:t>
      </w:r>
      <w:r w:rsidRPr="00ED172B">
        <w:rPr>
          <w:color w:val="000000" w:themeColor="text1"/>
        </w:rPr>
        <w:br/>
        <w:t xml:space="preserve">The Program’s training modules are going to be housed in the online learning platform for state agencies. To maximize training, we will begin to transition to the state's learning management system, Delaware Learning Center (DLC), in 2023. This will aid administration in creating a uniformed training hub where staff can complete asynchronous training modules, register for training opportunities, and add trainings such as webinars or conferences to their training transcripts. This will assist administration in running transcript reports, having a platform for staff to read and acknowledge new policies and procedures, and provide real time training data to requestors. </w:t>
      </w:r>
      <w:r w:rsidRPr="00ED172B">
        <w:rPr>
          <w:color w:val="000000" w:themeColor="text1"/>
        </w:rPr>
        <w:br/>
        <w:t>The Program will continue to partner in the statewide screening initiative with childcare centers to improve early identification of young children with developmental concerns, including social emotional issues.</w:t>
      </w:r>
      <w:r w:rsidRPr="00ED172B">
        <w:rPr>
          <w:color w:val="000000" w:themeColor="text1"/>
        </w:rPr>
        <w:br/>
        <w:t>The SSIP Workgroups will be engaged with state staff to update COS training, thereby making it more efficient and timelier for new EIS providers and FSCs.</w:t>
      </w:r>
      <w:r w:rsidRPr="00ED172B">
        <w:rPr>
          <w:color w:val="000000" w:themeColor="text1"/>
        </w:rPr>
        <w:br/>
        <w:t>Beginning January 1, 2023, the BABES will be implemented statewide per guidelines developed by Administration.</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 xml:space="preserve">The SSIP workgroups researched potential assessments and ultimately decided to adopt the BABES assessment as a method to measure progress with regards to social-emotional learning and development of children and families within the program. </w:t>
      </w:r>
      <w:r w:rsidRPr="00ED172B">
        <w:rPr>
          <w:color w:val="000000" w:themeColor="text1"/>
        </w:rPr>
        <w:br/>
        <w:t xml:space="preserve">We have trained staff on the purpose and use of the BABES assessment and have created an implementation plan (to begin January 2023). </w:t>
      </w:r>
      <w:r w:rsidRPr="00ED172B">
        <w:rPr>
          <w:color w:val="000000" w:themeColor="text1"/>
        </w:rPr>
        <w:br/>
        <w:t>We have collected provider feedback via ECTA’s “Vision and Direction in Leadership Checklist</w:t>
      </w:r>
      <w:proofErr w:type="gramStart"/>
      <w:r w:rsidRPr="00ED172B">
        <w:rPr>
          <w:color w:val="000000" w:themeColor="text1"/>
        </w:rPr>
        <w:t>”</w:t>
      </w:r>
      <w:proofErr w:type="gramEnd"/>
      <w:r w:rsidRPr="00ED172B">
        <w:rPr>
          <w:color w:val="000000" w:themeColor="text1"/>
        </w:rPr>
        <w:t xml:space="preserve"> and the “Child Social-Emotional Competence Checklist” based on the DEC Recommended Practices. Baseline data have been collected and are currently being analyzed to determine next steps.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 xml:space="preserve">The BABES is going to be used to assist the assessment teams and FSCs to identify with families their areas of concerns, especially related to social emotional development within the context of natural environments and everyday routines, activities, and places. </w:t>
      </w:r>
      <w:r w:rsidRPr="00ED172B">
        <w:rPr>
          <w:color w:val="000000" w:themeColor="text1"/>
        </w:rPr>
        <w:br/>
        <w:t xml:space="preserve"> The Division of Early Childhood Recommended Practices function as tools that practitioners use to promote development of young children, ages 0 to 5. These practices also guide families to improve practices in partnership with practitioners.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We anticipate that the BABES assessment will allow for more in-depth and meaningful conversation between families and Family Service Coordinators about social-emotional learning, progress, and concerns. It will more clearly reveal parental expectations for their infant or toddler and allow Coordinators to discuss to what degree those expectations are realistic. The tool will identify social-emotional concerns to be addressed, social-emotional progress and strengths to be celebrated, and facilitate monitoring of social-emotional development. </w:t>
      </w:r>
    </w:p>
    <w:p w14:paraId="7723C486" w14:textId="5F1FC69C" w:rsidR="00B8661E" w:rsidRPr="00B8661E" w:rsidRDefault="00B8661E" w:rsidP="00B8661E">
      <w:pPr>
        <w:rPr>
          <w:rFonts w:cs="Arial"/>
          <w:b/>
          <w:bCs/>
        </w:rPr>
      </w:pPr>
      <w:r w:rsidRPr="00B8661E">
        <w:rPr>
          <w:rFonts w:cs="Arial"/>
          <w:b/>
          <w:bCs/>
        </w:rPr>
        <w:lastRenderedPageBreak/>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In collaboration with our SSIP workgroups, we have developed surveys to monitor progress toward our </w:t>
      </w:r>
      <w:proofErr w:type="spellStart"/>
      <w:r w:rsidRPr="00ED172B">
        <w:rPr>
          <w:color w:val="000000" w:themeColor="text1"/>
        </w:rPr>
        <w:t>SiMR</w:t>
      </w:r>
      <w:proofErr w:type="spellEnd"/>
      <w:r w:rsidRPr="00ED172B">
        <w:rPr>
          <w:color w:val="000000" w:themeColor="text1"/>
        </w:rPr>
        <w:t>: a pre-and post-training survey was administered to all attendees of our BABES trainings, and a periodic check-in survey will be administered quarterly to all Family Service Coordinators once the BABES assessment has been implemented (January 2023). As previously stated, we intend to incorporate questions about social-emotional concerns into our annual family surveys conducted by UD. We are also collaborating with the workgroups on developing questions for the family focus groups PIC will facilitate. Because these focus groups will be most informative if they occur after the BABES tool has been fully implemented, they will likely not take place until fall of 2023. However, it is our intention to have PIC conduct family focus groups for the purposes of collecting baseline data sooner than that. These fidelity measures are described in the attached Evaluation Plan.</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N/A this year.</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Please refer to the attached Implementation Plan. https://dhss.delaware.gov/dhss/dph/birthtothree/files/SSIP_Implementation_Evaluation_Plan_2022.pdf</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We plan to engage in continuous improvement. Since this is going to be the first year of implementing the EBPs we will evaluate their effectiveness and may, if necessary, make changes to activities, strategies, or timelines that are included in the current SSIP.  The evaluation data that are described in our Evaluation Plan will be analyzed by the SSIP staff and workgroups on a regular basis throughout the year to determine if modifications are needed.</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Administration continues to solicit ongoing stakeholder discussion and input from groups on setting of priorities, development and tracking of data measures, as well as methods for ensuring family awareness, and continues to engage in valuable partnerships. These partners include the members of the Interagency Coordinating Council (ICC), the Parent Information Center (PIC), and various stakeholder and topical work groups.  </w:t>
      </w:r>
      <w:r w:rsidRPr="00ED172B">
        <w:rPr>
          <w:color w:val="000000" w:themeColor="text1"/>
        </w:rPr>
        <w:br/>
      </w:r>
      <w:r w:rsidRPr="00ED172B">
        <w:rPr>
          <w:color w:val="000000" w:themeColor="text1"/>
        </w:rPr>
        <w:br/>
        <w:t>Delaware's ICC continues to play an integral part in how Administration shares federal and state level reporting data with stakeholders. During the ICC meetings held in January, July, September and October, Administration shared with members and stakeholders the following data presentations; annual chart review (monitoring) data utilized in the SPP/APR Compliance Indicators 1, 7,8A, 8B, and 8C; the Family Outcomes Survey report which is used to calculate Indicator 4 information, along with Child Count and Setting results that the Family Outcomes Survey uses to appropriately capture race/ethnicity and gender comparison data; exit data which contributes to Indicator 8B, Child Outcomes data pertaining to Indicator 3 targets, and the compiled Part C Annual Performance Report prior to the February Submission. In addition to the ICC, program information is shared at statewide meetings with the DECC, DDOE/OEL, GACEC, DPH/CDW staff during regional staff meetings. Additional information and copies of previous reports are available on the Birth to Three website https://dhss.delaware.gov/dhss/dph/birthtothree/index.html.</w:t>
      </w:r>
      <w:r w:rsidRPr="00ED172B">
        <w:rPr>
          <w:color w:val="000000" w:themeColor="text1"/>
        </w:rPr>
        <w:br/>
      </w:r>
      <w:r w:rsidRPr="00ED172B">
        <w:rPr>
          <w:color w:val="000000" w:themeColor="text1"/>
        </w:rPr>
        <w:br/>
        <w:t xml:space="preserve">Administration conducts weekly Executive Interagency Coordinating Council committee “opportunity” calls to allow for continuous engagement with stakeholders. Each call is led with an abbreviated agenda that allows for discussions to occur organically. Stakeholder input is then recorded and utilized in the decision-making process. A summary of these activities and issues discussed in these </w:t>
      </w:r>
      <w:proofErr w:type="gramStart"/>
      <w:r w:rsidRPr="00ED172B">
        <w:rPr>
          <w:color w:val="000000" w:themeColor="text1"/>
        </w:rPr>
        <w:t>opportunities</w:t>
      </w:r>
      <w:proofErr w:type="gramEnd"/>
      <w:r w:rsidRPr="00ED172B">
        <w:rPr>
          <w:color w:val="000000" w:themeColor="text1"/>
        </w:rPr>
        <w:t xml:space="preserve"> calls are shared during the ICC quarterly meetings. </w:t>
      </w:r>
      <w:r w:rsidRPr="00ED172B">
        <w:rPr>
          <w:color w:val="000000" w:themeColor="text1"/>
        </w:rPr>
        <w:br/>
      </w:r>
      <w:r w:rsidRPr="00ED172B">
        <w:rPr>
          <w:color w:val="000000" w:themeColor="text1"/>
        </w:rPr>
        <w:br/>
        <w:t>Administration actively participates on the Delaware Early Childhood Council (DECC), whose goal is to support the development of a comprehensive and coordinated early childhood system, birth to eight, which provides the highest quality services and environment for Delaware’s children and their families. Administration collaborates with the Early Childhood Comprehensive Systems (ECCS) initiative whose primary aim is to increase the age-appropriate developmental skills among the State’s three-year old children. In addition, Birth to Three – Administration Part C Coordinator collaborates with and is an active participant in Early Hearing Detection and Intervention Advisory Board (EHDI) meetings and The Governor’s Advisory Council for Exceptional Citizens (GACEC).</w:t>
      </w:r>
      <w:r w:rsidRPr="00ED172B">
        <w:rPr>
          <w:color w:val="000000" w:themeColor="text1"/>
        </w:rPr>
        <w:br/>
        <w:t xml:space="preserve"> </w:t>
      </w:r>
      <w:r w:rsidRPr="00ED172B">
        <w:rPr>
          <w:color w:val="000000" w:themeColor="text1"/>
        </w:rPr>
        <w:br/>
        <w:t>The Assistant Part C Coordinator provides quarterly updates to ICC members regarding the State Systemic Improvement Plan (SSIP) and seeks ICC advice and assistance in advancing the State-identified Measurable Result (</w:t>
      </w:r>
      <w:proofErr w:type="spellStart"/>
      <w:r w:rsidRPr="00ED172B">
        <w:rPr>
          <w:color w:val="000000" w:themeColor="text1"/>
        </w:rPr>
        <w:t>SiMR</w:t>
      </w:r>
      <w:proofErr w:type="spellEnd"/>
      <w:r w:rsidRPr="00ED172B">
        <w:rPr>
          <w:color w:val="000000" w:themeColor="text1"/>
        </w:rPr>
        <w:t xml:space="preserve">) to increase social emotional outcomes (SEO) for Part C-eligible infants, toddlers and their families. The SSIP focuses on improving SEO, so the SSIP team coordinated with local and statewide parent advocacy groups through the ICC, Parent Information Center (PIC) and SSIP activity strand workgroups to develop an SSIP Core Leadership Team. </w:t>
      </w:r>
      <w:r w:rsidRPr="00ED172B">
        <w:rPr>
          <w:color w:val="000000" w:themeColor="text1"/>
        </w:rPr>
        <w:br/>
        <w:t>The SSIP Professional Development and Assessment Practices Teams represent stakeholder networks that are critical to SSIP success in increasing social emotional outcomes. The team met virtually and continued the established bi-weekly meeting. The Administration staff also met with PIC leaders to align parent involvement and devise a detailed plan for gathering parent input on the Division of Early Childhood (DEC) Recommended Practices (RP) they observe in practice with their children.</w:t>
      </w:r>
      <w:r w:rsidRPr="00ED172B">
        <w:rPr>
          <w:color w:val="000000" w:themeColor="text1"/>
        </w:rPr>
        <w:br/>
      </w:r>
      <w:r w:rsidRPr="00ED172B">
        <w:rPr>
          <w:color w:val="000000" w:themeColor="text1"/>
        </w:rPr>
        <w:br/>
        <w:t>Whenever there was an opportunity to involve individual parents and advocates, Administration staff sent invitations to and through the Interagency Coordinating Council (ICC), Parent Information Center (PIC), and other family networks to engage families and providers in meaningful ways to understand the current needs of families. Stakeholder groups will continue to meet on a monthly basis in order to develop and monito strategic improvement plans ensuring that the families continue to receive the best services and provisions available to them. It has been a challenge to seek diverse stakeholders, especially parents. In the coming year, we plan to conduct more focus groups specifically targeting those parents who are part of underserved populations in our collaboration with PIC.</w:t>
      </w:r>
      <w:r w:rsidRPr="00ED172B">
        <w:rPr>
          <w:color w:val="000000" w:themeColor="text1"/>
        </w:rPr>
        <w:br/>
      </w:r>
      <w:r w:rsidRPr="00ED172B">
        <w:rPr>
          <w:color w:val="000000" w:themeColor="text1"/>
        </w:rPr>
        <w:br/>
        <w:t xml:space="preserve">The State is committed to working with the ICC and ICC subcommittees to address the need for outreach to underserved populations in hopes of gaining, not only more parent involvement, but also to ensure that any disparities within the state may be addressed. We are currently looking at our </w:t>
      </w:r>
      <w:r w:rsidRPr="00ED172B">
        <w:rPr>
          <w:color w:val="000000" w:themeColor="text1"/>
        </w:rPr>
        <w:lastRenderedPageBreak/>
        <w:t xml:space="preserve">data to determine our most underserved populations to target where our resources need to be allocated. In order to address any possibility of inequity, specifically regarding Indicator 4, Birth to Three – Administration continues to collaborate with the University of Delaware’s CRESP program to revisit the outreach strategies used, in order to capture more participation from underserved populations. By doing so, it is the hope that more parents will be encouraged to participate in stakeholder-involved activities. The State will leverage partnerships with community agencies such as PIC, Children and Families First, Child Inc, La </w:t>
      </w:r>
      <w:proofErr w:type="spellStart"/>
      <w:r w:rsidRPr="00ED172B">
        <w:rPr>
          <w:color w:val="000000" w:themeColor="text1"/>
        </w:rPr>
        <w:t>Colectiva</w:t>
      </w:r>
      <w:proofErr w:type="spellEnd"/>
      <w:r w:rsidRPr="00ED172B">
        <w:rPr>
          <w:color w:val="000000" w:themeColor="text1"/>
        </w:rPr>
        <w:t>, La Red etc. in order to intensively engage diverse families to gain their insights into how to better ensure equitable EI services in the state and to enrich input in the state’s improvement efforts.</w:t>
      </w:r>
      <w:r w:rsidRPr="00ED172B">
        <w:rPr>
          <w:color w:val="000000" w:themeColor="text1"/>
        </w:rPr>
        <w:br/>
        <w:t xml:space="preserve">Through  training provided to Family Service Coordinators and Early Intervention Staff, Administration encourages their discussions with parents about their parental rights and to endorse participation in improving Part C services and outcomes for their children.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SSIP workgroups, comprised of stakeholders (FSCs, supervisors, and CDW EI assessors, representatives from EIS provider agencies, and ICC members), meet at least three times/month for the purposes of SSIP planning, providing feedback on action steps and timelines, and progress monitoring. Detailed, action-oriented agendas for these workgroup meetings are distributed in advance along with any materials members need in order to prepare for the meeting. Facilitated by Birth to Three staff, these meetings address collaborative planning and problem-solving. For example, the Assessment Practices workgroup was instrumental in editing and streamlining our Parent Infographic by providing thoughtful feedback on the language and layout. These groups have helped to identify any needs for more training and have assisted in the development of evaluation methods. Notes are taken at each meeting and shared with all members of both workgroups. </w:t>
      </w:r>
      <w:r w:rsidRPr="00ED172B">
        <w:rPr>
          <w:color w:val="000000" w:themeColor="text1"/>
        </w:rPr>
        <w:br/>
        <w:t>The ICC has been regularly updated on SSIP related activities and developments at ICC quarterly meetings, as well as</w:t>
      </w:r>
      <w:r w:rsidRPr="00ED172B">
        <w:rPr>
          <w:color w:val="000000" w:themeColor="text1"/>
        </w:rPr>
        <w:br/>
        <w:t>via email communication. ICC members advise and assist the Birth to Three program’s ongoing SSIP work.</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4" w:name="_Hlk109647102"/>
      <w:r>
        <w:rPr>
          <w:rFonts w:cs="Arial"/>
          <w:b/>
          <w:bCs/>
        </w:rPr>
        <w:t xml:space="preserve">Describe how the State addressed the concerns expressed by stakeholders. </w:t>
      </w:r>
    </w:p>
    <w:bookmarkEnd w:id="84"/>
    <w:p w14:paraId="18AA4CF0" w14:textId="426ABC15" w:rsidR="0072398B" w:rsidRDefault="004A571B" w:rsidP="006237B0">
      <w:pPr>
        <w:rPr>
          <w:color w:val="000000" w:themeColor="text1"/>
        </w:rPr>
      </w:pPr>
      <w:r w:rsidRPr="00ED172B">
        <w:rPr>
          <w:color w:val="000000" w:themeColor="text1"/>
        </w:rPr>
        <w:t xml:space="preserve">We created a second, practical, hands-on training on the BABES assessment that incorporated the feedback from our workgroups as well as attendee feedback (in the post-training survey). </w:t>
      </w:r>
      <w:r w:rsidRPr="00ED172B">
        <w:rPr>
          <w:color w:val="000000" w:themeColor="text1"/>
        </w:rPr>
        <w:br/>
        <w:t>We also provided live access to a webinar on functional outcomes (Writing Functional Outcomes on the IFSP- presented by the Division for Early Childhoods Early Intervention Service Coordination and Family Partnerships Communities of Practice), as well as posting a recording of this webinar on our TEAMS channel for FSCs.</w:t>
      </w:r>
      <w:r w:rsidRPr="00ED172B">
        <w:rPr>
          <w:color w:val="000000" w:themeColor="text1"/>
        </w:rPr>
        <w:br/>
        <w:t xml:space="preserve">The workgroup also advised and assisted us with the development of our implementation timeline and evaluation methods.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 xml:space="preserve">Activities the state intends to implement in the next fiscal year related to the </w:t>
      </w:r>
      <w:proofErr w:type="spellStart"/>
      <w:r w:rsidRPr="00ED172B">
        <w:rPr>
          <w:color w:val="000000" w:themeColor="text1"/>
        </w:rPr>
        <w:t>SiMR</w:t>
      </w:r>
      <w:proofErr w:type="spellEnd"/>
      <w:r w:rsidRPr="00ED172B">
        <w:rPr>
          <w:color w:val="000000" w:themeColor="text1"/>
        </w:rPr>
        <w:t xml:space="preserve"> include:</w:t>
      </w:r>
      <w:r w:rsidRPr="00ED172B">
        <w:rPr>
          <w:color w:val="000000" w:themeColor="text1"/>
        </w:rPr>
        <w:br/>
        <w:t>*strategic and guided implementation of the BABES tool;</w:t>
      </w:r>
      <w:r w:rsidRPr="00ED172B">
        <w:rPr>
          <w:color w:val="000000" w:themeColor="text1"/>
        </w:rPr>
        <w:br/>
        <w:t>*periodic check-in surveys to be administered to FSCs at least bi-annually;</w:t>
      </w:r>
      <w:r w:rsidRPr="00ED172B">
        <w:rPr>
          <w:color w:val="000000" w:themeColor="text1"/>
        </w:rPr>
        <w:br/>
        <w:t>*analysis of survey results;</w:t>
      </w:r>
      <w:r w:rsidRPr="00ED172B">
        <w:rPr>
          <w:color w:val="000000" w:themeColor="text1"/>
        </w:rPr>
        <w:br/>
        <w:t>*parent focus groups; and</w:t>
      </w:r>
      <w:r w:rsidRPr="00ED172B">
        <w:rPr>
          <w:color w:val="000000" w:themeColor="text1"/>
        </w:rPr>
        <w:br/>
        <w:t>*ongoing support training as necessary (determined by the results of the periodic check-in surveys, BABES scores, and parent feedback).</w:t>
      </w:r>
      <w:r w:rsidRPr="00ED172B">
        <w:rPr>
          <w:color w:val="000000" w:themeColor="text1"/>
        </w:rPr>
        <w:br/>
        <w:t>For further detail, please see the attached Implementation Plan.</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Please see the details in the attached Implementation and Evaluation Plan. https://dhss.delaware.gov/dhss/dph/birthtothree/files/SSIP_Implementation_Evaluation_Plan_2022.pdf</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One barrier is a lack of representation of race, ethnic, socio-economic and cultural diversity among our stakeholder families. We plan to seek the advice and direction of PIC as well as the ICC to determine the best steps to increase diversity among our stakeholder families.</w:t>
      </w:r>
      <w:r w:rsidRPr="00ED172B">
        <w:rPr>
          <w:color w:val="000000" w:themeColor="text1"/>
        </w:rPr>
        <w:br/>
        <w:t>Another barrier is a shortage of EI Providers that have expertise in the area of social-emotional development. In order to combat this barrier, we hope to explore focused recruitment strategies.</w:t>
      </w:r>
      <w:r w:rsidRPr="00ED172B">
        <w:rPr>
          <w:color w:val="000000" w:themeColor="text1"/>
        </w:rPr>
        <w:br/>
        <w:t xml:space="preserve">Since, during the current RFP, no providers with SE specialties submitted bids, Administration intends to conduct a more direct approach in recruiting agencies outside of the RFP.  Talking with and gathering resources through individual child psychologists and social workers along with meetings with advocacy agencies such as Delaware Guidance Services, Children and Families First and Child Inc will offer more opportunities to recruit qualified providers for social emotional interventions for our families.  </w:t>
      </w:r>
      <w:r w:rsidRPr="00ED172B">
        <w:rPr>
          <w:color w:val="000000" w:themeColor="text1"/>
        </w:rPr>
        <w:br/>
        <w:t>Administration will encourage EIS Provider agencies to hire Early Childhood Educators with specialized backgrounds in social emotional development. By sharing resumes and curriculum for potential ECE candidates with Administration, EIS Provider agencies will be better able to meet professional development standards specifically surrounding social emotional development.</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lastRenderedPageBreak/>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 Topper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Delaware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nicole.topper@delaware.gov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302-739-2738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3:13:16</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7B5C8AF6" w14:textId="38A6BC88" w:rsidR="00C25FA8" w:rsidRPr="00C25FA8" w:rsidRDefault="00C25FA8" w:rsidP="00C25FA8">
      <w:pPr>
        <w:rPr>
          <w:b/>
          <w:bCs/>
          <w:sz w:val="20"/>
          <w:szCs w:val="28"/>
        </w:rPr>
      </w:pPr>
      <w:r w:rsidRPr="00C25FA8">
        <w:rPr>
          <w:b/>
          <w:bCs/>
          <w:sz w:val="20"/>
          <w:szCs w:val="28"/>
        </w:rPr>
        <w:t>Delaware</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74.11%</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12</w:t>
            </w:r>
          </w:p>
        </w:tc>
        <w:tc>
          <w:tcPr>
            <w:tcW w:w="1218" w:type="pct"/>
          </w:tcPr>
          <w:p w14:paraId="0AF6DC9A" w14:textId="17AC6D6F" w:rsidR="005E363D" w:rsidRPr="00210AC6" w:rsidRDefault="005E363D" w:rsidP="005E363D">
            <w:pPr>
              <w:rPr>
                <w:rFonts w:cs="Arial"/>
                <w:szCs w:val="16"/>
              </w:rPr>
            </w:pPr>
            <w:r w:rsidRPr="009E3CB1">
              <w:t>85.71%</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814</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1,339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60.79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58.37%</w:t>
            </w:r>
          </w:p>
        </w:tc>
        <w:tc>
          <w:tcPr>
            <w:tcW w:w="715" w:type="pct"/>
          </w:tcPr>
          <w:p w14:paraId="542CEEB9" w14:textId="37E21014" w:rsidR="00B03B19" w:rsidRPr="00210AC6" w:rsidRDefault="00B03B19" w:rsidP="00B03B19">
            <w:pPr>
              <w:rPr>
                <w:rFonts w:cs="Arial"/>
                <w:szCs w:val="16"/>
              </w:rPr>
            </w:pPr>
            <w:r w:rsidRPr="00A46401">
              <w:t>35.63%</w:t>
            </w:r>
          </w:p>
        </w:tc>
        <w:tc>
          <w:tcPr>
            <w:tcW w:w="714" w:type="pct"/>
          </w:tcPr>
          <w:p w14:paraId="082867DD" w14:textId="7F23B051" w:rsidR="00B03B19" w:rsidRPr="00210AC6" w:rsidRDefault="00B03B19" w:rsidP="00B03B19">
            <w:pPr>
              <w:rPr>
                <w:rFonts w:cs="Arial"/>
                <w:szCs w:val="16"/>
              </w:rPr>
            </w:pPr>
            <w:r w:rsidRPr="00A46401">
              <w:t>60.42%</w:t>
            </w:r>
          </w:p>
        </w:tc>
        <w:tc>
          <w:tcPr>
            <w:tcW w:w="714" w:type="pct"/>
          </w:tcPr>
          <w:p w14:paraId="798EA0C8" w14:textId="2776FB61" w:rsidR="00B03B19" w:rsidRPr="00210AC6" w:rsidRDefault="00B03B19" w:rsidP="00B03B19">
            <w:pPr>
              <w:rPr>
                <w:rFonts w:cs="Arial"/>
                <w:szCs w:val="16"/>
              </w:rPr>
            </w:pPr>
            <w:r w:rsidRPr="00A46401">
              <w:t>30.34%</w:t>
            </w:r>
          </w:p>
        </w:tc>
        <w:tc>
          <w:tcPr>
            <w:tcW w:w="714" w:type="pct"/>
          </w:tcPr>
          <w:p w14:paraId="53B8C0FF" w14:textId="1ABA1A1C" w:rsidR="00B03B19" w:rsidRPr="00210AC6" w:rsidRDefault="00B03B19" w:rsidP="00B03B19">
            <w:pPr>
              <w:rPr>
                <w:rFonts w:cs="Arial"/>
                <w:szCs w:val="16"/>
              </w:rPr>
            </w:pPr>
            <w:r w:rsidRPr="00A46401">
              <w:t>60.41%</w:t>
            </w:r>
          </w:p>
        </w:tc>
        <w:tc>
          <w:tcPr>
            <w:tcW w:w="713" w:type="pct"/>
          </w:tcPr>
          <w:p w14:paraId="71D0CC34" w14:textId="38E23520" w:rsidR="00B03B19" w:rsidRPr="00210AC6" w:rsidRDefault="00B03B19" w:rsidP="00B03B19">
            <w:pPr>
              <w:rPr>
                <w:rFonts w:cs="Arial"/>
                <w:szCs w:val="16"/>
              </w:rPr>
            </w:pPr>
            <w:r w:rsidRPr="00A46401">
              <w:t>37.96%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61.25%</w:t>
            </w:r>
          </w:p>
        </w:tc>
        <w:tc>
          <w:tcPr>
            <w:tcW w:w="715" w:type="pct"/>
          </w:tcPr>
          <w:p w14:paraId="4A7F27F4" w14:textId="16E8DAC9" w:rsidR="00A96CE2" w:rsidRPr="00210AC6" w:rsidRDefault="00A96CE2" w:rsidP="00A96CE2">
            <w:pPr>
              <w:rPr>
                <w:rFonts w:cs="Arial"/>
                <w:szCs w:val="16"/>
              </w:rPr>
            </w:pPr>
            <w:r w:rsidRPr="00902025">
              <w:t>33.49%</w:t>
            </w:r>
          </w:p>
        </w:tc>
        <w:tc>
          <w:tcPr>
            <w:tcW w:w="714" w:type="pct"/>
          </w:tcPr>
          <w:p w14:paraId="0B2C982E" w14:textId="60B64CC6" w:rsidR="00A96CE2" w:rsidRPr="00210AC6" w:rsidRDefault="00A96CE2" w:rsidP="00A96CE2">
            <w:pPr>
              <w:rPr>
                <w:rFonts w:cs="Arial"/>
                <w:szCs w:val="16"/>
              </w:rPr>
            </w:pPr>
            <w:r w:rsidRPr="00902025">
              <w:t>65.42%</w:t>
            </w:r>
          </w:p>
        </w:tc>
        <w:tc>
          <w:tcPr>
            <w:tcW w:w="714" w:type="pct"/>
          </w:tcPr>
          <w:p w14:paraId="48D6DCB3" w14:textId="035BCB73" w:rsidR="00A96CE2" w:rsidRPr="00210AC6" w:rsidRDefault="00A96CE2" w:rsidP="00A96CE2">
            <w:pPr>
              <w:rPr>
                <w:rFonts w:cs="Arial"/>
                <w:szCs w:val="16"/>
              </w:rPr>
            </w:pPr>
            <w:r w:rsidRPr="00902025">
              <w:t>27.77%</w:t>
            </w:r>
          </w:p>
        </w:tc>
        <w:tc>
          <w:tcPr>
            <w:tcW w:w="714" w:type="pct"/>
          </w:tcPr>
          <w:p w14:paraId="75DD9D82" w14:textId="41901A3C" w:rsidR="00A96CE2" w:rsidRPr="00210AC6" w:rsidRDefault="00A96CE2" w:rsidP="00A96CE2">
            <w:pPr>
              <w:rPr>
                <w:rFonts w:cs="Arial"/>
                <w:szCs w:val="16"/>
              </w:rPr>
            </w:pPr>
            <w:r w:rsidRPr="00902025">
              <w:t>65.97%</w:t>
            </w:r>
          </w:p>
        </w:tc>
        <w:tc>
          <w:tcPr>
            <w:tcW w:w="713" w:type="pct"/>
          </w:tcPr>
          <w:p w14:paraId="51F0864D" w14:textId="7593AA05" w:rsidR="00A96CE2" w:rsidRPr="00210AC6" w:rsidRDefault="00A96CE2" w:rsidP="00A96CE2">
            <w:pPr>
              <w:rPr>
                <w:rFonts w:cs="Arial"/>
                <w:szCs w:val="16"/>
              </w:rPr>
            </w:pPr>
            <w:r w:rsidRPr="00902025">
              <w:t>36.64%</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79.00%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81.00%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814</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301</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223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199</w:t>
            </w:r>
          </w:p>
        </w:tc>
        <w:tc>
          <w:tcPr>
            <w:tcW w:w="835" w:type="pct"/>
          </w:tcPr>
          <w:p w14:paraId="6267C81A" w14:textId="77777777" w:rsidR="00B25161" w:rsidRPr="00E0465B" w:rsidRDefault="00B25161" w:rsidP="00B25161">
            <w:pPr>
              <w:rPr>
                <w:rFonts w:cs="Arial"/>
                <w:bCs/>
                <w:szCs w:val="16"/>
              </w:rPr>
            </w:pPr>
            <w:r w:rsidRPr="00E0465B">
              <w:rPr>
                <w:rFonts w:cs="Arial"/>
                <w:bCs/>
                <w:szCs w:val="16"/>
              </w:rPr>
              <w:t>91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36.98%</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27.40%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24.45%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11.18%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298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269</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186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61</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36.61%</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33.05%</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22.85%</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7.49%</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310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195</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278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31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38.08%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23.96%</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34.15%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3.81%</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0</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58.37%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35.63%</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60.42%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30.34%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60.41%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37.96%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0</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751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61.25%</w:t>
            </w:r>
          </w:p>
        </w:tc>
        <w:tc>
          <w:tcPr>
            <w:tcW w:w="409" w:type="pct"/>
          </w:tcPr>
          <w:p w14:paraId="6338C1B2" w14:textId="7BC386DE" w:rsidR="002163B7" w:rsidRPr="002163B7" w:rsidRDefault="002163B7" w:rsidP="002163B7">
            <w:pPr>
              <w:rPr>
                <w:rFonts w:cs="Arial"/>
                <w:bCs/>
                <w:szCs w:val="16"/>
              </w:rPr>
            </w:pPr>
            <w:r w:rsidRPr="002163B7">
              <w:rPr>
                <w:rFonts w:cs="Arial"/>
                <w:bCs/>
                <w:szCs w:val="16"/>
              </w:rPr>
              <w:t>723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58.37%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-2.88</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0.0255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-1.1293</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0.2588</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778</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65.42%</w:t>
            </w:r>
          </w:p>
        </w:tc>
        <w:tc>
          <w:tcPr>
            <w:tcW w:w="409" w:type="pct"/>
          </w:tcPr>
          <w:p w14:paraId="28F8936D" w14:textId="5A09EDE1" w:rsidR="002163B7" w:rsidRPr="002163B7" w:rsidRDefault="002163B7" w:rsidP="002163B7">
            <w:pPr>
              <w:rPr>
                <w:rFonts w:cs="Arial"/>
                <w:bCs/>
                <w:szCs w:val="16"/>
              </w:rPr>
            </w:pPr>
            <w:r w:rsidRPr="002163B7">
              <w:rPr>
                <w:rFonts w:cs="Arial"/>
                <w:bCs/>
                <w:szCs w:val="16"/>
              </w:rPr>
              <w:t>753</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60.42%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-5.00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0.0247</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-2.0269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0.0427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817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65.97%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783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60.41%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-5.56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0.0241</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-2.3101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0.0209</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857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33.49%</w:t>
            </w:r>
          </w:p>
        </w:tc>
        <w:tc>
          <w:tcPr>
            <w:tcW w:w="409" w:type="pct"/>
          </w:tcPr>
          <w:p w14:paraId="5EAAAE8A" w14:textId="57AB6E77" w:rsidR="002163B7" w:rsidRPr="002163B7" w:rsidRDefault="002163B7" w:rsidP="002163B7">
            <w:pPr>
              <w:rPr>
                <w:rFonts w:cs="Arial"/>
                <w:bCs/>
                <w:szCs w:val="16"/>
              </w:rPr>
            </w:pPr>
            <w:r w:rsidRPr="002163B7">
              <w:rPr>
                <w:rFonts w:cs="Arial"/>
                <w:bCs/>
                <w:szCs w:val="16"/>
              </w:rPr>
              <w:t>814</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35.63%</w:t>
            </w:r>
          </w:p>
        </w:tc>
        <w:tc>
          <w:tcPr>
            <w:tcW w:w="579" w:type="pct"/>
          </w:tcPr>
          <w:p w14:paraId="1D077B69" w14:textId="77777777" w:rsidR="002163B7" w:rsidRPr="002163B7" w:rsidRDefault="002163B7" w:rsidP="002163B7">
            <w:pPr>
              <w:rPr>
                <w:rFonts w:cs="Arial"/>
                <w:bCs/>
                <w:szCs w:val="16"/>
              </w:rPr>
            </w:pPr>
            <w:r w:rsidRPr="002163B7">
              <w:rPr>
                <w:rFonts w:cs="Arial"/>
                <w:bCs/>
                <w:szCs w:val="16"/>
              </w:rPr>
              <w:t>2.14</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0.0233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0.9185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0.3584</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857</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27.77%</w:t>
            </w:r>
          </w:p>
        </w:tc>
        <w:tc>
          <w:tcPr>
            <w:tcW w:w="409" w:type="pct"/>
          </w:tcPr>
          <w:p w14:paraId="646CA85A" w14:textId="3C895BAE" w:rsidR="002163B7" w:rsidRPr="002163B7" w:rsidRDefault="002163B7" w:rsidP="002163B7">
            <w:pPr>
              <w:rPr>
                <w:rFonts w:cs="Arial"/>
                <w:bCs/>
                <w:szCs w:val="16"/>
              </w:rPr>
            </w:pPr>
            <w:r w:rsidRPr="002163B7">
              <w:rPr>
                <w:rFonts w:cs="Arial"/>
                <w:bCs/>
                <w:szCs w:val="16"/>
              </w:rPr>
              <w:t>814</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30.34%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2.57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0.0222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1.1578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0.2469</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857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36.64%</w:t>
            </w:r>
          </w:p>
        </w:tc>
        <w:tc>
          <w:tcPr>
            <w:tcW w:w="409" w:type="pct"/>
          </w:tcPr>
          <w:p w14:paraId="15A07783" w14:textId="7CD02A10" w:rsidR="002163B7" w:rsidRPr="002163B7" w:rsidRDefault="002163B7" w:rsidP="002163B7">
            <w:pPr>
              <w:rPr>
                <w:rFonts w:cs="Arial"/>
                <w:bCs/>
                <w:szCs w:val="16"/>
              </w:rPr>
            </w:pPr>
            <w:r w:rsidRPr="002163B7">
              <w:rPr>
                <w:rFonts w:cs="Arial"/>
                <w:bCs/>
                <w:szCs w:val="16"/>
              </w:rPr>
              <w:t>814</w:t>
            </w:r>
          </w:p>
        </w:tc>
        <w:tc>
          <w:tcPr>
            <w:tcW w:w="451" w:type="pct"/>
          </w:tcPr>
          <w:p w14:paraId="48158A85" w14:textId="5FA103FF" w:rsidR="002163B7" w:rsidRPr="002163B7" w:rsidRDefault="002163B7" w:rsidP="002163B7">
            <w:pPr>
              <w:rPr>
                <w:rFonts w:cs="Arial"/>
                <w:bCs/>
                <w:szCs w:val="16"/>
              </w:rPr>
            </w:pPr>
            <w:r w:rsidRPr="002163B7">
              <w:rPr>
                <w:rFonts w:cs="Arial"/>
                <w:bCs/>
                <w:szCs w:val="16"/>
              </w:rPr>
              <w:t>37.96%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1.32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0.0237</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0.5582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0.5767</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5ABC175" w14:textId="77777777" w:rsidR="00C25FA8" w:rsidRPr="00C25FA8" w:rsidRDefault="00C25FA8" w:rsidP="00C25FA8">
      <w:pPr>
        <w:rPr>
          <w:b/>
          <w:bCs/>
          <w:sz w:val="20"/>
          <w:szCs w:val="28"/>
        </w:rPr>
      </w:pPr>
      <w:r w:rsidRPr="00C25FA8">
        <w:rPr>
          <w:b/>
          <w:bCs/>
          <w:sz w:val="20"/>
          <w:szCs w:val="28"/>
        </w:rPr>
        <w:t>Delaware</w:t>
      </w:r>
    </w:p>
    <w:p w14:paraId="21BAC888" w14:textId="77777777" w:rsidR="00C25FA8" w:rsidRPr="00C25FA8" w:rsidRDefault="00C25FA8" w:rsidP="00C25FA8"/>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3A97DD9" w14:textId="77777777" w:rsidR="00493D28" w:rsidRDefault="00493D28">
      <w:pPr>
        <w:spacing w:before="0" w:after="200" w:line="276" w:lineRule="auto"/>
      </w:pPr>
    </w:p>
    <w:p w14:paraId="2D73293C" w14:textId="45CBB060" w:rsidR="00A241E8" w:rsidRDefault="00C25FA8">
      <w:pPr>
        <w:spacing w:before="0" w:after="200" w:line="276" w:lineRule="auto"/>
      </w:pPr>
      <w:r>
        <w:object w:dxaOrig="1540" w:dyaOrig="997" w14:anchorId="34977B93">
          <v:shape id="_x0000_i1026" type="#_x0000_t75" alt="DE-C-DR-2021-22&#10;" style="width:79.5pt;height:50.25pt" o:ole="">
            <v:imagedata r:id="rId14" o:title=""/>
          </v:shape>
          <o:OLEObject Type="Embed" ProgID="Acrobat.Document.2020" ShapeID="_x0000_i1026" DrawAspect="Icon" ObjectID="_1749222405"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000000"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1647" w14:textId="77777777" w:rsidR="008B40E3" w:rsidRDefault="008B40E3" w:rsidP="000802F7">
      <w:pPr>
        <w:spacing w:before="0" w:after="0"/>
      </w:pPr>
      <w:r>
        <w:separator/>
      </w:r>
    </w:p>
  </w:endnote>
  <w:endnote w:type="continuationSeparator" w:id="0">
    <w:p w14:paraId="5DDD3030" w14:textId="77777777" w:rsidR="008B40E3" w:rsidRDefault="008B40E3" w:rsidP="000802F7">
      <w:pPr>
        <w:spacing w:before="0" w:after="0"/>
      </w:pPr>
      <w:r>
        <w:continuationSeparator/>
      </w:r>
    </w:p>
  </w:endnote>
  <w:endnote w:type="continuationNotice" w:id="1">
    <w:p w14:paraId="3B2D382E" w14:textId="77777777" w:rsidR="008B40E3" w:rsidRDefault="008B40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6861" w14:textId="77777777" w:rsidR="008B40E3" w:rsidRDefault="008B40E3" w:rsidP="000802F7">
      <w:pPr>
        <w:spacing w:before="0" w:after="0"/>
      </w:pPr>
      <w:r>
        <w:separator/>
      </w:r>
    </w:p>
  </w:footnote>
  <w:footnote w:type="continuationSeparator" w:id="0">
    <w:p w14:paraId="3C09CB0A" w14:textId="77777777" w:rsidR="008B40E3" w:rsidRDefault="008B40E3" w:rsidP="000802F7">
      <w:pPr>
        <w:spacing w:before="0" w:after="0"/>
      </w:pPr>
      <w:r>
        <w:continuationSeparator/>
      </w:r>
    </w:p>
  </w:footnote>
  <w:footnote w:type="continuationNotice" w:id="1">
    <w:p w14:paraId="64908653" w14:textId="77777777" w:rsidR="008B40E3" w:rsidRDefault="008B40E3">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r w:rsidR="00C67DD9" w:rsidRPr="00606A3B">
        <w:rPr>
          <w:rFonts w:eastAsia="Times New Roman" w:cs="Arial"/>
          <w:sz w:val="16"/>
          <w:szCs w:val="16"/>
        </w:rPr>
        <w:t>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r w:rsidR="00061896" w:rsidRPr="00061896">
        <w:rPr>
          <w:color w:val="000000" w:themeColor="text1"/>
          <w:sz w:val="16"/>
          <w:szCs w:val="16"/>
        </w:rPr>
        <w:t xml:space="preserve">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1.75pt;height:21.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704671965">
    <w:abstractNumId w:val="7"/>
  </w:num>
  <w:num w:numId="2" w16cid:durableId="1841041795">
    <w:abstractNumId w:val="16"/>
  </w:num>
  <w:num w:numId="3" w16cid:durableId="1806653482">
    <w:abstractNumId w:val="9"/>
  </w:num>
  <w:num w:numId="4" w16cid:durableId="2127507662">
    <w:abstractNumId w:val="8"/>
  </w:num>
  <w:num w:numId="5" w16cid:durableId="1047069132">
    <w:abstractNumId w:val="18"/>
  </w:num>
  <w:num w:numId="6" w16cid:durableId="320622118">
    <w:abstractNumId w:val="0"/>
  </w:num>
  <w:num w:numId="7" w16cid:durableId="216861379">
    <w:abstractNumId w:val="1"/>
  </w:num>
  <w:num w:numId="8" w16cid:durableId="1251389">
    <w:abstractNumId w:val="14"/>
  </w:num>
  <w:num w:numId="9" w16cid:durableId="403065373">
    <w:abstractNumId w:val="13"/>
  </w:num>
  <w:num w:numId="10" w16cid:durableId="562954559">
    <w:abstractNumId w:val="3"/>
  </w:num>
  <w:num w:numId="11" w16cid:durableId="1114133091">
    <w:abstractNumId w:val="2"/>
  </w:num>
  <w:num w:numId="12" w16cid:durableId="650794053">
    <w:abstractNumId w:val="5"/>
  </w:num>
  <w:num w:numId="13" w16cid:durableId="1348868800">
    <w:abstractNumId w:val="11"/>
  </w:num>
  <w:num w:numId="14" w16cid:durableId="2079939436">
    <w:abstractNumId w:val="10"/>
  </w:num>
  <w:num w:numId="15" w16cid:durableId="20595606">
    <w:abstractNumId w:val="12"/>
  </w:num>
  <w:num w:numId="16" w16cid:durableId="609551817">
    <w:abstractNumId w:val="15"/>
  </w:num>
  <w:num w:numId="17" w16cid:durableId="2075278007">
    <w:abstractNumId w:val="4"/>
  </w:num>
  <w:num w:numId="18" w16cid:durableId="1388577620">
    <w:abstractNumId w:val="6"/>
  </w:num>
  <w:num w:numId="19" w16cid:durableId="145714067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3D28"/>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5D00"/>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40E3"/>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5FA8"/>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FA4ADC7C-F86F-444E-94AB-4805099F4F2A}"/>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62</Pages>
  <Words>35245</Words>
  <Characters>200900</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3</cp:revision>
  <cp:lastPrinted>2014-08-19T16:56:00Z</cp:lastPrinted>
  <dcterms:created xsi:type="dcterms:W3CDTF">2023-06-25T22:11:00Z</dcterms:created>
  <dcterms:modified xsi:type="dcterms:W3CDTF">2023-06-25T22:19:00Z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