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Delaware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Office of Special Education Programs (OSEP) has always required states to focus our efforts and resources on our general supervision responsibilities of procedural compliance through rigorous monitoring and extensive reporting procedures.  OSEP’s new accountability framework, called Results Driven Accountability (RDA), brings into focus the educational results and functional outcomes for children with disabilities while balancing those results with the compliance requirements of the Individuals with Disabilities Education Act (IDEA).  The purpose is to help close the achievement gap for students with disabilities, improve outcomes for our children while preparing them to have range of college and career options appropriate to their individual needs and preferences, move away from a one-size-fits-all compliance focused approach and to craft a more balanced system that looks at how well students are being educated in addition to continued efforts to protect their rights.  In addition, children with disabilities are to be a part of, not separate from, the general population.  Thus, Special Education Accountability should strengthen and compliment other general education initiatives, including the Every Student Succeeds Act (ESSA).</w:t>
      </w:r>
      <w:r w:rsidRPr="00781112">
        <w:rPr>
          <w:rFonts w:cs="Arial"/>
          <w:color w:val="000000" w:themeColor="text1"/>
          <w:szCs w:val="16"/>
        </w:rPr>
        <w:br/>
        <w:t>The Delaware Department of Education (DDOE) Exceptional Children Resources (ECR) Workgroup has developed a Multi-Tiered System of Accountability to improve results for children while ensuring compliance with IDEA within our general supervision responsibilities. All Local Education Agencies (LEAs) are monitored through data analysis, desk audits, self-assessments, review of student records, on-site visits and/or student observations for the compliance and results requirements under IDEA.  DDOE utilizes a risk-based analysis process to identify increased or targeted monitoring.  In addition, DDOE engages in ongoing monitoring activities for fiscal requirements, equitable services for parentally placed students with disabilities, MOE, and Excess Costs.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Delaware Department of Education (DDOE) uses a longitudinal data system to collect and maintain detailed, quality student and staff level data on all students who attend public K-12 local education agencies.  All of Delaware’s LEAs are required to use PowerSchool’s eSchoolPLUS and PSIEP applications to collect these data, provided by DDOE.  eSchoolPLUS contains demographic, academic, and performance historical data on every student in Delaware.  PSIEP collects Individualized Education Program (IEP) data for special education students.  PSIEP is integrated with eSchoolPLUS providing DDOE robust student data for reporting and analysis.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Accountability under IDEA. This system of accountability is designed to improve results for children while ensuring compliance of IDEA within our general supervision responsibilities.</w:t>
      </w:r>
      <w:r w:rsidRPr="00781112">
        <w:rPr>
          <w:rFonts w:cs="Arial"/>
          <w:color w:val="000000" w:themeColor="text1"/>
          <w:szCs w:val="16"/>
        </w:rPr>
        <w:br/>
      </w:r>
      <w:r w:rsidRPr="00781112">
        <w:rPr>
          <w:rFonts w:cs="Arial"/>
          <w:color w:val="000000" w:themeColor="text1"/>
          <w:szCs w:val="16"/>
        </w:rPr>
        <w:br/>
        <w:t>Tier I</w:t>
      </w:r>
      <w:r w:rsidRPr="00781112">
        <w:rPr>
          <w:rFonts w:cs="Arial"/>
          <w:color w:val="000000" w:themeColor="text1"/>
          <w:szCs w:val="16"/>
        </w:rPr>
        <w:br/>
      </w:r>
      <w:r w:rsidRPr="00781112">
        <w:rPr>
          <w:rFonts w:cs="Arial"/>
          <w:color w:val="000000" w:themeColor="text1"/>
          <w:szCs w:val="16"/>
        </w:rPr>
        <w:br/>
        <w:t>All Local Education Agencies (LEAs) are monitored through data analysis, desk audits, self-assessments, review of student records, on-site visits and/or student observations for the following:</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Disproportionate Suspension &amp; Expulsion Ethnicity (Indicator 4b)</w:t>
      </w:r>
      <w:r w:rsidRPr="00781112">
        <w:rPr>
          <w:rFonts w:cs="Arial"/>
          <w:color w:val="000000" w:themeColor="text1"/>
          <w:szCs w:val="16"/>
        </w:rPr>
        <w:br/>
        <w:t>Disproportionate Representation in Special Education (Indicators 9 &amp; 10)</w:t>
      </w:r>
      <w:r w:rsidRPr="00781112">
        <w:rPr>
          <w:rFonts w:cs="Arial"/>
          <w:color w:val="000000" w:themeColor="text1"/>
          <w:szCs w:val="16"/>
        </w:rPr>
        <w:br/>
        <w:t>Initial Evaluation Timelines (Indicator 11)</w:t>
      </w:r>
      <w:r w:rsidRPr="00781112">
        <w:rPr>
          <w:rFonts w:cs="Arial"/>
          <w:color w:val="000000" w:themeColor="text1"/>
          <w:szCs w:val="16"/>
        </w:rPr>
        <w:br/>
        <w:t>Transition of Part C to Part B (Indicator 12)</w:t>
      </w:r>
      <w:r w:rsidRPr="00781112">
        <w:rPr>
          <w:rFonts w:cs="Arial"/>
          <w:color w:val="000000" w:themeColor="text1"/>
          <w:szCs w:val="16"/>
        </w:rPr>
        <w:br/>
        <w:t>Secondary Transition (Indicator 13)</w:t>
      </w:r>
      <w:r w:rsidRPr="00781112">
        <w:rPr>
          <w:rFonts w:cs="Arial"/>
          <w:color w:val="000000" w:themeColor="text1"/>
          <w:szCs w:val="16"/>
        </w:rPr>
        <w:br/>
        <w:t>Compliance of IEP Process</w:t>
      </w:r>
      <w:r w:rsidRPr="00781112">
        <w:rPr>
          <w:rFonts w:cs="Arial"/>
          <w:color w:val="000000" w:themeColor="text1"/>
          <w:szCs w:val="16"/>
        </w:rPr>
        <w:br/>
        <w:t>Equitable Services for Parentally Placed Private School Student</w:t>
      </w:r>
      <w:r w:rsidRPr="00781112">
        <w:rPr>
          <w:rFonts w:cs="Arial"/>
          <w:color w:val="000000" w:themeColor="text1"/>
          <w:szCs w:val="16"/>
        </w:rPr>
        <w:br/>
        <w:t xml:space="preserve">Needs-Based Funding Verification </w:t>
      </w:r>
      <w:r w:rsidRPr="00781112">
        <w:rPr>
          <w:rFonts w:cs="Arial"/>
          <w:color w:val="000000" w:themeColor="text1"/>
          <w:szCs w:val="16"/>
        </w:rPr>
        <w:br/>
        <w:t>Consolidated Grant Approval Process – IDEA Program and Fiscal Monitoring</w:t>
      </w:r>
      <w:r w:rsidRPr="00781112">
        <w:rPr>
          <w:rFonts w:cs="Arial"/>
          <w:color w:val="000000" w:themeColor="text1"/>
          <w:szCs w:val="16"/>
        </w:rPr>
        <w:br/>
        <w:t>Fiscal Monitoring of MOE and Excess Costs</w:t>
      </w:r>
      <w:r w:rsidRPr="00781112">
        <w:rPr>
          <w:rFonts w:cs="Arial"/>
          <w:color w:val="000000" w:themeColor="text1"/>
          <w:szCs w:val="16"/>
        </w:rPr>
        <w:br/>
        <w:t>Analysis of Dispute Resolution and Mediation issues (Indicator 15 &amp; 16)</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State Assessment Participation and Performance (Indicator 3 a,b,c,d)</w:t>
      </w:r>
      <w:r w:rsidRPr="00781112">
        <w:rPr>
          <w:rFonts w:cs="Arial"/>
          <w:color w:val="000000" w:themeColor="text1"/>
          <w:szCs w:val="16"/>
        </w:rPr>
        <w:br/>
        <w:t>Significant Discrepancy Suspension and Expulsion (Indicator 4a)</w:t>
      </w:r>
      <w:r w:rsidRPr="00781112">
        <w:rPr>
          <w:rFonts w:cs="Arial"/>
          <w:color w:val="000000" w:themeColor="text1"/>
          <w:szCs w:val="16"/>
        </w:rPr>
        <w:br/>
        <w:t>Early Childhood Outcomes (Indicator 7)</w:t>
      </w:r>
      <w:r w:rsidRPr="00781112">
        <w:rPr>
          <w:rFonts w:cs="Arial"/>
          <w:color w:val="000000" w:themeColor="text1"/>
          <w:szCs w:val="16"/>
        </w:rPr>
        <w:br/>
        <w:t>Graduation Rate (Indicator 1)</w:t>
      </w:r>
      <w:r w:rsidRPr="00781112">
        <w:rPr>
          <w:rFonts w:cs="Arial"/>
          <w:color w:val="000000" w:themeColor="text1"/>
          <w:szCs w:val="16"/>
        </w:rPr>
        <w:br/>
        <w:t>Drop-out Rate (Indicator 2)</w:t>
      </w:r>
      <w:r w:rsidRPr="00781112">
        <w:rPr>
          <w:rFonts w:cs="Arial"/>
          <w:color w:val="000000" w:themeColor="text1"/>
          <w:szCs w:val="16"/>
        </w:rPr>
        <w:br/>
        <w:t>LRE (Indicator 5)</w:t>
      </w:r>
      <w:r w:rsidRPr="00781112">
        <w:rPr>
          <w:rFonts w:cs="Arial"/>
          <w:color w:val="000000" w:themeColor="text1"/>
          <w:szCs w:val="16"/>
        </w:rPr>
        <w:br/>
        <w:t>LRE Preschool (Indicator 6)</w:t>
      </w:r>
      <w:r w:rsidRPr="00781112">
        <w:rPr>
          <w:rFonts w:cs="Arial"/>
          <w:color w:val="000000" w:themeColor="text1"/>
          <w:szCs w:val="16"/>
        </w:rPr>
        <w:br/>
        <w:t>Parent Involvement (Indicator 8)</w:t>
      </w:r>
      <w:r w:rsidRPr="00781112">
        <w:rPr>
          <w:rFonts w:cs="Arial"/>
          <w:color w:val="000000" w:themeColor="text1"/>
          <w:szCs w:val="16"/>
        </w:rPr>
        <w:br/>
        <w:t>Post School Outcomes (Indicator 14)</w:t>
      </w:r>
      <w:r w:rsidRPr="00781112">
        <w:rPr>
          <w:rFonts w:cs="Arial"/>
          <w:color w:val="000000" w:themeColor="text1"/>
          <w:szCs w:val="16"/>
        </w:rPr>
        <w:br/>
      </w:r>
      <w:r w:rsidRPr="00781112">
        <w:rPr>
          <w:rFonts w:cs="Arial"/>
          <w:color w:val="000000" w:themeColor="text1"/>
          <w:szCs w:val="16"/>
        </w:rPr>
        <w:br/>
        <w:t>Tier II</w:t>
      </w:r>
      <w:r w:rsidRPr="00781112">
        <w:rPr>
          <w:rFonts w:cs="Arial"/>
          <w:color w:val="000000" w:themeColor="text1"/>
          <w:szCs w:val="16"/>
        </w:rPr>
        <w:br/>
      </w:r>
      <w:r w:rsidRPr="00781112">
        <w:rPr>
          <w:rFonts w:cs="Arial"/>
          <w:color w:val="000000" w:themeColor="text1"/>
          <w:szCs w:val="16"/>
        </w:rPr>
        <w:br/>
        <w:t xml:space="preserve">For compliance issues, the LEA is required to correct all individual student noncompliance, conduct a Root Cause Analysis in the area of noncompliance, and develop a Corrective Action Plan including improvement activities, benchmarks, and a timeline for submitting deliverables and status updates. Following the completion of these activities and utilizing updated data, DDOE verifies the correction of individual student noncompliance, </w:t>
      </w:r>
      <w:r w:rsidRPr="00781112">
        <w:rPr>
          <w:rFonts w:cs="Arial"/>
          <w:color w:val="000000" w:themeColor="text1"/>
          <w:szCs w:val="16"/>
        </w:rPr>
        <w:lastRenderedPageBreak/>
        <w:t>in addition to reviewing randomly selected student files, again utilizing updated data, to ensure there are no systemic issues of non-compliance and that the LEA is implementing the regulatory requirements under IDEA. If continued noncompliance exists, the LEA will move to Tier III. For results issues, the LEA is monitored through Continuous Improvement Plans developed by the LEAs and through monitoring activities of the Exceptional Children Resources Workgroup.</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LEA corrects individual noncompliance,</w:t>
      </w:r>
      <w:r w:rsidRPr="00781112">
        <w:rPr>
          <w:rFonts w:cs="Arial"/>
          <w:color w:val="000000" w:themeColor="text1"/>
          <w:szCs w:val="16"/>
        </w:rPr>
        <w:br/>
        <w:t>LEA conducts a Self- Assessment including a Root Cause Analysis in the area of noncompliance,</w:t>
      </w:r>
      <w:r w:rsidRPr="00781112">
        <w:rPr>
          <w:rFonts w:cs="Arial"/>
          <w:color w:val="000000" w:themeColor="text1"/>
          <w:szCs w:val="16"/>
        </w:rPr>
        <w:br/>
        <w:t>LEA develops a Corrective Action Plan including improvement activities, benchmarks, and timeline for submitting deliverables and status updates,</w:t>
      </w:r>
      <w:r w:rsidRPr="00781112">
        <w:rPr>
          <w:rFonts w:cs="Arial"/>
          <w:color w:val="000000" w:themeColor="text1"/>
          <w:szCs w:val="16"/>
        </w:rPr>
        <w:br/>
        <w:t>DDOE provides TA, as requested,</w:t>
      </w:r>
      <w:r w:rsidRPr="00781112">
        <w:rPr>
          <w:rFonts w:cs="Arial"/>
          <w:color w:val="000000" w:themeColor="text1"/>
          <w:szCs w:val="16"/>
        </w:rPr>
        <w:br/>
        <w:t xml:space="preserve">DDOE verifies correction of individual student noncompliance utilizing updated data, </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Corrective Action Plan.</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LEA driven, DDOE monitors through progress/status updates of Continuous Improvement Plan,</w:t>
      </w:r>
      <w:r w:rsidRPr="00781112">
        <w:rPr>
          <w:rFonts w:cs="Arial"/>
          <w:color w:val="000000" w:themeColor="text1"/>
          <w:szCs w:val="16"/>
        </w:rPr>
        <w:br/>
        <w:t>LEA reviews data, conducts a Root Cause Analysis and develops a Continuous Improvement Plan,</w:t>
      </w:r>
      <w:r w:rsidRPr="00781112">
        <w:rPr>
          <w:rFonts w:cs="Arial"/>
          <w:color w:val="000000" w:themeColor="text1"/>
          <w:szCs w:val="16"/>
        </w:rPr>
        <w:br/>
        <w:t>DDOE monitors through analysis of LEA data and status of Continuous Improvement Plan,</w:t>
      </w:r>
      <w:r w:rsidRPr="00781112">
        <w:rPr>
          <w:rFonts w:cs="Arial"/>
          <w:color w:val="000000" w:themeColor="text1"/>
          <w:szCs w:val="16"/>
        </w:rPr>
        <w:br/>
        <w:t>DDOE reviews alignment of data within Consolidated Grant to Continuous Improvement activities to show improvement,</w:t>
      </w:r>
      <w:r w:rsidRPr="00781112">
        <w:rPr>
          <w:rFonts w:cs="Arial"/>
          <w:color w:val="000000" w:themeColor="text1"/>
          <w:szCs w:val="16"/>
        </w:rPr>
        <w:br/>
        <w:t>DDOE provides TA, as requested.</w:t>
      </w:r>
      <w:r w:rsidRPr="00781112">
        <w:rPr>
          <w:rFonts w:cs="Arial"/>
          <w:color w:val="000000" w:themeColor="text1"/>
          <w:szCs w:val="16"/>
        </w:rPr>
        <w:br/>
      </w:r>
      <w:r w:rsidRPr="00781112">
        <w:rPr>
          <w:rFonts w:cs="Arial"/>
          <w:color w:val="000000" w:themeColor="text1"/>
          <w:szCs w:val="16"/>
        </w:rPr>
        <w:br/>
        <w:t>Tier III</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LEA and DDOE driven, DDOE monitors through deliverables and process of utilizing updated data: verification of individual student corrections of noncompliance, verification of systemic compliance and that the LEA is implementing the regulatory requirements under IDEA, progress/status updates and TA,</w:t>
      </w:r>
      <w:r w:rsidRPr="00781112">
        <w:rPr>
          <w:rFonts w:cs="Arial"/>
          <w:color w:val="000000" w:themeColor="text1"/>
          <w:szCs w:val="16"/>
        </w:rPr>
        <w:br/>
        <w:t>LEA corrects individual noncompliance,</w:t>
      </w:r>
      <w:r w:rsidRPr="00781112">
        <w:rPr>
          <w:rFonts w:cs="Arial"/>
          <w:color w:val="000000" w:themeColor="text1"/>
          <w:szCs w:val="16"/>
        </w:rPr>
        <w:br/>
        <w:t>LEA and DDOE conducts a Self- Assessment including a Root Cause Analysis in the area of noncompliance,</w:t>
      </w:r>
      <w:r w:rsidRPr="00781112">
        <w:rPr>
          <w:rFonts w:cs="Arial"/>
          <w:color w:val="000000" w:themeColor="text1"/>
          <w:szCs w:val="16"/>
        </w:rPr>
        <w:br/>
        <w:t>LEA and DDOE develop an Intervention Plan together to include improvement activities, benchmarks, and timeline for submitting deliverables and status updates,</w:t>
      </w:r>
      <w:r w:rsidRPr="00781112">
        <w:rPr>
          <w:rFonts w:cs="Arial"/>
          <w:color w:val="000000" w:themeColor="text1"/>
          <w:szCs w:val="16"/>
        </w:rPr>
        <w:br/>
        <w:t>TA provided by DDOE or other entity,</w:t>
      </w:r>
      <w:r w:rsidRPr="00781112">
        <w:rPr>
          <w:rFonts w:cs="Arial"/>
          <w:color w:val="000000" w:themeColor="text1"/>
          <w:szCs w:val="16"/>
        </w:rPr>
        <w:br/>
        <w:t>DDOE verifies correction of individual student noncompliance utilizing updated data,</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Intervention Plan.</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LEA and DDOE driven, DDOE monitors through Intervention Plan progress/status update and status of Intervention Plan,</w:t>
      </w:r>
      <w:r w:rsidRPr="00781112">
        <w:rPr>
          <w:rFonts w:cs="Arial"/>
          <w:color w:val="000000" w:themeColor="text1"/>
          <w:szCs w:val="16"/>
        </w:rPr>
        <w:br/>
        <w:t>LEA reviews data, conducts a Root Cause Analysis and works with DDOE to develop an Intervention Plan,</w:t>
      </w:r>
      <w:r w:rsidRPr="00781112">
        <w:rPr>
          <w:rFonts w:cs="Arial"/>
          <w:color w:val="000000" w:themeColor="text1"/>
          <w:szCs w:val="16"/>
        </w:rPr>
        <w:br/>
        <w:t>DDOE monitors through analysis of LEA data and status of Intervention Plan,</w:t>
      </w:r>
      <w:r w:rsidRPr="00781112">
        <w:rPr>
          <w:rFonts w:cs="Arial"/>
          <w:color w:val="000000" w:themeColor="text1"/>
          <w:szCs w:val="16"/>
        </w:rPr>
        <w:br/>
        <w:t>DDOE reviews alignment of data within Consolidated Grant to Intervention Plan activities to show improvement,</w:t>
      </w:r>
      <w:r w:rsidRPr="00781112">
        <w:rPr>
          <w:rFonts w:cs="Arial"/>
          <w:color w:val="000000" w:themeColor="text1"/>
          <w:szCs w:val="16"/>
        </w:rPr>
        <w:br/>
        <w:t>DDOE provides TA in necessary areas.</w:t>
      </w:r>
      <w:r w:rsidRPr="00781112">
        <w:rPr>
          <w:rFonts w:cs="Arial"/>
          <w:color w:val="000000" w:themeColor="text1"/>
          <w:szCs w:val="16"/>
        </w:rPr>
        <w:br/>
      </w:r>
      <w:r w:rsidRPr="00781112">
        <w:rPr>
          <w:rFonts w:cs="Arial"/>
          <w:color w:val="000000" w:themeColor="text1"/>
          <w:szCs w:val="16"/>
        </w:rPr>
        <w:br/>
        <w:t>Tier IV</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 xml:space="preserve">DDOE driven, DDOE monitors through deliverables and the process of utilizing updated data: individual student corrections of noncompliance, verification of systemic compliance and that the LEA is implementing the regulatory requirements under IDEA, progress/status updates, and TA directed by DDOE and/or other entity, </w:t>
      </w:r>
      <w:r w:rsidRPr="00781112">
        <w:rPr>
          <w:rFonts w:cs="Arial"/>
          <w:color w:val="000000" w:themeColor="text1"/>
          <w:szCs w:val="16"/>
        </w:rPr>
        <w:br/>
        <w:t>LEA corrects individual noncompliance,</w:t>
      </w:r>
      <w:r w:rsidRPr="00781112">
        <w:rPr>
          <w:rFonts w:cs="Arial"/>
          <w:color w:val="000000" w:themeColor="text1"/>
          <w:szCs w:val="16"/>
        </w:rPr>
        <w:br/>
        <w:t>Root Cause Analysis is completed by LEA and DDOE in the area of noncompliance,</w:t>
      </w:r>
      <w:r w:rsidRPr="00781112">
        <w:rPr>
          <w:rFonts w:cs="Arial"/>
          <w:color w:val="000000" w:themeColor="text1"/>
          <w:szCs w:val="16"/>
        </w:rPr>
        <w:br/>
        <w:t>DDOE develops a Compliance Agreement and the LEA and DDOE enter into the Compliance Agreement which includes improvement activities, benchmarks, PD, TA, and timeline for submitting deliverables and status updates,</w:t>
      </w:r>
      <w:r w:rsidRPr="00781112">
        <w:rPr>
          <w:rFonts w:cs="Arial"/>
          <w:color w:val="000000" w:themeColor="text1"/>
          <w:szCs w:val="16"/>
        </w:rPr>
        <w:br/>
        <w:t>TA provided by DDOE or other entity,</w:t>
      </w:r>
      <w:r w:rsidRPr="00781112">
        <w:rPr>
          <w:rFonts w:cs="Arial"/>
          <w:color w:val="000000" w:themeColor="text1"/>
          <w:szCs w:val="16"/>
        </w:rPr>
        <w:br/>
        <w:t>DDOE verifies correction individual student noncompliance utilizing updated data,</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Compliance Agreement,</w:t>
      </w:r>
      <w:r w:rsidRPr="00781112">
        <w:rPr>
          <w:rFonts w:cs="Arial"/>
          <w:color w:val="000000" w:themeColor="text1"/>
          <w:szCs w:val="16"/>
        </w:rPr>
        <w:br/>
        <w:t>Possible direction of IDEA funds.</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DDOE driven, DDOE monitors through progress updates, deliverables, discussions of data and status of a Compliance Agreement,</w:t>
      </w:r>
      <w:r w:rsidRPr="00781112">
        <w:rPr>
          <w:rFonts w:cs="Arial"/>
          <w:color w:val="000000" w:themeColor="text1"/>
          <w:szCs w:val="16"/>
        </w:rPr>
        <w:br/>
        <w:t>DDOE reviews data, and supports the LEA in conducting a Root Cause Analysis and develops a Compliance Agreement,</w:t>
      </w:r>
      <w:r w:rsidRPr="00781112">
        <w:rPr>
          <w:rFonts w:cs="Arial"/>
          <w:color w:val="000000" w:themeColor="text1"/>
          <w:szCs w:val="16"/>
        </w:rPr>
        <w:br/>
        <w:t>DDOE monitors through analysis of LEA data and status of the Compliance Agreement,</w:t>
      </w:r>
      <w:r w:rsidRPr="00781112">
        <w:rPr>
          <w:rFonts w:cs="Arial"/>
          <w:color w:val="000000" w:themeColor="text1"/>
          <w:szCs w:val="16"/>
        </w:rPr>
        <w:br/>
        <w:t>DDOE provides TA to LEA in areas of improvement.</w:t>
      </w:r>
      <w:r w:rsidRPr="00781112">
        <w:rPr>
          <w:rFonts w:cs="Arial"/>
          <w:color w:val="000000" w:themeColor="text1"/>
          <w:szCs w:val="16"/>
        </w:rPr>
        <w:br/>
        <w:t>For Tier IV issues, DDOE monitors the Compliance Agreement closely. If the DDOE is able to verify correction of noncompliance in all of the regulatory areas, the DDOE will close out the findings of noncompliance that are corrected and notify the LEA in writing. If, however, findings of noncompliance remain open in specific regulatory areas, additional actions will be necessary. Depending on the results of the DDOE's verification activities, the DDOE may increase its enforcement actions in accordance with its authority.</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w:t>
      </w:r>
      <w:r w:rsidRPr="00781112">
        <w:rPr>
          <w:rFonts w:cs="Arial"/>
          <w:color w:val="000000" w:themeColor="text1"/>
          <w:szCs w:val="16"/>
        </w:rPr>
        <w:br/>
        <w:t xml:space="preserve">The DDOE has developed a comprehensive technical assistance framework that moves beyond short-term, episodic training and support to a community of practice that is sustainable and builds LEA capacity to improve results for students with disabilities.  Within the framework, each ECR staff member serves as a liaison to a certain number of LEAs to provide intensive technical assistance and support on a daily basis.  In addition, the DDOE engages in an analysis of state-level, as well as LEA level data and in meaningful discussions with LEA leadership to identify LEAs in need of technical assistance.  Once identified, technical assistance is provided through a variety of formats including individual conversations, peer to peer discussions, </w:t>
      </w:r>
      <w:r w:rsidRPr="00781112">
        <w:rPr>
          <w:rFonts w:cs="Arial"/>
          <w:color w:val="000000" w:themeColor="text1"/>
          <w:szCs w:val="16"/>
        </w:rPr>
        <w:lastRenderedPageBreak/>
        <w:t>group training, on-site/online coaching, and consultation.  Technical assistance is provided on an ongoing basis and includes DDOE and stakeholder-initiated topics such as IDEA regulations, procedural safeguards, policies, procedures, and practices, legislative updates, policy issues, State Performance Plan/Annual Performance Report, State Systemic Improvement Plan, fiscal, updates from agency providers, and other current issues in special education both national and those specific to Delaware.</w:t>
      </w:r>
      <w:r w:rsidRPr="00781112">
        <w:rPr>
          <w:rFonts w:cs="Arial"/>
          <w:color w:val="000000" w:themeColor="text1"/>
          <w:szCs w:val="16"/>
        </w:rPr>
        <w:br/>
      </w:r>
      <w:r w:rsidRPr="00781112">
        <w:rPr>
          <w:rFonts w:cs="Arial"/>
          <w:color w:val="000000" w:themeColor="text1"/>
          <w:szCs w:val="16"/>
        </w:rPr>
        <w:br/>
        <w:t>Under the IDEA, the Department is required to review the performance of local education agencies (LEAs) on the targets identified in the State’s Performance Plan (SPP) and make annual determinations on LEA performance.  Since the federal Office of Special Education Programs (OSEP) has broadened their focus from holding states accountable for compliance indicators only to now holding states accountable for both compliance and results indicators, DDOE issues LEA annual determinations based on a combination of the following compliance and results indicators:</w:t>
      </w:r>
      <w:r w:rsidRPr="00781112">
        <w:rPr>
          <w:rFonts w:cs="Arial"/>
          <w:color w:val="000000" w:themeColor="text1"/>
          <w:szCs w:val="16"/>
        </w:rPr>
        <w:br/>
        <w:t>Compliance:</w:t>
      </w:r>
      <w:r w:rsidRPr="00781112">
        <w:rPr>
          <w:rFonts w:cs="Arial"/>
          <w:color w:val="000000" w:themeColor="text1"/>
          <w:szCs w:val="16"/>
        </w:rPr>
        <w:br/>
        <w:t>Indicator 4b: Significant Discrepancy, by Race or Ethnicity, in the rate of Suspensions and Expulsions of greater than 10 days in a school year and policies, procedures or practices that contribute to the significant discrepancy and do not comply with requirements</w:t>
      </w:r>
      <w:r w:rsidRPr="00781112">
        <w:rPr>
          <w:rFonts w:cs="Arial"/>
          <w:color w:val="000000" w:themeColor="text1"/>
          <w:szCs w:val="16"/>
        </w:rPr>
        <w:br/>
        <w:t>Indicators 9 &amp; 10: Disproportionate Representation related to Identification</w:t>
      </w:r>
      <w:r w:rsidRPr="00781112">
        <w:rPr>
          <w:rFonts w:cs="Arial"/>
          <w:color w:val="000000" w:themeColor="text1"/>
          <w:szCs w:val="16"/>
        </w:rPr>
        <w:br/>
        <w:t>Indicator 11: Timely Evaluations</w:t>
      </w:r>
      <w:r w:rsidRPr="00781112">
        <w:rPr>
          <w:rFonts w:cs="Arial"/>
          <w:color w:val="000000" w:themeColor="text1"/>
          <w:szCs w:val="16"/>
        </w:rPr>
        <w:br/>
        <w:t>Indicator 12: Early Childhood Transition from Part C/preschool special education services to Part B/school-age special education services</w:t>
      </w:r>
      <w:r w:rsidRPr="00781112">
        <w:rPr>
          <w:rFonts w:cs="Arial"/>
          <w:color w:val="000000" w:themeColor="text1"/>
          <w:szCs w:val="16"/>
        </w:rPr>
        <w:br/>
        <w:t>Indicator 13: Transition Planning in the IEP</w:t>
      </w:r>
      <w:r w:rsidRPr="00781112">
        <w:rPr>
          <w:rFonts w:cs="Arial"/>
          <w:color w:val="000000" w:themeColor="text1"/>
          <w:szCs w:val="16"/>
        </w:rPr>
        <w:br/>
        <w:t>Other: Equitable Services, Needs-Based Funding, Fiscal Monitoring</w:t>
      </w:r>
      <w:r w:rsidRPr="00781112">
        <w:rPr>
          <w:rFonts w:cs="Arial"/>
          <w:color w:val="000000" w:themeColor="text1"/>
          <w:szCs w:val="16"/>
        </w:rPr>
        <w:br/>
        <w:t>Other: Corrective Action as a result of an Administrative Complaint or Due Process</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Indicator 1: Graduate Rate</w:t>
      </w:r>
      <w:r w:rsidRPr="00781112">
        <w:rPr>
          <w:rFonts w:cs="Arial"/>
          <w:color w:val="000000" w:themeColor="text1"/>
          <w:szCs w:val="16"/>
        </w:rPr>
        <w:br/>
        <w:t>Indicator 2: Drop Out Rate</w:t>
      </w:r>
      <w:r w:rsidRPr="00781112">
        <w:rPr>
          <w:rFonts w:cs="Arial"/>
          <w:color w:val="000000" w:themeColor="text1"/>
          <w:szCs w:val="16"/>
        </w:rPr>
        <w:br/>
        <w:t>Indicator 3a: Participation in the State Assessment</w:t>
      </w:r>
      <w:r w:rsidRPr="00781112">
        <w:rPr>
          <w:rFonts w:cs="Arial"/>
          <w:color w:val="000000" w:themeColor="text1"/>
          <w:szCs w:val="16"/>
        </w:rPr>
        <w:br/>
        <w:t>Indicator 3b: Proficiency on the State Assessment</w:t>
      </w:r>
      <w:r w:rsidRPr="00781112">
        <w:rPr>
          <w:rFonts w:cs="Arial"/>
          <w:color w:val="000000" w:themeColor="text1"/>
          <w:szCs w:val="16"/>
        </w:rPr>
        <w:br/>
        <w:t>Indicator 3c: Proficiency on the State Alternate Assessment</w:t>
      </w:r>
      <w:r w:rsidRPr="00781112">
        <w:rPr>
          <w:rFonts w:cs="Arial"/>
          <w:color w:val="000000" w:themeColor="text1"/>
          <w:szCs w:val="16"/>
        </w:rPr>
        <w:br/>
        <w:t xml:space="preserve">Indicator 3d: Gap in Proficiency </w:t>
      </w:r>
      <w:r w:rsidRPr="00781112">
        <w:rPr>
          <w:rFonts w:cs="Arial"/>
          <w:color w:val="000000" w:themeColor="text1"/>
          <w:szCs w:val="16"/>
        </w:rPr>
        <w:br/>
        <w:t>Indicator 4a: Significant Discrepancy in the rates of long-term Suspension of Students with Disabilities</w:t>
      </w:r>
      <w:r w:rsidRPr="00781112">
        <w:rPr>
          <w:rFonts w:cs="Arial"/>
          <w:color w:val="000000" w:themeColor="text1"/>
          <w:szCs w:val="16"/>
        </w:rPr>
        <w:br/>
        <w:t>Indicator 5: LRE</w:t>
      </w:r>
      <w:r w:rsidRPr="00781112">
        <w:rPr>
          <w:rFonts w:cs="Arial"/>
          <w:color w:val="000000" w:themeColor="text1"/>
          <w:szCs w:val="16"/>
        </w:rPr>
        <w:br/>
        <w:t>Indicator 7: Early Childhood Outcomes</w:t>
      </w:r>
      <w:r w:rsidRPr="00781112">
        <w:rPr>
          <w:rFonts w:cs="Arial"/>
          <w:color w:val="000000" w:themeColor="text1"/>
          <w:szCs w:val="16"/>
        </w:rPr>
        <w:br/>
      </w:r>
      <w:r w:rsidRPr="00781112">
        <w:rPr>
          <w:rFonts w:cs="Arial"/>
          <w:color w:val="000000" w:themeColor="text1"/>
          <w:szCs w:val="16"/>
        </w:rPr>
        <w:br/>
        <w:t>After receiving their annual determinations, LEAs must analyze their data, engage stakeholders in a root cause analysis and develop a Continuous Improvement Plan to actively improve results for students with disabilities.  DDOE provides technical assistance to support each LEA in this process.</w:t>
      </w:r>
      <w:r w:rsidRPr="00781112">
        <w:rPr>
          <w:rFonts w:cs="Arial"/>
          <w:color w:val="000000" w:themeColor="text1"/>
          <w:szCs w:val="16"/>
        </w:rPr>
        <w:br/>
        <w:t xml:space="preserve">  </w:t>
      </w:r>
      <w:r w:rsidRPr="00781112">
        <w:rPr>
          <w:rFonts w:cs="Arial"/>
          <w:color w:val="000000" w:themeColor="text1"/>
          <w:szCs w:val="16"/>
        </w:rPr>
        <w:br/>
        <w:t xml:space="preserve">Under Delaware’s Multi-Tiered System of Accountability, DDOE provides technical assistance to LEAs through each tier by: </w:t>
      </w:r>
      <w:r w:rsidRPr="00781112">
        <w:rPr>
          <w:rFonts w:cs="Arial"/>
          <w:color w:val="000000" w:themeColor="text1"/>
          <w:szCs w:val="16"/>
        </w:rPr>
        <w:br/>
        <w:t>Tier I:  If an LEA is found noncompliant or they have not met the targets for results, the LEA moves to Tier II.  Data from all compliance and results indicators, along with other factors, are considered when identifying the movement of an LEA to Tier II.  In addition to the schedule of LEA on-site monitoring, the DDOE conducts a Risk Based Analysis to identify specific LEAs for monitoring, technical assistance, and support by DDOE.</w:t>
      </w:r>
      <w:r w:rsidRPr="00781112">
        <w:rPr>
          <w:rFonts w:cs="Arial"/>
          <w:color w:val="000000" w:themeColor="text1"/>
          <w:szCs w:val="16"/>
        </w:rPr>
        <w:br/>
        <w:t>Tier II:  If an LEA is found to continue in the areas of noncompliance, they have not completed the activities in their Corrective Action Plan or they have not met the targets for results for another year, the LEA moves to Tier III.  Again, the DDOE conducts a Risk Based Analysis to identify LEAs for on-site monitoring each year.  Data from all compliance and results indicators, along with additional data, are considered when identifying the movement to Tier III.  Tier III is driven by both LEA and DDOE. TA is provided to LEA by DDOE support throughout the year.</w:t>
      </w:r>
      <w:r w:rsidRPr="00781112">
        <w:rPr>
          <w:rFonts w:cs="Arial"/>
          <w:color w:val="000000" w:themeColor="text1"/>
          <w:szCs w:val="16"/>
        </w:rPr>
        <w:br/>
        <w:t>Tier III:  For Tier III results issues, progress updates are provided on the LEA’s Intervention Plan.  TA is provided to LEA by DDOE throughout the year.  If an LEA continues to be noncompliant, the LEA moves into Tier IV and enters into a Compliance Agreement with DDOE.  DDOE leads a Root Cause Analysis with the LEA in the area(s) of noncompliance and develops the Compliance Agreement which is signed by both parties.</w:t>
      </w:r>
      <w:r w:rsidRPr="00781112">
        <w:rPr>
          <w:rFonts w:cs="Arial"/>
          <w:color w:val="000000" w:themeColor="text1"/>
          <w:szCs w:val="16"/>
        </w:rPr>
        <w:br/>
        <w:t>Tier IV:  For Tier IV issues, DDOE monitors the Compliance Agreement closely.  If the DDOE is able to verify correction of noncompliance in all of the regulatory areas, the DDOE will close out the findings of noncompliance that are corrected and notify the LEA in writing.  If, however, findings of noncompliance remain open in specific regulatory areas, additional actions will be necessary.  Depending on the results of the DDOE's verification activities, the DDOE may increase its enforcement actions in accordance with its authority.</w:t>
      </w:r>
      <w:r w:rsidRPr="00781112">
        <w:rPr>
          <w:rFonts w:cs="Arial"/>
          <w:color w:val="000000" w:themeColor="text1"/>
          <w:szCs w:val="16"/>
        </w:rPr>
        <w:br/>
      </w:r>
      <w:r w:rsidRPr="00781112">
        <w:rPr>
          <w:rFonts w:cs="Arial"/>
          <w:color w:val="000000" w:themeColor="text1"/>
          <w:szCs w:val="16"/>
        </w:rPr>
        <w:br/>
        <w:t xml:space="preserve">In addition to the support within the Liaison framework, DDOE provides technical assistance to all LEAs through a variety of formats including the following:  Bi-monthly Special Education Leadership, County and Charter meetings held throughout the year, monthly Literacy Coalition and Cadre meetings, monthly Math Cadre meetings, quarterly DE-PBS Cadre meetings, monthly Delaware Transition Cadre meetings, quarterly MTSS and Access to the General Education Advisory Committee meetings.  In addition, further technical assistance and resources are provided through the DDOE website, Schoology platform, professional learning opportunities, DE-PBS website, and the ACCESS website.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System</w:t>
      </w:r>
      <w:r w:rsidRPr="00781112">
        <w:rPr>
          <w:rFonts w:cs="Arial"/>
          <w:color w:val="000000" w:themeColor="text1"/>
          <w:szCs w:val="16"/>
        </w:rPr>
        <w:br/>
        <w:t>The DDOE has developed a comprehensive professional development system that moves beyond short-term, episodic training to a community of practice that is sustainable and builds LEA capacity to improve results for students with disabilities. The system focuses on implementation of a Multi-tiered System of Support for both academic and behavioral/social/emotional supports, utilizing Delaware State Standards as a foundation in Tier I for academic and DE-PBS School-wide for behavior. The DDOE engages in an analysis of state-level, as well as LEA level data and in meaningful discussions with LEA leadership to identify LEAs in need of professional development and technical assistance. Once identified, the LEA and the DDOE enter into a Memorandum of Understanding, which outlines the roles and responsibilities of both the LEA and the Department. Technical assistance is provided through a variety of formats including group training, on-site/online coaching, and consultation.</w:t>
      </w:r>
      <w:r w:rsidRPr="00781112">
        <w:rPr>
          <w:rFonts w:cs="Arial"/>
          <w:color w:val="000000" w:themeColor="text1"/>
          <w:szCs w:val="16"/>
        </w:rPr>
        <w:br/>
      </w:r>
      <w:r w:rsidRPr="00781112">
        <w:rPr>
          <w:rFonts w:cs="Arial"/>
          <w:color w:val="000000" w:themeColor="text1"/>
          <w:szCs w:val="16"/>
        </w:rPr>
        <w:br/>
        <w:t>Following are examples of the professional development and coaching provided:</w:t>
      </w:r>
      <w:r w:rsidRPr="00781112">
        <w:rPr>
          <w:rFonts w:cs="Arial"/>
          <w:color w:val="000000" w:themeColor="text1"/>
          <w:szCs w:val="16"/>
        </w:rPr>
        <w:br/>
      </w:r>
      <w:r w:rsidRPr="00781112">
        <w:rPr>
          <w:rFonts w:cs="Arial"/>
          <w:color w:val="000000" w:themeColor="text1"/>
          <w:szCs w:val="16"/>
        </w:rPr>
        <w:br/>
        <w:t>Systematic Processes for Enhancing and Assessing Communication Supports (SPEACS): The DDOE has contracted with the University of Delaware, Center for Disabilities Studies’ ACCESS Project to provide training and technical assistance in the area of communication for students with significant disabilities. Built on the premise that all students can communicate, the SPEACS initiative provides training and coaching to school teams who work with targeted students with complex communication needs to increase communication skills with the ultimate goal of symbolic communication. Literacy and writing skills are also addressed in training.</w:t>
      </w:r>
      <w:r w:rsidRPr="00781112">
        <w:rPr>
          <w:rFonts w:cs="Arial"/>
          <w:color w:val="000000" w:themeColor="text1"/>
          <w:szCs w:val="16"/>
        </w:rPr>
        <w:br/>
      </w:r>
      <w:r w:rsidRPr="00781112">
        <w:rPr>
          <w:rFonts w:cs="Arial"/>
          <w:color w:val="000000" w:themeColor="text1"/>
          <w:szCs w:val="16"/>
        </w:rPr>
        <w:br/>
        <w:t xml:space="preserve">IEP Development for Behavior &amp; Social/Emotional Skills: The DDOE has contracted with The University of Delaware, Center for Disabilities Studies’ DE-PBS Project to provide training and coaching focused on IEP development related to function-based behavioral goals and social/emotional supports. This includes group trainings, individual coaching, online collaboration, and a variety of methods necessary, in order to successfully support state </w:t>
      </w:r>
      <w:r w:rsidRPr="00781112">
        <w:rPr>
          <w:rFonts w:cs="Arial"/>
          <w:color w:val="000000" w:themeColor="text1"/>
          <w:szCs w:val="16"/>
        </w:rPr>
        <w:lastRenderedPageBreak/>
        <w:t>education professionals in development and implementation IEPs addressing behavioral/social/emotional needs.</w:t>
      </w:r>
      <w:r w:rsidRPr="00781112">
        <w:rPr>
          <w:rFonts w:cs="Arial"/>
          <w:color w:val="000000" w:themeColor="text1"/>
          <w:szCs w:val="16"/>
        </w:rPr>
        <w:br/>
      </w:r>
      <w:r w:rsidRPr="00781112">
        <w:rPr>
          <w:rFonts w:cs="Arial"/>
          <w:color w:val="000000" w:themeColor="text1"/>
          <w:szCs w:val="16"/>
        </w:rPr>
        <w:br/>
        <w:t xml:space="preserve">Tiered Behavior Supports: The DDOE, through the DE-PBS Project, focuses on tiered behavior supports through implementation of systems that provide positive and preventative Tier 1 Schoolwide strategies, Tier 2 evidence-based group interventions, as well as Tier 3 individual Functional Behavior Assessment and the Prevent-Teach-Reinforce (PTR) model of behavior support. Training and coaching are provided to ensure teachers are able to implement behavior plans with fidelity. Additionally, efforts and funding from the ARRA and SAMHSA’s AWARE grant are braided to provide leveled supports such as resources, coaching and professional learning to individual educators, school and district level teams, focusing on social, emotional and behavioral wellness. This includes direct therapeutic behavioral health group and individual interventions to youth and their families. </w:t>
      </w:r>
      <w:r w:rsidRPr="00781112">
        <w:rPr>
          <w:rFonts w:cs="Arial"/>
          <w:color w:val="000000" w:themeColor="text1"/>
          <w:szCs w:val="16"/>
        </w:rPr>
        <w:br/>
      </w:r>
      <w:r w:rsidRPr="00781112">
        <w:rPr>
          <w:rFonts w:cs="Arial"/>
          <w:color w:val="000000" w:themeColor="text1"/>
          <w:szCs w:val="16"/>
        </w:rPr>
        <w:br/>
        <w:t xml:space="preserve">Universal Design for Learning: Open to all LEA staff with a focus on universal design, differentiated instructional and engagement strategies to support the rigor of the Delaware State Standards. Universal Design for Learning (UDL) is a framework for teaching, learning and developing curricular materials that consider the diverse learning needs of all students and provides access to the general education curriculum for students with disabilities. Professional learning is provided through professional learning communities and coaching sessions with a focus on instructional planning, includes coaching sessions, modeling of instructional strategies, and facilitation of teacher self-reflection. </w:t>
      </w:r>
      <w:r w:rsidRPr="00781112">
        <w:rPr>
          <w:rFonts w:cs="Arial"/>
          <w:color w:val="000000" w:themeColor="text1"/>
          <w:szCs w:val="16"/>
        </w:rPr>
        <w:br/>
      </w:r>
      <w:r w:rsidRPr="00781112">
        <w:rPr>
          <w:rFonts w:cs="Arial"/>
          <w:color w:val="000000" w:themeColor="text1"/>
          <w:szCs w:val="16"/>
        </w:rPr>
        <w:br/>
        <w:t>Accessibility Guidelines: Open to all LEA staff with a focus on increasing access to all assessments in the Delaware System of Student Assessments.</w:t>
      </w:r>
      <w:r w:rsidRPr="00781112">
        <w:rPr>
          <w:rFonts w:cs="Arial"/>
          <w:color w:val="000000" w:themeColor="text1"/>
          <w:szCs w:val="16"/>
        </w:rPr>
        <w:br/>
      </w:r>
      <w:r w:rsidRPr="00781112">
        <w:rPr>
          <w:rFonts w:cs="Arial"/>
          <w:color w:val="000000" w:themeColor="text1"/>
          <w:szCs w:val="16"/>
        </w:rPr>
        <w:br/>
        <w:t xml:space="preserve">DDOE’s Delaware Early Literacy Initiative provides a system of professional learning through a Multi-Tiered System of Academic Supports (MTSS) for early literacy. Through this initiative, schools engage in high-quality, job embedded training and coaching in effective literacy practices and a framework to improve literacy outcomes for all students, including students with disabilities and English learners (ELs), preschool through third grade. Delaware Early Literacy Initiative’s multi-pronged approach to professional learning is focused on promoting teacher and leader effectiveness related to reading and literacy instruction to meet the needs of all learners within an MTSS framework, responsive to the needs of district and school staff, who are active partners in shaping their professional learning plans, seamlessly aligned with Delaware’s ESSA Plan, Delaware State Literacy Plan and district initiatives/priorities, as well as with Guskey’s Levels of Professional Development Evaluation and Learning Forward Professional Learning Standards, provided by a team of experts in implementation of research-based literacy practices including former administrators, veteran teachers, English learner (EL) specialists and special educators. </w:t>
      </w:r>
      <w:r w:rsidRPr="00781112">
        <w:rPr>
          <w:rFonts w:cs="Arial"/>
          <w:color w:val="000000" w:themeColor="text1"/>
          <w:szCs w:val="16"/>
        </w:rPr>
        <w:br/>
      </w:r>
      <w:r w:rsidRPr="00781112">
        <w:rPr>
          <w:rFonts w:cs="Arial"/>
          <w:color w:val="000000" w:themeColor="text1"/>
          <w:szCs w:val="16"/>
        </w:rPr>
        <w:br/>
        <w:t>DDOE’s Delaware Multi-Tiered Systems of Support (DE MTSS) initiative provides professional development and coaching designed to build the capacity of the state education agency (SEA), local education agencies (LEAs), and school personnel. The purpose of this partnership is to implement and sustain MTSS practices throughout Delaware to increase outcomes for all students. The DE MTSS initiative provides district and school leadership with high-quality training and coaching in effective practices to align academic and behavior supports under one MTSS framework.</w:t>
      </w:r>
      <w:r w:rsidRPr="00781112">
        <w:rPr>
          <w:rFonts w:cs="Arial"/>
          <w:color w:val="000000" w:themeColor="text1"/>
          <w:szCs w:val="16"/>
        </w:rPr>
        <w:br/>
      </w:r>
      <w:r w:rsidRPr="00781112">
        <w:rPr>
          <w:rFonts w:cs="Arial"/>
          <w:color w:val="000000" w:themeColor="text1"/>
          <w:szCs w:val="16"/>
        </w:rPr>
        <w:br/>
        <w:t>DDOE’s approach to professional learning is focused on strengthening multi-tiered systems of support at the district/systems and school levels, responsive to the needs of district and school staff, seamlessly aligned with Delaware’s ESSA Plan and state and district initiatives/priorities. DDOE staff engages in ongoing data analysis and evaluation of all professional development, coaching and technical assistance to ensure fidelity of implementation of evidenced-based strategies and attainment of measurable outcomes and to drive future technical assistance. The DDOE evaluates professional development and technical assistance using the Guskey’s Five Critical Levels of Professional Development: Participants’ Reactions, Participants’ Learning, Organization Support and Change, Use of New Knowledge and Skills, and Student Learning Outcomes. In addition, other measures are utilized such as coaching rubrics and coaching fidelity checklists based on Participatory Adult Learning Strategy (PALS).</w:t>
      </w:r>
      <w:r w:rsidRPr="00781112">
        <w:rPr>
          <w:rFonts w:cs="Arial"/>
          <w:color w:val="000000" w:themeColor="text1"/>
          <w:szCs w:val="16"/>
        </w:rPr>
        <w:br/>
      </w:r>
      <w:r w:rsidRPr="00781112">
        <w:rPr>
          <w:rFonts w:cs="Arial"/>
          <w:color w:val="000000" w:themeColor="text1"/>
          <w:szCs w:val="16"/>
        </w:rPr>
        <w:br/>
        <w:t>Equity in IDEA at the Delaware Department of Education is addressed through diverse stakeholder engagement and professional development. DDOE provides professional learning across the state by bringing in national experts on topics such as discipline, identification, placement and instruction. For example, in the fall of 2021, DDOE established the statewide Equity Summit which brought educators across the state together to focus on issues surrounding equity in education. DDOE is continuing this work through the DDOE Equity Council and developing professional learning relating to educational benefits for students with disabilities. Ongoing TA with LEAs continues through meetings with Special Education Leadership, Curriculum Directors and other staff members throughout the year.</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w:t>
      </w:r>
      <w:r w:rsidRPr="00781112">
        <w:rPr>
          <w:rFonts w:cs="Arial"/>
          <w:color w:val="000000" w:themeColor="text1"/>
          <w:szCs w:val="16"/>
        </w:rPr>
        <w:lastRenderedPageBreak/>
        <w:t>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191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As members of ECR prepared to engage parents in analyzing Delaware data, setting targets for the new APR and identifying improvement strategies and activities, each staff member utilized the Delaware Stakeholder Engagement Analysis Tool to insure all demographics were addressed when inviting parents (e.g.:  race/ethnicity/ geographic locations/disability categories/advocacy groups/advisory groups/parents/families/etc.).  59 individual indicator stakeholder meetings took place that included sharing data, rich discussions regarding data analysis, target setting and improvement strategies. </w:t>
      </w:r>
      <w:r w:rsidRPr="00781112">
        <w:rPr>
          <w:color w:val="000000" w:themeColor="text1"/>
          <w:szCs w:val="16"/>
        </w:rPr>
        <w:br/>
      </w:r>
      <w:r w:rsidRPr="00781112">
        <w:rPr>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w:t>
      </w:r>
      <w:r w:rsidRPr="00781112">
        <w:rPr>
          <w:color w:val="000000" w:themeColor="text1"/>
          <w:szCs w:val="16"/>
        </w:rPr>
        <w:br/>
      </w:r>
      <w:r w:rsidRPr="00781112">
        <w:rPr>
          <w:color w:val="000000" w:themeColor="text1"/>
          <w:szCs w:val="16"/>
        </w:rPr>
        <w:br/>
        <w:t xml:space="preserve">In addition to meeting with parent members on GACEC throughout the year, ECR provided additional opportunities for GACEC to provide input/feedback on target setting and improvement activities.  This included a general meeting for discussion on indicator data analysis, target setting, and improvement activities, as well as, an additional meeting to ask questions/provide input designed specifically for them.  GACEC also provided DDOE with written input at the end of December.  </w:t>
      </w:r>
      <w:r w:rsidRPr="00781112">
        <w:rPr>
          <w:color w:val="000000" w:themeColor="text1"/>
          <w:szCs w:val="16"/>
        </w:rPr>
        <w:br/>
        <w:t xml:space="preserve"> </w:t>
      </w:r>
      <w:r w:rsidRPr="00781112">
        <w:rPr>
          <w:color w:val="000000" w:themeColor="text1"/>
          <w:szCs w:val="16"/>
        </w:rPr>
        <w:br/>
        <w:t xml:space="preserve">ECR staff, in cooperation with Parent Information Center, developed one-page, parent friendly fact sheets for each 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 page fact sheets and surveys were translated from English into Spanish and Haitian Creole to reach a wide range of families.  To centralize all this information and to gain even further public input, ECR created an IDEA APR webpage which contains the one page fact sheets for each indicator, a live link for individual surveys to gain additional input/feedback, the power point presentation used during stakeholder presentations and a copy of the previous 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r w:rsidRPr="00781112">
        <w:rPr>
          <w:color w:val="000000" w:themeColor="text1"/>
          <w:szCs w:val="16"/>
        </w:rPr>
        <w:br/>
      </w:r>
      <w:r w:rsidRPr="00781112">
        <w:rPr>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color w:val="000000" w:themeColor="text1"/>
          <w:szCs w:val="16"/>
        </w:rPr>
        <w:br/>
      </w:r>
      <w:r w:rsidRPr="00781112">
        <w:rPr>
          <w:color w:val="000000" w:themeColor="text1"/>
          <w:szCs w:val="16"/>
        </w:rPr>
        <w:br/>
        <w:t xml:space="preserve">Out of the total number of stakeholders, the number of parents who were reached by DDOE/PIC through Informing on social media and websites: 7220 </w:t>
      </w:r>
      <w:r w:rsidRPr="00781112">
        <w:rPr>
          <w:color w:val="000000" w:themeColor="text1"/>
          <w:szCs w:val="16"/>
        </w:rPr>
        <w:br/>
      </w:r>
      <w:r w:rsidRPr="00781112">
        <w:rPr>
          <w:color w:val="000000" w:themeColor="text1"/>
          <w:szCs w:val="16"/>
        </w:rPr>
        <w:br/>
        <w:t>Out of the total number of stakeholders, the number of parents who were engaged by DDOE/PIC by Informing on social media and websites: 335</w:t>
      </w:r>
      <w:r w:rsidRPr="00781112">
        <w:rPr>
          <w:color w:val="000000" w:themeColor="text1"/>
          <w:szCs w:val="16"/>
        </w:rPr>
        <w:br/>
      </w:r>
      <w:r w:rsidRPr="00781112">
        <w:rPr>
          <w:color w:val="000000" w:themeColor="text1"/>
          <w:szCs w:val="16"/>
        </w:rPr>
        <w:br/>
        <w:t>Out of the total number of stakeholders, the number of parents who were engaged with DDOE/PIC by Networking , Collaborating and Transforming through completing surveys and participating in meetings: 191</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lastRenderedPageBreak/>
        <w:t xml:space="preserve">ECR staff, in cooperation with Parent Information Center, developed one-page, parent friendly fact sheets for each 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APR webpage which contains the one-page fact sheets for each indicator, a live link for individual surveys to gain additional input/feedback, the power point presentation used during stakeholder presentations and a copy of the previous 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To gain even further public input and to centralize all this information, ECR created an IDEA APR webpage which contains the one-page fact sheets for each indicator, a live link for individual surveys to gain additional input/feedback, the power point presentation used during stakeholder presentations and a copy of the previous APR, for reference.  The webpage was open for public input from December 10, 2021 through January 28, 2022.  DDOE communicated the request for public input through an announcement on the DDOE website and social media including multiple informational posts on Facebook and Twitter.  Both the one-page fact sheets and surveys were translated from English into Spanish and Haitian Creole to reach a wide range of families.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DDOE has created a report entitled:  Delaware’s State Performance Plan/Annual Performance Report Stakeholder Input/Feedback to report the results of stakeholder/parent engagement in target setting, data analysis, input/feedback, suggested improvement strategies and mechanisms for evaluating progress for all public to view.  This report will be posted on the DDOE website following the February 1, 2022 submission of the SPP/APR.  </w:t>
      </w:r>
      <w:r w:rsidRPr="00781112">
        <w:rPr>
          <w:color w:val="000000" w:themeColor="text1"/>
          <w:szCs w:val="16"/>
        </w:rPr>
        <w:br/>
      </w:r>
      <w:r w:rsidRPr="00781112">
        <w:rPr>
          <w:color w:val="000000" w:themeColor="text1"/>
          <w:szCs w:val="16"/>
        </w:rPr>
        <w:br/>
        <w:t xml:space="preserve">Summary of stakeholder input/feedback regarding target setting and improvement activities can be found at: https://www.doe.k12.de.us/Page/4541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DDOE posted their FFY 2019 APR Report and FFY 2019 LEA Annual Determinations on the DDOE ECR webpage at https://www.doe.k12.de.us/Page/3829  for all the public to review.  In addition, Delaware’s Parent Information Center posted the FFY 2019 APR Report for all families to view. </w:t>
      </w:r>
      <w:r w:rsidRPr="00781112">
        <w:rPr>
          <w:rFonts w:cs="Arial"/>
          <w:color w:val="000000" w:themeColor="text1"/>
          <w:szCs w:val="16"/>
        </w:rPr>
        <w:br/>
      </w:r>
      <w:r w:rsidRPr="00781112">
        <w:rPr>
          <w:rFonts w:cs="Arial"/>
          <w:color w:val="000000" w:themeColor="text1"/>
          <w:szCs w:val="16"/>
        </w:rPr>
        <w:br/>
        <w:t>As soon as the FFY 2020 IDEA Part B State Performance Plan/Annual Performance Report is posted by OSEP, it will be posted on the Delaware Department of Education website. As soon as the FFY2020 LEA Annual Determinations are issued and not later than 120 days after submitting the FFY 2020 Annual Performance Report, the LEA reports will be posted on the Department website.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Delaware’s Response to Determination and Use of TA from OSEP </w:t>
      </w:r>
      <w:r w:rsidRPr="00781112">
        <w:rPr>
          <w:rFonts w:cs="Arial"/>
          <w:color w:val="000000" w:themeColor="text1"/>
          <w:szCs w:val="16"/>
        </w:rPr>
        <w:br/>
        <w:t xml:space="preserve">In order to accomplish a multi-tiered system of accountability to improve results for children and ensure compliance with IDEA, OSEP identified Delaware as Needs Assistance and has provided Delaware with TA supports/resources through National Center for Systemic Improvement (NCSI), the IDEA Data Center (IDC), the Center for IDEA Fiscal Reporting (CIFR), the National Secondary Transition Technical Assistance Center (NSTTAC), the National Post School Outcomes Center (NPSO), Early Childhood TA Center and Early Childhood Data Center (DaSy), Center for Appropriate Dispute Resolution in Special Education’s (CADRE) Written State Complaint Intensive Technical Assistance Workgroup.   Delaware Department of Education, Exceptional Children Resources Workgroup, greatly appreciates all the technical assistance and support that OSEP has provided, especially regarding Continuous Improvement Process, Suspension and Expulsion, Secondary Transition, Significant Disproportionality, Comprehensive Early Intervening Services, Timely and Accurate Data, Early Childhood, Fiscal Monitoring and Dispute Resolution.  </w:t>
      </w:r>
      <w:r w:rsidRPr="00781112">
        <w:rPr>
          <w:rFonts w:cs="Arial"/>
          <w:color w:val="000000" w:themeColor="text1"/>
          <w:szCs w:val="16"/>
        </w:rPr>
        <w:br/>
      </w:r>
      <w:r w:rsidRPr="00781112">
        <w:rPr>
          <w:rFonts w:cs="Arial"/>
          <w:color w:val="000000" w:themeColor="text1"/>
          <w:szCs w:val="16"/>
        </w:rPr>
        <w:br/>
        <w:t xml:space="preserve">We have engaged in numerous TA opportunities, sought specific resources/support to address our needs and will continue to accept the support provided to improve results and compliance for Delaware’s children with disabilities.  The following are TA activities of which DDOE has taken the opportunities:  </w:t>
      </w:r>
      <w:r w:rsidRPr="00781112">
        <w:rPr>
          <w:rFonts w:cs="Arial"/>
          <w:color w:val="000000" w:themeColor="text1"/>
          <w:szCs w:val="16"/>
        </w:rPr>
        <w:br/>
      </w:r>
      <w:r w:rsidRPr="00781112">
        <w:rPr>
          <w:rFonts w:cs="Arial"/>
          <w:color w:val="000000" w:themeColor="text1"/>
          <w:szCs w:val="16"/>
        </w:rPr>
        <w:br/>
        <w:t xml:space="preserve">IDEA Data Center: To address timely and accurate state reported data, the DDOE enlisted the support of the IDEA Data Center (IDC) to provide a series of technical assistance days for a combined group of Exceptional Children Resources, the Data Management and Governance, Technology and Assessment Workgroups.  This technical assistance has included developing and strengthening policies and procedures using the protocols from the Part B IDEA 618 Data Processes Toolkit for each indicator.  IDC provides continuous support as we refine each protocol.  In addition, IDC has provided </w:t>
      </w:r>
      <w:r w:rsidRPr="00781112">
        <w:rPr>
          <w:rFonts w:cs="Arial"/>
          <w:color w:val="000000" w:themeColor="text1"/>
          <w:szCs w:val="16"/>
        </w:rPr>
        <w:lastRenderedPageBreak/>
        <w:t>technical assistance regarding the enhancement of a Continuous Improvement Process for LEAs.  DDOE has sought the support of IDC to conduct a workshop for three LEAs regarding the enhancement of a Continuous Improvement Process for LEAs through an accurate data collection process utilizing LEA data protocols.  ECR staff engage in the IDC Data Quality Peer Group to support our data collections and data reporting and the Discipline Partnership with IDC, DE-PBS and the PBIS Cadre.  Staff from IDC are extremely responsive to all our technical assistance needs.</w:t>
      </w:r>
      <w:r w:rsidRPr="00781112">
        <w:rPr>
          <w:rFonts w:cs="Arial"/>
          <w:color w:val="000000" w:themeColor="text1"/>
          <w:szCs w:val="16"/>
        </w:rPr>
        <w:br/>
      </w:r>
      <w:r w:rsidRPr="00781112">
        <w:rPr>
          <w:rFonts w:cs="Arial"/>
          <w:color w:val="000000" w:themeColor="text1"/>
          <w:szCs w:val="16"/>
        </w:rPr>
        <w:br/>
        <w:t xml:space="preserve">Center for IDEA Fiscal Reporting (CIFR): In prior years, the DDOE sought support from the Center for IDEA Fiscal Reporting (CIFR) to develop a new workbook for MOE, Excess Costs calculations under IDEA and improve the consolidated grant process including allocations.  DDOE continues to take part in the CIFR Community of Practice to address their fiscal responsibilities.  Again, staff from CIFR are extremely responsive to all our technical assistance needs. </w:t>
      </w:r>
      <w:r w:rsidRPr="00781112">
        <w:rPr>
          <w:rFonts w:cs="Arial"/>
          <w:color w:val="000000" w:themeColor="text1"/>
          <w:szCs w:val="16"/>
        </w:rPr>
        <w:br/>
      </w:r>
      <w:r w:rsidRPr="00781112">
        <w:rPr>
          <w:rFonts w:cs="Arial"/>
          <w:color w:val="000000" w:themeColor="text1"/>
          <w:szCs w:val="16"/>
        </w:rPr>
        <w:br/>
        <w:t xml:space="preserve">The National Center for Systemic Improvement (NCSI): In prior years, NCSI has been an integral part in the development of Delaware's IDEA State Systemic Improvement Plan and the establishment of the Delaware Early Literacy Initiative to improve results for students with disabilities.  Currently, NCSI is supporting DDOE’s work on the Continuous Improvement Process.  DDOE has utilized the support to revamp the Continuous Improvement Process for LEAs to address the results of their Annual Determinations.  Staff are also engaged in SEAL, a group supporting State Directors of Special Ed, and Significant Disproportionality Peer to Peer Group and Results Driven Accountability Learning Collaborative.  Staff from NCSI provide numerous supports to Delaware throughout the year regarding all indicators, including the Results Based Accountability TA. </w:t>
      </w:r>
      <w:r w:rsidRPr="00781112">
        <w:rPr>
          <w:rFonts w:cs="Arial"/>
          <w:color w:val="000000" w:themeColor="text1"/>
          <w:szCs w:val="16"/>
        </w:rPr>
        <w:br/>
      </w:r>
      <w:r w:rsidRPr="00781112">
        <w:rPr>
          <w:rFonts w:cs="Arial"/>
          <w:color w:val="000000" w:themeColor="text1"/>
          <w:szCs w:val="16"/>
        </w:rPr>
        <w:br/>
        <w:t xml:space="preserve">The National TA Center on Intensive Intervention (NCII): NCII has supported the DDOE in developing the Multi-Tiered System of Support framework, which is the foundation of our State Personnel Development Grant (SPDG).  DDOE is implementing a professional learning initiative, TA, resources and/or coaching to all LEAs in Delaware. </w:t>
      </w:r>
      <w:r w:rsidRPr="00781112">
        <w:rPr>
          <w:rFonts w:cs="Arial"/>
          <w:color w:val="000000" w:themeColor="text1"/>
          <w:szCs w:val="16"/>
        </w:rPr>
        <w:br/>
      </w:r>
      <w:r w:rsidRPr="00781112">
        <w:rPr>
          <w:rFonts w:cs="Arial"/>
          <w:color w:val="000000" w:themeColor="text1"/>
          <w:szCs w:val="16"/>
        </w:rPr>
        <w:br/>
        <w:t xml:space="preserve">Delaware receives technical assistance from the National Alliance for Partnerships in Equity (NAPE) through the DDOE’s PIPEline for Career Success for Students with Disabilities (PIPEline).  NAPE is collaborating with DDOE, other state agencies and national organizations that serve SWD to modify a proven change process to increase positive educational and employment outcomes for SWD to address these disparities.  NAPE’s Program Improvement Process for Equity™ (PIPE) has been successfully implemented with school districts across the country to close gender gaps in CTE career pathways leading to nontraditional career fields.  PIPE engages teams of educators, community members, and other stakeholders to: use data to conduct a performance and participation gap analysis; learn about the research literature on root causes for these gaps; conduct action research to identify the root causes in play at their institution; select and implement an aligned intervention that directly addresses the identified root causes; and evaluate their success. This iterative process is being applied to the context of SWD to increase the enrollment, matriculation, graduation, and transition to postsecondary education and competitive employment of SWD through CTE career pathways.  A team of subject matter experts and instructional designers are modifying the PIPEline curriculum and tools and creating new tools in the context of SWDs.  DDOE is currently implementing this process in Delaware schools to implement the PIPEline to Career Success for Students with Disabilities (PIPEline) project, to determine its efficacy, and to inform modifications or refinements.  </w:t>
      </w:r>
      <w:r w:rsidRPr="00781112">
        <w:rPr>
          <w:rFonts w:cs="Arial"/>
          <w:color w:val="000000" w:themeColor="text1"/>
          <w:szCs w:val="16"/>
        </w:rPr>
        <w:br/>
      </w:r>
      <w:r w:rsidRPr="00781112">
        <w:rPr>
          <w:rFonts w:cs="Arial"/>
          <w:color w:val="000000" w:themeColor="text1"/>
          <w:szCs w:val="16"/>
        </w:rPr>
        <w:br/>
        <w:t xml:space="preserve">NSTTAC and NTACT have provided support to the DDOE with TA around Indicators 1, 2, 13 and 14 through emails, phone calls, face to face and virtual meetings, informational resources, and guidance for moving from compliance to best practice.  Delaware also participated in the NTACT State Capacity Building Institute and Delaware continues to be one of the states who receives intensive technical assistance with secondary transition.  DDOE then provides support and TA to LEAs to improve results and compliance in this area. Delaware Transition Team also engages with the National Technical Assistance Center on Transition:  Collaborative (NTACT:C):  Alternative Diploma Workgroup, Service Delivery Solutions Peer Network, SPED/CTE/VR Peer Network, Complex Support Needs Community of Practice, Center for Advancing Policy on Employment for Youth (CAPE-Youth), Transition Indicator group and National Center for Systemic Improvement (NCIS) for support. </w:t>
      </w:r>
      <w:r w:rsidRPr="00781112">
        <w:rPr>
          <w:rFonts w:cs="Arial"/>
          <w:color w:val="000000" w:themeColor="text1"/>
          <w:szCs w:val="16"/>
        </w:rPr>
        <w:br/>
      </w:r>
      <w:r w:rsidRPr="00781112">
        <w:rPr>
          <w:rFonts w:cs="Arial"/>
          <w:color w:val="000000" w:themeColor="text1"/>
          <w:szCs w:val="16"/>
        </w:rPr>
        <w:br/>
        <w:t>Delaware is a member of the Center for Appropriate Dispute Resolution in Special Education’s (CADRE) Written State Complaint Intensive Technical Assistance Workgroup. Delaware was one of nine states selected to participate in this intensive technical assistance. Delaware has completed a self-assessment, engaged in a two-day workshop completed a logic model, provides quarterly progress reports, engages in quarterly workgroup calls, networking, and resource sharing, and accessing individual state technical assistance as needed.</w:t>
      </w:r>
      <w:r w:rsidRPr="00781112">
        <w:rPr>
          <w:rFonts w:cs="Arial"/>
          <w:color w:val="000000" w:themeColor="text1"/>
          <w:szCs w:val="16"/>
        </w:rPr>
        <w:br/>
      </w:r>
      <w:r w:rsidRPr="00781112">
        <w:rPr>
          <w:rFonts w:cs="Arial"/>
          <w:color w:val="000000" w:themeColor="text1"/>
          <w:szCs w:val="16"/>
        </w:rPr>
        <w:br/>
        <w:t xml:space="preserve">Delaware takes part in all OSEP monthly support meetings with our liaison, monthly TA calls and monthly DMS calls.  Delaware wants to thank OSEP for the opportunities of all valuable and productive technical assistance. This support is certainly assisting Delaware in improving outcomes for students with disabilities.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D881750" w:rsidR="005E59DB" w:rsidRPr="00781112" w:rsidRDefault="005E59DB" w:rsidP="00B65C2C">
      <w:pPr>
        <w:rPr>
          <w:b/>
          <w:color w:val="000000" w:themeColor="text1"/>
        </w:rPr>
      </w:pPr>
      <w:r w:rsidRPr="00781112">
        <w:rPr>
          <w:b/>
          <w:color w:val="000000" w:themeColor="text1"/>
        </w:rPr>
        <w:t>Historical Data</w:t>
      </w:r>
      <w:r w:rsidR="00F511C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80.62%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71.40%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74.10%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77.80%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67.30%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68.50%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65.61%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67.15%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67.94%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69.07%</w:t>
            </w:r>
          </w:p>
        </w:tc>
        <w:tc>
          <w:tcPr>
            <w:tcW w:w="834" w:type="pct"/>
            <w:tcBorders>
              <w:bottom w:val="single" w:sz="4" w:space="0" w:color="auto"/>
            </w:tcBorders>
            <w:shd w:val="clear" w:color="auto" w:fill="auto"/>
            <w:vAlign w:val="center"/>
          </w:tcPr>
          <w:p w14:paraId="3C2AFA14" w14:textId="72AF9CE0" w:rsidR="007F24E2" w:rsidRPr="00781112" w:rsidRDefault="002B7490" w:rsidP="00E0321D">
            <w:pPr>
              <w:jc w:val="center"/>
              <w:rPr>
                <w:rFonts w:cs="Arial"/>
                <w:color w:val="000000" w:themeColor="text1"/>
                <w:szCs w:val="16"/>
              </w:rPr>
            </w:pPr>
            <w:r w:rsidRPr="00781112">
              <w:rPr>
                <w:rFonts w:cs="Arial"/>
                <w:color w:val="000000" w:themeColor="text1"/>
                <w:szCs w:val="16"/>
              </w:rPr>
              <w:t>73%</w:t>
            </w:r>
            <w:r w:rsidR="002C5FB6">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80.62%</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81.12%</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81.62%</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82.12%</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82.62%</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83.12%</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w:t>
      </w:r>
      <w:r w:rsidRPr="00781112">
        <w:rPr>
          <w:rFonts w:cs="Arial"/>
          <w:color w:val="000000" w:themeColor="text1"/>
          <w:szCs w:val="16"/>
        </w:rPr>
        <w:lastRenderedPageBreak/>
        <w:t xml:space="preserve">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15 stakeholder meetings were held which include Statewide Transition Cadre, Lunch &amp; Learn sessions in collaboration with Parent Information Center of Delaware, Division for Visual Impairments Vocational Rehab Advisory Council, Developmental Disabilities Council, Employment First Commission,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1,148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121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122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1,148</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1,424</w:t>
            </w:r>
          </w:p>
        </w:tc>
        <w:tc>
          <w:tcPr>
            <w:tcW w:w="541" w:type="pct"/>
            <w:shd w:val="clear" w:color="auto" w:fill="auto"/>
          </w:tcPr>
          <w:p w14:paraId="02406DF0" w14:textId="79CE124C" w:rsidR="0098478C" w:rsidRPr="00781112" w:rsidRDefault="002C5FB6" w:rsidP="00A018D4">
            <w:pPr>
              <w:jc w:val="center"/>
              <w:rPr>
                <w:rFonts w:cs="Arial"/>
                <w:color w:val="000000" w:themeColor="text1"/>
                <w:szCs w:val="16"/>
              </w:rPr>
            </w:pPr>
            <w:r w:rsidRPr="00781112">
              <w:rPr>
                <w:rFonts w:cs="Arial"/>
                <w:color w:val="000000" w:themeColor="text1"/>
                <w:szCs w:val="16"/>
              </w:rPr>
              <w:t>73%</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 Delaware Graduation information can be found within:</w:t>
      </w:r>
      <w:r w:rsidRPr="00781112">
        <w:rPr>
          <w:rFonts w:cs="Arial"/>
          <w:color w:val="000000" w:themeColor="text1"/>
          <w:szCs w:val="16"/>
        </w:rPr>
        <w:br/>
      </w:r>
      <w:r w:rsidRPr="00781112">
        <w:rPr>
          <w:rFonts w:cs="Arial"/>
          <w:color w:val="000000" w:themeColor="text1"/>
          <w:szCs w:val="16"/>
        </w:rPr>
        <w:br/>
        <w:t>Delaware Regulations : Administrative Code : Title 14</w:t>
      </w:r>
      <w:r w:rsidRPr="00781112">
        <w:rPr>
          <w:rFonts w:cs="Arial"/>
          <w:color w:val="000000" w:themeColor="text1"/>
          <w:szCs w:val="16"/>
        </w:rPr>
        <w:br/>
        <w:t>500 Curriculum and Instruction</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505 High School Graduation Requirements and Diplomas</w:t>
      </w:r>
      <w:r w:rsidRPr="00781112">
        <w:rPr>
          <w:rFonts w:cs="Arial"/>
          <w:color w:val="000000" w:themeColor="text1"/>
          <w:szCs w:val="16"/>
        </w:rPr>
        <w:br/>
      </w:r>
      <w:r w:rsidRPr="00781112">
        <w:rPr>
          <w:rFonts w:cs="Arial"/>
          <w:color w:val="000000" w:themeColor="text1"/>
          <w:szCs w:val="16"/>
        </w:rPr>
        <w:br/>
        <w:t>505.5  Credit Requirements for State of Delaware Diploma - Beginning with the Graduation Class of 2019 (Freshman Class of 2015-2016)</w:t>
      </w:r>
      <w:r w:rsidRPr="00781112">
        <w:rPr>
          <w:rFonts w:cs="Arial"/>
          <w:color w:val="000000" w:themeColor="text1"/>
          <w:szCs w:val="16"/>
        </w:rPr>
        <w:br/>
      </w:r>
      <w:r w:rsidRPr="00781112">
        <w:rPr>
          <w:rFonts w:cs="Arial"/>
          <w:color w:val="000000" w:themeColor="text1"/>
          <w:szCs w:val="16"/>
        </w:rPr>
        <w:br/>
        <w:t>5.1 Beginning with the graduating class of 2019, a public school student shall be granted a State of Delaware Diploma when such student has successfully completed a minimum of twenty-four (24) credits to graduate including: four (4) credits in English Language Arts, four (4) credits in Mathematics, three (3) credits in Science, three (3) credits in Social Studies, two (2) credits in a World Language, one (1) credit in Physical Education, one-half (1/2) credit in Health Education, three (3) credits in a Career Pathway, and three and one-half (3 ½) credits in elective courses.</w:t>
      </w:r>
      <w:r w:rsidRPr="00781112">
        <w:rPr>
          <w:rFonts w:cs="Arial"/>
          <w:color w:val="000000" w:themeColor="text1"/>
          <w:szCs w:val="16"/>
        </w:rPr>
        <w:br/>
      </w:r>
      <w:r w:rsidRPr="00781112">
        <w:rPr>
          <w:rFonts w:cs="Arial"/>
          <w:color w:val="000000" w:themeColor="text1"/>
          <w:szCs w:val="16"/>
        </w:rPr>
        <w:br/>
        <w:t>5.1.1 The student shall earn credit upon completion of Mathematics course work that includes no less than the equivalent of the traditional requirements of Geometry, Algebra I and Algebra II courses. The student shall complete an Algebra II or Integrated Mathematics III course as one of the Mathematics credits.</w:t>
      </w:r>
      <w:r w:rsidRPr="00781112">
        <w:rPr>
          <w:rFonts w:cs="Arial"/>
          <w:color w:val="000000" w:themeColor="text1"/>
          <w:szCs w:val="16"/>
        </w:rPr>
        <w:br/>
      </w:r>
      <w:r w:rsidRPr="00781112">
        <w:rPr>
          <w:rFonts w:cs="Arial"/>
          <w:color w:val="000000" w:themeColor="text1"/>
          <w:szCs w:val="16"/>
        </w:rPr>
        <w:br/>
        <w:t>5.1.2 Scientific investigations related to the State Science Standards shall be included in all three (3) Science course requirements. The student shall complete a Biology course as one (1) of the Science credits.</w:t>
      </w:r>
      <w:r w:rsidRPr="00781112">
        <w:rPr>
          <w:rFonts w:cs="Arial"/>
          <w:color w:val="000000" w:themeColor="text1"/>
          <w:szCs w:val="16"/>
        </w:rPr>
        <w:br/>
      </w:r>
      <w:r w:rsidRPr="00781112">
        <w:rPr>
          <w:rFonts w:cs="Arial"/>
          <w:color w:val="000000" w:themeColor="text1"/>
          <w:szCs w:val="16"/>
        </w:rPr>
        <w:br/>
        <w:t>5.1.3 The student shall complete a U. S. History course as one (1) of the Social Studies credits.</w:t>
      </w:r>
      <w:r w:rsidRPr="00781112">
        <w:rPr>
          <w:rFonts w:cs="Arial"/>
          <w:color w:val="000000" w:themeColor="text1"/>
          <w:szCs w:val="16"/>
        </w:rPr>
        <w:br/>
      </w:r>
      <w:r w:rsidRPr="00781112">
        <w:rPr>
          <w:rFonts w:cs="Arial"/>
          <w:color w:val="000000" w:themeColor="text1"/>
          <w:szCs w:val="16"/>
        </w:rPr>
        <w:br/>
        <w:t>5.1.4 During the senior year the student shall maintain a credit load each semester that earns the student at least a majority of credits that could be taken that semester. A credit in Mathematics shall be earned during the senior year. Further provided, a student participating in a dual enrollment course or dual credit course, as defined in 14 DE Admin. Code 506 Policies for Dual Enrollment and Awarding Dual Credit, shall be considered to be meeting the majority of credits, as long as a credit in Mathematics is earned during the senior year.</w:t>
      </w:r>
      <w:r w:rsidRPr="00781112">
        <w:rPr>
          <w:rFonts w:cs="Arial"/>
          <w:color w:val="000000" w:themeColor="text1"/>
          <w:szCs w:val="16"/>
        </w:rPr>
        <w:br/>
      </w:r>
      <w:r w:rsidRPr="00781112">
        <w:rPr>
          <w:rFonts w:cs="Arial"/>
          <w:color w:val="000000" w:themeColor="text1"/>
          <w:szCs w:val="16"/>
        </w:rPr>
        <w:br/>
        <w:t>5.1.4.1 Senior year credits shall include regular High School course offerings, the options available in Section 8.0, or a combination of both.</w:t>
      </w:r>
      <w:r w:rsidRPr="00781112">
        <w:rPr>
          <w:rFonts w:cs="Arial"/>
          <w:color w:val="000000" w:themeColor="text1"/>
          <w:szCs w:val="16"/>
        </w:rPr>
        <w:br/>
      </w:r>
      <w:r w:rsidRPr="00781112">
        <w:rPr>
          <w:rFonts w:cs="Arial"/>
          <w:color w:val="000000" w:themeColor="text1"/>
          <w:szCs w:val="16"/>
        </w:rPr>
        <w:br/>
        <w:t>5.2 World Language:</w:t>
      </w:r>
      <w:r w:rsidRPr="00781112">
        <w:rPr>
          <w:rFonts w:cs="Arial"/>
          <w:color w:val="000000" w:themeColor="text1"/>
          <w:szCs w:val="16"/>
        </w:rPr>
        <w:br/>
      </w:r>
      <w:r w:rsidRPr="00781112">
        <w:rPr>
          <w:rFonts w:cs="Arial"/>
          <w:color w:val="000000" w:themeColor="text1"/>
          <w:szCs w:val="16"/>
        </w:rPr>
        <w:br/>
        <w:t>5.2.1 Students may fulfill the two (2) credit World Language requirement by either:</w:t>
      </w:r>
      <w:r w:rsidRPr="00781112">
        <w:rPr>
          <w:rFonts w:cs="Arial"/>
          <w:color w:val="000000" w:themeColor="text1"/>
          <w:szCs w:val="16"/>
        </w:rPr>
        <w:br/>
      </w:r>
      <w:r w:rsidRPr="00781112">
        <w:rPr>
          <w:rFonts w:cs="Arial"/>
          <w:color w:val="000000" w:themeColor="text1"/>
          <w:szCs w:val="16"/>
        </w:rPr>
        <w:br/>
        <w:t>5.2.1.1 Earning a minimum of two (2) World Language credits in the same language; or</w:t>
      </w:r>
      <w:r w:rsidRPr="00781112">
        <w:rPr>
          <w:rFonts w:cs="Arial"/>
          <w:color w:val="000000" w:themeColor="text1"/>
          <w:szCs w:val="16"/>
        </w:rPr>
        <w:br/>
      </w:r>
      <w:r w:rsidRPr="00781112">
        <w:rPr>
          <w:rFonts w:cs="Arial"/>
          <w:color w:val="000000" w:themeColor="text1"/>
          <w:szCs w:val="16"/>
        </w:rPr>
        <w:br/>
        <w:t>5.2.1.2 Demonstrating Novice-high or higher proficiency level on a nationally recognized assessment of language proficiency, except English, in the skill areas of oral or signed expressive and receptive communication, reading and writing, that uses the levels of proficiency as identified by the American Council for the Teaching of Foreign Language, or as approved for use by the Delaware Department of Education.</w:t>
      </w:r>
      <w:r w:rsidRPr="00781112">
        <w:rPr>
          <w:rFonts w:cs="Arial"/>
          <w:color w:val="000000" w:themeColor="text1"/>
          <w:szCs w:val="16"/>
        </w:rPr>
        <w:br/>
      </w:r>
      <w:r w:rsidRPr="00781112">
        <w:rPr>
          <w:rFonts w:cs="Arial"/>
          <w:color w:val="000000" w:themeColor="text1"/>
          <w:szCs w:val="16"/>
        </w:rPr>
        <w:br/>
        <w:t>5.2.2 Any student enrolling in a Delaware public High School from an out-of-state school or nonpublic Delaware High School between and including October 1st of the 11th grade year and September 30th of the 12th grade year with one (1) World Language credit from a previous school shall be required to earn the second credit in that language unless the language is not offered at the enrolling school. In such case, the student shall earn one (1) credit in an additional language for a total of two (2) credits or pursue available options in Section 8.0 to earn the second credit of the original language.</w:t>
      </w:r>
      <w:r w:rsidRPr="00781112">
        <w:rPr>
          <w:rFonts w:cs="Arial"/>
          <w:color w:val="000000" w:themeColor="text1"/>
          <w:szCs w:val="16"/>
        </w:rPr>
        <w:br/>
      </w:r>
      <w:r w:rsidRPr="00781112">
        <w:rPr>
          <w:rFonts w:cs="Arial"/>
          <w:color w:val="000000" w:themeColor="text1"/>
          <w:szCs w:val="16"/>
        </w:rPr>
        <w:br/>
        <w:t>5.2.3 Any student enrolling in a Delaware public High School from an out-of-state school or nonpublic Delaware High School between and including October 1st of the 11th grade year and September 30th of the 12th grade year with no World Language credits shall be required to earn at least one (1) World Language credit prior to graduation. Provided further, the minimum twenty-four (24) total credits outlined in this section shall still be met, or any other credit requirements pursuant to Section 8.0.</w:t>
      </w:r>
      <w:r w:rsidRPr="00781112">
        <w:rPr>
          <w:rFonts w:cs="Arial"/>
          <w:color w:val="000000" w:themeColor="text1"/>
          <w:szCs w:val="16"/>
        </w:rPr>
        <w:br/>
      </w:r>
      <w:r w:rsidRPr="00781112">
        <w:rPr>
          <w:rFonts w:cs="Arial"/>
          <w:color w:val="000000" w:themeColor="text1"/>
          <w:szCs w:val="16"/>
        </w:rPr>
        <w:br/>
        <w:t>5.2.4 Any student enrolling in a Delaware public High School from an out-of-state school or nonpublic Delaware High School on or after October 1st of the 12th grade year, the World Language requirement shall be waived. Provided further, the minimum twenty-four (24) total credits outlined in this section shall still be met, or any other credit requirements pursuant to Section 8.0.</w:t>
      </w:r>
      <w:r w:rsidRPr="00781112">
        <w:rPr>
          <w:rFonts w:cs="Arial"/>
          <w:color w:val="000000" w:themeColor="text1"/>
          <w:szCs w:val="16"/>
        </w:rPr>
        <w:br/>
      </w:r>
      <w:r w:rsidRPr="00781112">
        <w:rPr>
          <w:rFonts w:cs="Arial"/>
          <w:color w:val="000000" w:themeColor="text1"/>
          <w:szCs w:val="16"/>
        </w:rPr>
        <w:br/>
        <w:t>5.2.5 Any student transferring between Delaware public schools with one (1) World Language credit from a previous school shall be required to earn the second credit in that language unless the language is not offered at the enrolling school. In such case, the student shall pursue available options in Section 8.0 to earn the second credit of the original language or earn one (1) credit in an additional language for a total of two (2) credits.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OSEP revised the data source for this indicator leading to the need to establish a new baseline.</w:t>
      </w:r>
      <w:r w:rsidRPr="00781112">
        <w:rPr>
          <w:rFonts w:cs="Arial"/>
          <w:color w:val="000000" w:themeColor="text1"/>
          <w:szCs w:val="16"/>
        </w:rPr>
        <w:br/>
      </w:r>
      <w:r w:rsidRPr="00781112">
        <w:rPr>
          <w:rFonts w:cs="Arial"/>
          <w:color w:val="000000" w:themeColor="text1"/>
          <w:szCs w:val="16"/>
        </w:rPr>
        <w:br/>
        <w:t xml:space="preserve">Historical data reflected in this indicator is based on previous OSEP’s approved measurement which was documented in previous SPP/APR reports.  Data for the FFY ’20 SPP/APR is based off of the new OSEP approved measurement which is described in the measurement/instructions for this indicator.  </w:t>
      </w:r>
      <w:r w:rsidRPr="00781112">
        <w:rPr>
          <w:rFonts w:cs="Arial"/>
          <w:color w:val="000000" w:themeColor="text1"/>
          <w:szCs w:val="16"/>
        </w:rPr>
        <w:br/>
        <w:t>DDOE ensures that this data is complete, accurate, reliable, and valid for Indicator 1. DDOE mitigated the impact of COVID-19 by providing guidance and technical assistance for LEAs. This technical assistance includes professional learning and training in monthly statewide Transition Cadre meetings and special education director leadership meetings.  DDOE also provides technical assistance and support to individual LEAs through the Pipeline Initiative, Developing and Supporting Authentic Customized Work-Based Learning Experiences and Jobs for Students and Adults with Disabilities: A Bootcamp for Educators and Employment Professionals,  guidance and resource documents to support transition planning. COVID-19 did not have any impact on the data collection since the SEA and LEA utilize a state data system which is available electronically from any location.</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E2079E6" w:rsidR="00907A35" w:rsidRPr="00781112" w:rsidRDefault="00907A35" w:rsidP="004369B2">
      <w:pPr>
        <w:rPr>
          <w:b/>
          <w:color w:val="000000" w:themeColor="text1"/>
        </w:rPr>
      </w:pPr>
      <w:r w:rsidRPr="00781112">
        <w:rPr>
          <w:b/>
          <w:color w:val="000000" w:themeColor="text1"/>
        </w:rPr>
        <w:t>Historical Data</w:t>
      </w:r>
      <w:r w:rsidR="00F511C6">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8.57%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4.90%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4.30%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3.25%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2.91%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2.38%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2.60%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2.07%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8.57%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8.27%</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7.97%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7.67%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7.37%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7.07%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w:t>
      </w:r>
      <w:r w:rsidRPr="00781112">
        <w:rPr>
          <w:rFonts w:cs="Arial"/>
          <w:color w:val="000000" w:themeColor="text1"/>
          <w:szCs w:val="16"/>
        </w:rPr>
        <w:lastRenderedPageBreak/>
        <w:t xml:space="preserve">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15 stakeholder meetings were held which include Statewide Transition Cadre, Lunch &amp; Learn sessions in collaboration with Parent Information Center of Delaware, Division for Visual Impairments Vocational Rehab Advisory Council, Developmental Disabilities Council, Employment First Commission,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1,148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121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122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122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1,424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2.07%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8.57%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8.57%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Dropped out </w:t>
      </w:r>
      <w:r w:rsidRPr="00781112">
        <w:rPr>
          <w:rFonts w:cs="Arial"/>
          <w:color w:val="000000" w:themeColor="text1"/>
          <w:szCs w:val="16"/>
          <w:shd w:val="clear" w:color="auto" w:fill="FFFFFF"/>
        </w:rPr>
        <w:br/>
        <w:t xml:space="preserve">In Delaware, a dropout for any particular year is any student who was in the September enrollment report who did not graduate, did not die, or did not transfer to another school and was not included in the end of year enrollment report. Students who are identified as “whereabouts unknown” by a school district or charter school are assumed to be dropouts.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DDOE is electing to begin using Option 1 beginning this reporting year. With moving to Option 1 reporting a new baseline for FFY 20 needed to be established due to moving to the new methodology.</w:t>
      </w:r>
      <w:r w:rsidRPr="00781112">
        <w:rPr>
          <w:rFonts w:cs="Arial"/>
          <w:color w:val="000000" w:themeColor="text1"/>
          <w:szCs w:val="16"/>
          <w:shd w:val="clear" w:color="auto" w:fill="FFFFFF"/>
        </w:rPr>
        <w:br/>
        <w:t xml:space="preserve">DDOE is opting to use 618 exiting data for the year before the reporting year (e.g., for the FFY 2020 SPP/APR, use data from 2019-2020). Include in the denominator the following exiting categories: (a) graduated with a regular high school diploma; (b) graduated with a state-defined alternate diploma; (c) received a certificate; (d) reached maximum age; (e) dropped out; or (f) died. Do not include in the denominator the number of youths with IEPs who exited special education due to: (a) transferring to regular education; or (b) who moved but are known to be continuing in an educational program.  NOTE:  DDOE choosing to move ahead with OSEP’s calculation methodology using FS009.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Historical data reflected in this indicator is based on previous OSEP’s approved measurement which was documented in previous SPP/APR reports.  Data for the FFY ’20 SPP/APR is based off of the new OSEP approved measurement which is described in the measurement/instructions for this indicator.  </w:t>
      </w:r>
      <w:r w:rsidRPr="00781112">
        <w:rPr>
          <w:rFonts w:cs="Arial"/>
          <w:color w:val="000000" w:themeColor="text1"/>
          <w:szCs w:val="16"/>
          <w:shd w:val="clear" w:color="auto" w:fill="FFFFFF"/>
        </w:rPr>
        <w:br/>
        <w:t xml:space="preserve">DDOE ensures that this data is complete, accurate, reliable, and valid for Indicator 2. DDOE mitigated the impact of COVID-19 by providing guidance and technical assistance for LEAs. This included professional learning and training in monthly statewide Transition Cadre meetings and special education director leadership meetings.  DDOE also provides technical assistance and support to individual LEAs through the Pipeline Initiative, Developing and Supporting Authentic Customized Work-Based Learning Experiences and Jobs for Students and Adults with Disabilities: A Bootcamp for Educators and Employment Professionals and guidance and resource documents to support transition planning. COVID-19 did not have any impact on the data collection since the SEA and LEA utilize a state data system which is available electronically from any location.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98.16%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95.70%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74.76%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98.06%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95.38%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74.68%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MTSS Advisory Council, Access to the General Education Curriculum Committee,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2,131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1,997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1,653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394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291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241</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lastRenderedPageBreak/>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933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653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525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2,131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1,997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1,651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340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175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241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970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745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525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1,427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2,131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66.96%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1,034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1,997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51.78%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855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1,653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51.72%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1,410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2,131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66.17%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1,010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1,997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50.58%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853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1,651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51.67%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FFY 2020 public reports of disaggregated state assessment reports for students with disabilities are posted at the following link: https://www.doe.k12.de.us/Page/3829 </w:t>
      </w:r>
      <w:r w:rsidRPr="00781112">
        <w:rPr>
          <w:rFonts w:cs="Arial"/>
          <w:color w:val="000000" w:themeColor="text1"/>
          <w:szCs w:val="16"/>
        </w:rPr>
        <w:br/>
      </w:r>
      <w:r w:rsidRPr="00781112">
        <w:rPr>
          <w:rFonts w:cs="Arial"/>
          <w:color w:val="000000" w:themeColor="text1"/>
          <w:szCs w:val="16"/>
        </w:rPr>
        <w:br/>
        <w:t xml:space="preserve">Suppression Rules: </w:t>
      </w:r>
      <w:r w:rsidRPr="00781112">
        <w:rPr>
          <w:rFonts w:cs="Arial"/>
          <w:color w:val="000000" w:themeColor="text1"/>
          <w:szCs w:val="16"/>
        </w:rPr>
        <w:br/>
        <w:t xml:space="preserve">Pursuant to the Family Education Rights and Privacy Act (FERPA) (34 CFR §99), the DDOE applies the following statistical methods to avoid disclosure of personally identifiable information in aggregate reporting. </w:t>
      </w:r>
      <w:r w:rsidRPr="00781112">
        <w:rPr>
          <w:rFonts w:cs="Arial"/>
          <w:color w:val="000000" w:themeColor="text1"/>
          <w:szCs w:val="16"/>
        </w:rPr>
        <w:br/>
        <w:t>1.</w:t>
      </w:r>
      <w:r w:rsidRPr="00781112">
        <w:rPr>
          <w:rFonts w:cs="Arial"/>
          <w:color w:val="000000" w:themeColor="text1"/>
          <w:szCs w:val="16"/>
        </w:rPr>
        <w:tab/>
        <w:t xml:space="preserve">For all data, counts for groups or subgroups with 15 or fewer students are suppressed and represented by “-” in data reports. Complementary suppression of one or more non-sensitive cells in a table may be required so that the values of the suppressed cells may not be calculated by subtracting the reported values from the row and column totals. </w:t>
      </w:r>
      <w:r w:rsidRPr="00781112">
        <w:rPr>
          <w:rFonts w:cs="Arial"/>
          <w:color w:val="000000" w:themeColor="text1"/>
          <w:szCs w:val="16"/>
        </w:rPr>
        <w:br/>
        <w:t>2. Percentages are suppressed when the underlying student counts can be derived for groups or subgroups with 15 or fewer students (i.e., if the number tested and proficient are reported, then the percentage may need to be suppressed).</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3A. DDOE mitigated the impact of COVID-19 by providing guidance and technical assistance for LEAs. COVID-19 did not have any impact on the data collection since the SEA and LEA utilize a state data system. However, the number of students who participated in the state assessment was impacted by schools engaged in virtual or hybrid models of instruction as a result of COVID-19.  </w:t>
      </w:r>
      <w:r w:rsidRPr="00781112">
        <w:rPr>
          <w:rFonts w:cs="Arial"/>
          <w:color w:val="000000" w:themeColor="text1"/>
          <w:szCs w:val="16"/>
        </w:rPr>
        <w:br/>
        <w:t xml:space="preserve">The DDOE engaged with stakeholders to review historical data, discuss targets and identify improvement activities for participation of students with disabilities in the state assessment.  Based on stakeholder input, the baseline was set using FFY 2018 data as this reflected pre-pandemic trends.  Stakeholders included LEA Special Education Directors, Multi-Tiered System of Support (MTSS) Advisory Council, parents from across the state, school psychologists, teachers, administrators and DDOE staff. Some suggestions from stakeholders to improve participation outcomes for Indicator 3 included: enrichment opportunities in evenings and on weekends, additional support materials, clear communication with parents, and addressing needs of English Language Learners (ELL).  </w:t>
      </w:r>
      <w:r w:rsidRPr="00781112">
        <w:rPr>
          <w:rFonts w:cs="Arial"/>
          <w:color w:val="000000" w:themeColor="text1"/>
          <w:szCs w:val="16"/>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the State Personnel Development Grant (SPDG) initiatives that focus on MTSS for academic and social emotional/behavioral needs. Delaware MTSS regulations were enacted this year that include high quality instructional materials and practices in collaboration with early identification and data based decision making. </w:t>
      </w:r>
      <w:r w:rsidRPr="00781112">
        <w:rPr>
          <w:rFonts w:cs="Arial"/>
          <w:color w:val="000000" w:themeColor="text1"/>
          <w:szCs w:val="16"/>
        </w:rPr>
        <w:br/>
        <w:t xml:space="preserve">DDOE participate in technical assistance from OSEP providers including webinars, meetings, peer-to-peer discussions, collaboration and sharing of resources through IDC, Signetwork, IDEA Data Center, CCSSO, and NCSI.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16.30%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10.21%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15.52%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4.21%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19.36%</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22.42%</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25.48%</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28.54%</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31.60%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34.66%</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13.65%</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17.29%</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20.93%</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24.57%</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28.21%</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31.85%</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13.83%</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17.45%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21.07%</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24.69%</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28.31%</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31.93%</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18.65%</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21.78%</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24.91%</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28.04%</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31.17%</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34.30%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8.37%</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12.63%</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16.69%</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20.85%</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25.01%</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29.17%</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7.69%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11.92%</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16.15%</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20.38%</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24.61%</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28.84%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w:t>
      </w:r>
      <w:r w:rsidRPr="00781112">
        <w:rPr>
          <w:rFonts w:cs="Arial"/>
          <w:color w:val="000000" w:themeColor="text1"/>
          <w:szCs w:val="16"/>
        </w:rPr>
        <w:lastRenderedPageBreak/>
        <w:t xml:space="preserve">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MTSS Advisory Council, Access to the General Education Curriculum Committee,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1,327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944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766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45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lastRenderedPageBreak/>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1,310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920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766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12</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174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1,327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19.36%</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13.11%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87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944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13.65%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67</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766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13.83%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139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1,310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18.65%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10.61%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920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8.37%</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3.15%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766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7.69%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2.09%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FFY 2020 public reports of disaggregated state assessment reports for students with disabilities are posted at the following link: https://www.doe.k12.de.us/Page/3829 </w:t>
      </w:r>
      <w:r w:rsidRPr="00781112">
        <w:rPr>
          <w:rFonts w:cs="Arial"/>
          <w:color w:val="000000" w:themeColor="text1"/>
          <w:szCs w:val="16"/>
        </w:rPr>
        <w:br/>
      </w:r>
      <w:r w:rsidRPr="00781112">
        <w:rPr>
          <w:rFonts w:cs="Arial"/>
          <w:color w:val="000000" w:themeColor="text1"/>
          <w:szCs w:val="16"/>
        </w:rPr>
        <w:br/>
        <w:t xml:space="preserve">Suppression Rules: </w:t>
      </w:r>
      <w:r w:rsidRPr="00781112">
        <w:rPr>
          <w:rFonts w:cs="Arial"/>
          <w:color w:val="000000" w:themeColor="text1"/>
          <w:szCs w:val="16"/>
        </w:rPr>
        <w:br/>
        <w:t xml:space="preserve">Pursuant to the Family Education Rights and Privacy Act (FERPA) (34 CFR §99), the DDOE applies the following statistical methods to avoid disclosure of personally identifiable information in aggregate reporting. </w:t>
      </w:r>
      <w:r w:rsidRPr="00781112">
        <w:rPr>
          <w:rFonts w:cs="Arial"/>
          <w:color w:val="000000" w:themeColor="text1"/>
          <w:szCs w:val="16"/>
        </w:rPr>
        <w:br/>
        <w:t>1.</w:t>
      </w:r>
      <w:r w:rsidRPr="00781112">
        <w:rPr>
          <w:rFonts w:cs="Arial"/>
          <w:color w:val="000000" w:themeColor="text1"/>
          <w:szCs w:val="16"/>
        </w:rPr>
        <w:tab/>
        <w:t xml:space="preserve">For all data, counts for groups or subgroups with 15 or fewer students are suppressed and represented by “-” in data reports. Complementary suppression of one or more non-sensitive cells in a table may be required so that the values of the suppressed cells may not be calculated by subtracting the reported values from the row and column totals. </w:t>
      </w:r>
      <w:r w:rsidRPr="00781112">
        <w:rPr>
          <w:rFonts w:cs="Arial"/>
          <w:color w:val="000000" w:themeColor="text1"/>
          <w:szCs w:val="16"/>
        </w:rPr>
        <w:br/>
        <w:t>2. Percentages are suppressed when the underlying student counts can be derived for groups or subgroups with 15 or fewer students (i.e., if the number tested and proficient are reported, then the percentage may need to be suppressed).</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DDOE ensures that this data is complete, reliable, accurate, and valid for Indicator 3B. DDOE mitigated the impact of COVID-19 by providing guidance and technical assistance for LEAs. COVID-19 did not have any impact on the data collection since the SEA and LEA utilize a state data system. However, the number of students who participated in the state assessment was impacted by schools engaged in virtual or hybrid models of instruction as a result of COVID-19 which in turn impacted proficiency rates.  Delaware has provided support and resources for LEAs and families relating to student learning during COVID-19 through the “Digital Learning” platform. </w:t>
      </w:r>
      <w:r w:rsidRPr="00781112">
        <w:rPr>
          <w:rFonts w:cs="Arial"/>
          <w:color w:val="000000" w:themeColor="text1"/>
          <w:szCs w:val="16"/>
        </w:rPr>
        <w:br/>
        <w:t xml:space="preserve">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parents from across the state, school psychologists, teachers, administrators and DDOE staff. Some suggestions from stakeholders to improve proficiency rates for Indicator 3 included: enrichment opportunities in evenings and on weekends, additional support materials, clear communication with parents, and addressing needs of English Language Learners (ELL).  </w:t>
      </w:r>
      <w:r w:rsidRPr="00781112">
        <w:rPr>
          <w:rFonts w:cs="Arial"/>
          <w:color w:val="000000" w:themeColor="text1"/>
          <w:szCs w:val="16"/>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the State Personnel Development Grant (SPDG) initiatives that focus on MTSS for academic and social emotional/behavioral needs. Delaware MTSS regulations were enacted that include high quality instructional materials and practices in collaboration with early identification and data based decision making. </w:t>
      </w:r>
      <w:r w:rsidRPr="00781112">
        <w:rPr>
          <w:rFonts w:cs="Arial"/>
          <w:color w:val="000000" w:themeColor="text1"/>
          <w:szCs w:val="16"/>
        </w:rPr>
        <w:br/>
        <w:t xml:space="preserve">DDOE participate in technical assistance from OSEP providers including webinars, meetings, peer-to-peer discussions, collaboration and sharing of resources through IDC, Signetwork, IDEA Data Center, CCSSO, and NCSI.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2017,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23.53%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42.41%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41.42%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30.15%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18.89%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25.94%</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28.35%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30.76%</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33.17%</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35.58%</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37.99%</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43.10%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43.79%</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44.48%</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45.17%</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45.86%</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46.55%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42.20%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42.98%</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43.76%</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44.54%</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45.32%</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46.10%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31.95%</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33.75%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35.55%</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37.35%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39.15%</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40.95%</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21.72%</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24.55%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27.38%</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30.21%</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33.04%</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35.87%</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12.71%</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16.44%</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20.17%</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23.90%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27.63%</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31.36%</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MTSS Advisory Council, Access to the General Education Curriculum Committee,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 xml:space="preserve">b. Children with IEPs in alternate assessment against alternate </w:t>
            </w:r>
            <w:r w:rsidRPr="00781112">
              <w:rPr>
                <w:rFonts w:cs="Arial"/>
                <w:szCs w:val="16"/>
                <w:shd w:val="clear" w:color="auto" w:fill="FFFFFF"/>
              </w:rPr>
              <w:lastRenderedPageBreak/>
              <w:t>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lastRenderedPageBreak/>
              <w:t>13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28</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25.94%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13.00%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43.10%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42.20%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40.45%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31.95%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39.00%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21.72%</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8.89%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12.71%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32.18%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lastRenderedPageBreak/>
        <w:t xml:space="preserve">The FFY 2020 public reports of disaggregated state assessment reports for students with disabilities are posted at the following link: https://www.doe.k12.de.us/Page/3829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Suppression Rules: </w:t>
      </w:r>
      <w:r w:rsidRPr="00781112">
        <w:rPr>
          <w:rFonts w:cs="Arial"/>
          <w:color w:val="000000" w:themeColor="text1"/>
          <w:szCs w:val="16"/>
          <w:shd w:val="clear" w:color="auto" w:fill="FFFFFF"/>
        </w:rPr>
        <w:br/>
        <w:t xml:space="preserve">Pursuant to the Family Education Rights and Privacy Act (FERPA) (34 CFR §99), the DDOE applies the following statistical methods to avoid disclosure of personally identifiable information in aggregate reporting. </w:t>
      </w:r>
      <w:r w:rsidRPr="00781112">
        <w:rPr>
          <w:rFonts w:cs="Arial"/>
          <w:color w:val="000000" w:themeColor="text1"/>
          <w:szCs w:val="16"/>
          <w:shd w:val="clear" w:color="auto" w:fill="FFFFFF"/>
        </w:rPr>
        <w:br/>
        <w:t>1.</w:t>
      </w:r>
      <w:r w:rsidRPr="00781112">
        <w:rPr>
          <w:rFonts w:cs="Arial"/>
          <w:color w:val="000000" w:themeColor="text1"/>
          <w:szCs w:val="16"/>
          <w:shd w:val="clear" w:color="auto" w:fill="FFFFFF"/>
        </w:rPr>
        <w:tab/>
        <w:t xml:space="preserve">For all data, counts for groups or subgroups with 15 or fewer students are suppressed and represented by “-” in data reports. Complementary suppression of one or more non-sensitive cells in a table may be required so that the values of the suppressed cells may not be calculated by subtracting the reported values from the row and column totals. </w:t>
      </w:r>
      <w:r w:rsidRPr="00781112">
        <w:rPr>
          <w:rFonts w:cs="Arial"/>
          <w:color w:val="000000" w:themeColor="text1"/>
          <w:szCs w:val="16"/>
          <w:shd w:val="clear" w:color="auto" w:fill="FFFFFF"/>
        </w:rPr>
        <w:br/>
        <w:t>2. Percentages are suppressed when the underlying student counts can be derived for groups or subgroups with 15 or fewer students (i.e., if the number tested and proficient are reported, then the percentage may need to be suppressed).</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DDOE ensures that this data is complete, accurate, reliable, and valid for Indicator 3C. DDOE mitigated the impact of COVID-19 by providing guidance and technical assistance for LEAs. COVID-19 did not have any impact on the data collection since the SEA and LEA utilize a state data system. However, the number of students who participated in the state assessment was impacted by schools engaged in virtual or hybrid models of instruction as a result of COVID-19 which in turn impacted proficiency rates.  Delaware has provided support and resources for LEAs and families relating to student learning during COVID-19 through the “Digital Learning” platform. </w:t>
      </w:r>
      <w:r w:rsidRPr="00781112">
        <w:rPr>
          <w:rFonts w:cs="Arial"/>
          <w:color w:val="000000" w:themeColor="text1"/>
          <w:szCs w:val="16"/>
          <w:shd w:val="clear" w:color="auto" w:fill="FFFFFF"/>
        </w:rPr>
        <w:br/>
        <w:t xml:space="preserve">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parents from across the state, school psychologists, teachers, administrators and DDOE staff. Some suggestions from stakeholders to improve proficiency rates for Indicator 3 included: enrichment opportunities in evenings and on weekends, additional support materials, clear communication with parents, and addressing needs of English Language Learners (ELL).  </w:t>
      </w:r>
      <w:r w:rsidRPr="00781112">
        <w:rPr>
          <w:rFonts w:cs="Arial"/>
          <w:color w:val="000000" w:themeColor="text1"/>
          <w:szCs w:val="16"/>
          <w:shd w:val="clear" w:color="auto" w:fill="FFFFFF"/>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the State Personnel Development Grant (SPDG) initiatives that focus on MTSS for academic and social emotional/behavioral needs. Delaware MTSS regulations were enacted that include high quality instructional materials and practices in collaboration with early identification and data based decision making. </w:t>
      </w:r>
      <w:r w:rsidRPr="00781112">
        <w:rPr>
          <w:rFonts w:cs="Arial"/>
          <w:color w:val="000000" w:themeColor="text1"/>
          <w:szCs w:val="16"/>
          <w:shd w:val="clear" w:color="auto" w:fill="FFFFFF"/>
        </w:rPr>
        <w:br/>
        <w:t xml:space="preserve">DDOE participate in technical assistance from OSEP providers including webinars, meetings, peer-to-peer discussions, collaboration and sharing of resources through IDC, Signetwork, IDEA Data Center, CCSSO, and NCSI.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2017,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33.23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43.24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39.97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31.72</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30.21</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28.70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27.19</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25.68</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24.17</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41.27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39.30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37.33</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35.36</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33.39</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31.42</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38.15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36.33</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34.51</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32.69</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30.87</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29.05</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33.37</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31.78</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30.19</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28.60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27.01</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25.42</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33.35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31.76</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30.17</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28.58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26.99</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25.40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24.13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22.98</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21.83</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20.68</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19.53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18.38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w:t>
      </w:r>
      <w:r w:rsidRPr="00781112">
        <w:rPr>
          <w:rFonts w:cs="Arial"/>
          <w:color w:val="000000" w:themeColor="text1"/>
          <w:szCs w:val="16"/>
        </w:rPr>
        <w:lastRenderedPageBreak/>
        <w:t xml:space="preserve">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MTSS Advisory Council, Access to the General Education Curriculum Committee,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6,850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5,411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7,539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1,327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944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766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2,270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2,295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3,516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235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197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6,809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5,323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7,539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1,310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920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766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1,749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1,233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2,003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144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13.11%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36.57%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31.72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23.46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9.22%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44.11%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41.27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34.90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8.75%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49.25%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38.15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40.50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10.61%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27.80%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33.37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17.19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3.15%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23.80%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33.35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20.65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2.09%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27.63%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24.13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25.54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lastRenderedPageBreak/>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3D. DDOE mitigated the impact of COVID-19 by providing guidance and technical assistance for LEAs. COVID-19 did not have any impact on the data collection since the SEA and LEA utilize a state data system. However, the number of students who participated in the state assessment was impacted by schools engaged in virtual or hybrid models of instruction as a result of COVID-19 which in turn impacted the gap in proficiency. Delaware has provided support and resources for LEAs and families relating to student learning during COVID-19 through the “Digital Learning” platform. </w:t>
      </w:r>
      <w:r w:rsidRPr="00781112">
        <w:rPr>
          <w:rFonts w:cs="Arial"/>
          <w:color w:val="000000" w:themeColor="text1"/>
          <w:szCs w:val="16"/>
        </w:rPr>
        <w:br/>
      </w:r>
      <w:r w:rsidRPr="00781112">
        <w:rPr>
          <w:rFonts w:cs="Arial"/>
          <w:color w:val="000000" w:themeColor="text1"/>
          <w:szCs w:val="16"/>
        </w:rPr>
        <w:br/>
        <w:t xml:space="preserve">The DDOE engaged with stakeholders to review and analyze proficiency rate gap utilizing data from FFY 2017, FFY 2018, FFY 2019 and FFY 2020 to determine baseline, set targets and identify improvement activities. Proficiency rate gap was calculated consistent with the measurement table: Proficiency rate gap = [(proficiency rate for children with IEPs scoring at or above proficient against grade level academic achievement standards for the 2017–2018 school year) subtracted from the (proficiency rate for all students scoring at or above proficient against grade level academic achievement standards for the 2017-2018 school year)]. Reading and math were calculated separately for grades 4, 8, and high school. The proficiency rate includes all children enrolled for a full academic year and those not enrolled for a full academic year. </w:t>
      </w:r>
      <w:r w:rsidRPr="00781112">
        <w:rPr>
          <w:rFonts w:cs="Arial"/>
          <w:color w:val="000000" w:themeColor="text1"/>
          <w:szCs w:val="16"/>
        </w:rPr>
        <w:br/>
      </w:r>
      <w:r w:rsidRPr="00781112">
        <w:rPr>
          <w:rFonts w:cs="Arial"/>
          <w:color w:val="000000" w:themeColor="text1"/>
          <w:szCs w:val="16"/>
        </w:rPr>
        <w:br/>
        <w:t xml:space="preserve">Based on stakeholder input, the baseline was set using FFY 2017 data as this reflected pre-pandemic trends. </w:t>
      </w:r>
      <w:r w:rsidRPr="00781112">
        <w:rPr>
          <w:rFonts w:cs="Arial"/>
          <w:color w:val="000000" w:themeColor="text1"/>
          <w:szCs w:val="16"/>
        </w:rPr>
        <w:br/>
      </w:r>
      <w:r w:rsidRPr="00781112">
        <w:rPr>
          <w:rFonts w:cs="Arial"/>
          <w:color w:val="000000" w:themeColor="text1"/>
          <w:szCs w:val="16"/>
        </w:rPr>
        <w:br/>
        <w:t>DDOE compared the new baseline from FFY 2017 to the FFY 2025 targets, established with stakeholder input, and ensured that all targets reflect improvement over the state’s baseline.</w:t>
      </w:r>
      <w:r w:rsidRPr="00781112">
        <w:rPr>
          <w:rFonts w:cs="Arial"/>
          <w:color w:val="000000" w:themeColor="text1"/>
          <w:szCs w:val="16"/>
        </w:rPr>
        <w:br/>
      </w:r>
      <w:r w:rsidRPr="00781112">
        <w:rPr>
          <w:rFonts w:cs="Arial"/>
          <w:color w:val="000000" w:themeColor="text1"/>
          <w:szCs w:val="16"/>
        </w:rPr>
        <w:br/>
        <w:t xml:space="preserve">Stakeholders included LEA Special Education Directors, Multi-Tiered System of Support (MTSS) Advisory Council, parents from across the state, school psychologists, teachers, administrators and DDOE staff. Some suggestions from stakeholders to improve address the gap in proficiency included: enrichment opportunities in evenings and on weekends, additional support materials, clear communication with parents, and addressing needs of English Language Learners (ELL). </w:t>
      </w:r>
      <w:r w:rsidRPr="00781112">
        <w:rPr>
          <w:rFonts w:cs="Arial"/>
          <w:color w:val="000000" w:themeColor="text1"/>
          <w:szCs w:val="16"/>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the State Personnel Development Grant (SPDG) initiatives that focus on MTSS for academic and social emotional/behavioral needs. Delaware MTSS regulations were enacted that include high quality instructional materials and practices in collaboration with early identification and data based decision making. </w:t>
      </w:r>
      <w:r w:rsidRPr="00781112">
        <w:rPr>
          <w:rFonts w:cs="Arial"/>
          <w:color w:val="000000" w:themeColor="text1"/>
          <w:szCs w:val="16"/>
        </w:rPr>
        <w:br/>
        <w:t xml:space="preserve">DDOE participate in technical assistance from OSEP providers including webinars, meetings, peer-to-peer discussions, collaboration and sharing of resources through IDC, Signetwork, IDEA Data Center, CCSSO, and NCSI.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baseline for this indicator, using data from FFY 2017,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40.00%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32.00%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32.00%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32.00%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32.00%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11 stakeholder meetings were held which include LEA Parent Advisory Councils, Lunch &amp; Learn sessions in collaboration with Parent Information Center of Delaware, Governor’s Advisory Council for Exceptional Citizens (IDEA State Advisory Panel), LEA Special Education Directors, Delaware Positive Behavior Support Project (DE-PBS) Cadre and the Equity in IDEA Stakeholder Group.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DDOE defines “significant discrepancy” as those LEAs with a rate ratio which exceeds the “State bar,” and for which the number of students with disabilities suspended or expelled greater than 10 days equals or exceeds 15 students (state established n size). Delaware’s state bar or threshold is a static rate ratio of 2.0, with a state-established n size of 15 for Indicator 4A.The DDOE calculates the LEAs’ rate ratio by dividing the percentage of students with disabilities suspended or expelled greater than 10 days by the percentage of general education students suspended or expelled greater than 10 days within each LEA. </w:t>
      </w:r>
      <w:r w:rsidRPr="00781112">
        <w:rPr>
          <w:rFonts w:cs="Arial"/>
          <w:color w:val="000000" w:themeColor="text1"/>
          <w:szCs w:val="16"/>
        </w:rPr>
        <w:br/>
      </w:r>
      <w:r w:rsidRPr="00781112">
        <w:rPr>
          <w:rFonts w:cs="Arial"/>
          <w:color w:val="000000" w:themeColor="text1"/>
          <w:szCs w:val="16"/>
        </w:rPr>
        <w:br/>
        <w:t xml:space="preserve">To identify Significant Discrepancy, the DDOE examines three consecutive years of data. If an LEA exceeds the n size and rate ratio for each of three consecutive years, the LEA is identified with Significant Discrepancy. The range of longitudinal data is reviewed over three years to provide LEAs the opportunity to evaluate and revise their MTSS systems over time, as well as monitor fidelity of implementation. In addition, reviewing three years of data allows the DDOE to identify consistent systemic issues that may be impacting outcomes for students with disabilities. </w:t>
      </w:r>
      <w:r w:rsidRPr="00781112">
        <w:rPr>
          <w:rFonts w:cs="Arial"/>
          <w:color w:val="000000" w:themeColor="text1"/>
          <w:szCs w:val="16"/>
        </w:rPr>
        <w:br/>
      </w:r>
      <w:r w:rsidRPr="00781112">
        <w:rPr>
          <w:rFonts w:cs="Arial"/>
          <w:color w:val="000000" w:themeColor="text1"/>
          <w:szCs w:val="16"/>
        </w:rPr>
        <w:br/>
        <w:t xml:space="preserve">The DDOE also reviews data for LEAs that exceed the rate ratio of 2.0 by a significant margin but do not meet the n size of 15 as they are more likely to suspend students with disabilities, as compared to students without disabilities. Any LEA that has an n size of 5 or more and exceeds the rate ratio of 5.0 within one year will be identified with Significant Discrepancy. </w:t>
      </w:r>
      <w:r w:rsidRPr="00781112">
        <w:rPr>
          <w:rFonts w:cs="Arial"/>
          <w:color w:val="000000" w:themeColor="text1"/>
          <w:szCs w:val="16"/>
        </w:rPr>
        <w:br/>
      </w:r>
      <w:r w:rsidRPr="00781112">
        <w:rPr>
          <w:rFonts w:cs="Arial"/>
          <w:color w:val="000000" w:themeColor="text1"/>
          <w:szCs w:val="16"/>
        </w:rPr>
        <w:br/>
        <w:t xml:space="preserve">Any LEA identified with Significant Discrepancy must conduct a review of policies, procedures and practices to identify the root cause(s) for the Significant Discrepancy and identify improvement activities to address the identified root causes.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4A. DDOE mitigated the impact of COVID-19 by providing guidance and technical assistance for LEAs. This included providing professional learning and training in DE-PBS Cadre and special education director leadership meetings as well as meeting individually with LEAs to engage in problem solving, review/analyze data and supporting the LEA’s implementation of Multi-Tiered System of Behavioral and Academic Supports. DDOE also provides LEAs with technical assistance and coaching through the DE-PBS Project.  COVID-19 did not have any impact on the data collection since the SEA and LEA utilize a state data system which is available electronically from any location. </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FFY 20, using 2019-2020 data, the Delaware Department of Education did not identify any LEAs with significant discrepancy. Therefore, the Delaware Department of Education did not need to conduct a review of policies, procedures and practices.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2017</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DDOE defines Significant Discrepancy for Indicator 4B as those LEAs with a rate ratio which exceeds the “State bar” of 2.0 and for which the number of students with disabilities within a racial or ethnic category are suspended or expelled greater than 10 days equals or exceeds 10 students (state established n size). The DDOE calculates the LEAs’ rate ratio by dividing the percentage of students with disabilities in each race or ethnicity, suspended or expelled greater than 10 days by the percentage of general education students suspended or expelled greater than 10 days within each LEA.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state bar or threshold for Delaware is a static rate ratio of 2.0, with a state-established n size of 10 for Indicator 4B. In addition, the range of longitudinal data is reviewed over three years to provide LEAs the opportunity to evaluate and revise their MTSS systems over time, as well as monitor fidelity of implementation. In addition, reviewing three years of data allows the DDOE to identify consistent systemic issues that may be impacting outcomes for students with disabilities.  If an LEA exceeds the n size and rate ratio for each of three consecutive years, the LEA is identified with Significant Discrepancy. </w:t>
      </w:r>
      <w:r w:rsidRPr="00781112">
        <w:rPr>
          <w:rFonts w:cs="Arial"/>
          <w:color w:val="000000" w:themeColor="text1"/>
          <w:szCs w:val="16"/>
        </w:rPr>
        <w:br/>
      </w:r>
      <w:r w:rsidRPr="00781112">
        <w:rPr>
          <w:rFonts w:cs="Arial"/>
          <w:color w:val="000000" w:themeColor="text1"/>
          <w:szCs w:val="16"/>
        </w:rPr>
        <w:br/>
        <w:t>The DDOE also reviews data for LEAs that exceed the rate ratio in any race or ethnic category by a significant margin but do not meet the n size. Any LEA, with an n size of 5 or more in a race or ethnic group, that exceeds the rate ratio of 5.0 within one year, will be identified with Significant Discrepancy.</w:t>
      </w:r>
      <w:r w:rsidRPr="00781112">
        <w:rPr>
          <w:rFonts w:cs="Arial"/>
          <w:color w:val="000000" w:themeColor="text1"/>
          <w:szCs w:val="16"/>
        </w:rPr>
        <w:br/>
      </w:r>
      <w:r w:rsidRPr="00781112">
        <w:rPr>
          <w:rFonts w:cs="Arial"/>
          <w:color w:val="000000" w:themeColor="text1"/>
          <w:szCs w:val="16"/>
        </w:rPr>
        <w:br/>
        <w:t>Any LEA identified with Significant Discrepancy must conduct a review of policies, procedures and practices to identify the root cause(s) for the Significant Discrepancy and identify improvement activities to address the identified root causes.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DDOE ensures that this data is complete, accurate, reliable, and valid for Indicator 4A. DDOE mitigated the impact of COVID-19 by providing guidance and technical assistance for LEAs. This included providing professional learning and training in DE-PBS Cadre and special education director leadership meetings as well as meeting individually with LEAs to engage in problem solving, review/analyze data and supporting the LEA’s implementation of Multi-Tiered System of Behavioral and Academic Supports. DDOE also provides LEAs with technical assistance and coaching through the DE-PBS Project. COVID-19 did not have any impact on the data collection since the SEA and LEA utilize a state data system which is available electronically from any location.</w:t>
      </w:r>
      <w:r w:rsidRPr="00781112">
        <w:rPr>
          <w:rFonts w:cs="Arial"/>
          <w:color w:val="000000" w:themeColor="text1"/>
          <w:szCs w:val="16"/>
        </w:rPr>
        <w:br/>
      </w:r>
      <w:r w:rsidRPr="00781112">
        <w:rPr>
          <w:rFonts w:cs="Arial"/>
          <w:color w:val="000000" w:themeColor="text1"/>
          <w:szCs w:val="16"/>
        </w:rPr>
        <w:br/>
        <w:t xml:space="preserve">Delaware embraces authentic stakeholder engagement throughout all areas of our work. Members of Exceptional Children Resources (ECR) workgroup </w:t>
      </w:r>
      <w:r w:rsidRPr="00781112">
        <w:rPr>
          <w:rFonts w:cs="Arial"/>
          <w:color w:val="000000" w:themeColor="text1"/>
          <w:szCs w:val="16"/>
        </w:rPr>
        <w:lastRenderedPageBreak/>
        <w:t xml:space="preserve">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11 stakeholder meetings were held which include LEA Parent Advisory Councils, Lunch &amp; Learn sessions in collaboration with Parent Information Center of Delaware, Governor’s Advisory Council for Exceptional Citizens (IDEA State Advisory Panel), LEA Special Education Directors, Delaware Positive Behavior Support Project (DE-PBS) Cadre and the Equity in IDEA Stakeholder Group.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FFY 20 using SY19-20 data, the DDOE did not identify any LEAs with significant discrepancy. Therefore, DDOE did not need to conduct a review of any LEAs policies, procedures and practices relating to the development and implementation of IEPs, the use of positive behavioral interventions and supports, and procedural safeguards.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72.00%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64.25%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14.70%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14.80%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5.22%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4.83%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64.54%</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65.54%</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66.54%</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67.54%</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68.54%</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69.54%</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15.09%</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14.59%</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14.09%</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13.59%</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13.09%</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12.59%</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4.93%</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4.73%</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4.43%</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4.03%</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3.53%</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3.03%</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 xml:space="preserve">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w:t>
      </w:r>
      <w:r w:rsidRPr="00781112">
        <w:rPr>
          <w:rFonts w:cs="Arial"/>
          <w:color w:val="000000" w:themeColor="text1"/>
          <w:szCs w:val="16"/>
        </w:rPr>
        <w:lastRenderedPageBreak/>
        <w:t>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Equity in IDEA Stakeholder Group,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22,588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14,578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3,408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973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102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lastRenderedPageBreak/>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14,578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22,588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64.25%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3,408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22,588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14.80%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1,113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22,588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4.83%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4.93%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4.93%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DDOE met with stakeholders to discuss baseline, targets and improvement activities.  FFY 2020 was established as a new baseline due to the addition of 5 year old children with disabilities enrolled in kindergarten. </w:t>
      </w:r>
      <w:r w:rsidRPr="00781112">
        <w:rPr>
          <w:rFonts w:cs="Arial"/>
          <w:color w:val="000000" w:themeColor="text1"/>
          <w:szCs w:val="16"/>
        </w:rPr>
        <w:br/>
      </w:r>
      <w:r w:rsidRPr="00781112">
        <w:rPr>
          <w:rFonts w:cs="Arial"/>
          <w:color w:val="000000" w:themeColor="text1"/>
          <w:szCs w:val="16"/>
        </w:rPr>
        <w:br/>
        <w:t xml:space="preserve">DDOE ensures that this data is complete, accurate, reliable, and valid for Indicator 5. DDOE mitigated the impact of COVID-19 by providing guidance and technical assistance to LEAs on LRE. The technical assistance includes guidance documents, professional development and training at Access to the General Education Committee meetings and LEA Special Education Director Leadership meetings. In addition, DDOE meets individually with LEAs to problem solve, review/analyze data and support the implementation of best practices relating to least restrictive environments.  COVID-19 did not have any impact on the data collection since the SEA and LEA utilize a state data system which is available electronically from any location.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49.01%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47.46%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47.91%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49.37%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33.73%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34.45%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r>
      <w:r w:rsidRPr="00781112">
        <w:rPr>
          <w:rFonts w:cs="Arial"/>
          <w:color w:val="000000" w:themeColor="text1"/>
          <w:szCs w:val="16"/>
        </w:rPr>
        <w:lastRenderedPageBreak/>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15 meetings were held with stakeholder groups which include Early Childhood Inclusion Committee, Early Childhood State and Local Education Agency meetings,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 xml:space="preserve">Summary of stakeholder input/feedback regarding target setting and improvement activities can be found at: https://www.doe.k12.de.us/Page/4541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26.86%</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28.52%</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35.54%</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55.32%</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50.72%</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41.81%</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1.06%</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0.29%</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0.35%</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4"/>
        <w:gridCol w:w="1618"/>
        <w:gridCol w:w="1618"/>
        <w:gridCol w:w="1621"/>
        <w:gridCol w:w="1619"/>
        <w:gridCol w:w="1619"/>
        <w:gridCol w:w="1621"/>
      </w:tblGrid>
      <w:tr w:rsidR="001D508C" w:rsidRPr="00781112" w14:paraId="1291FC80" w14:textId="77777777" w:rsidTr="005F5FE9">
        <w:trPr>
          <w:trHeight w:val="297"/>
        </w:trPr>
        <w:tc>
          <w:tcPr>
            <w:tcW w:w="498" w:type="pct"/>
            <w:tcBorders>
              <w:bottom w:val="single" w:sz="4" w:space="0" w:color="auto"/>
            </w:tcBorders>
            <w:shd w:val="clear" w:color="auto" w:fill="auto"/>
            <w:vAlign w:val="center"/>
          </w:tcPr>
          <w:p w14:paraId="235A0B6B" w14:textId="77777777" w:rsidR="001D508C" w:rsidRPr="00781112" w:rsidRDefault="001D508C" w:rsidP="00827FF4">
            <w:pPr>
              <w:jc w:val="center"/>
              <w:rPr>
                <w:b/>
                <w:color w:val="000000" w:themeColor="text1"/>
              </w:rPr>
            </w:pPr>
            <w:r w:rsidRPr="00781112">
              <w:rPr>
                <w:b/>
                <w:color w:val="000000" w:themeColor="text1"/>
              </w:rPr>
              <w:t>FFY</w:t>
            </w:r>
          </w:p>
        </w:tc>
        <w:tc>
          <w:tcPr>
            <w:tcW w:w="750" w:type="pct"/>
            <w:shd w:val="clear" w:color="auto" w:fill="auto"/>
            <w:vAlign w:val="center"/>
          </w:tcPr>
          <w:p w14:paraId="5074C742" w14:textId="77777777" w:rsidR="001D508C" w:rsidRPr="00781112" w:rsidRDefault="001D508C" w:rsidP="00827FF4">
            <w:pPr>
              <w:jc w:val="center"/>
              <w:rPr>
                <w:b/>
                <w:color w:val="000000" w:themeColor="text1"/>
              </w:rPr>
            </w:pPr>
            <w:r w:rsidRPr="00781112">
              <w:rPr>
                <w:b/>
                <w:color w:val="000000" w:themeColor="text1"/>
              </w:rPr>
              <w:t>2020</w:t>
            </w:r>
          </w:p>
        </w:tc>
        <w:tc>
          <w:tcPr>
            <w:tcW w:w="750" w:type="pct"/>
            <w:vAlign w:val="center"/>
          </w:tcPr>
          <w:p w14:paraId="2B0D2271" w14:textId="77777777" w:rsidR="001D508C" w:rsidRPr="00781112" w:rsidRDefault="001D508C" w:rsidP="00360DD6">
            <w:pPr>
              <w:jc w:val="center"/>
              <w:rPr>
                <w:b/>
                <w:color w:val="000000" w:themeColor="text1"/>
              </w:rPr>
            </w:pPr>
            <w:r w:rsidRPr="00781112">
              <w:rPr>
                <w:b/>
                <w:color w:val="000000" w:themeColor="text1"/>
              </w:rPr>
              <w:t>2021</w:t>
            </w:r>
          </w:p>
        </w:tc>
        <w:tc>
          <w:tcPr>
            <w:tcW w:w="751" w:type="pct"/>
            <w:vAlign w:val="center"/>
          </w:tcPr>
          <w:p w14:paraId="31EF1F5F" w14:textId="77777777" w:rsidR="001D508C" w:rsidRPr="00781112" w:rsidRDefault="001D508C" w:rsidP="00360DD6">
            <w:pPr>
              <w:jc w:val="center"/>
              <w:rPr>
                <w:b/>
                <w:color w:val="000000" w:themeColor="text1"/>
              </w:rPr>
            </w:pPr>
            <w:r w:rsidRPr="00781112">
              <w:rPr>
                <w:b/>
                <w:color w:val="000000" w:themeColor="text1"/>
              </w:rPr>
              <w:t>2022</w:t>
            </w:r>
          </w:p>
        </w:tc>
        <w:tc>
          <w:tcPr>
            <w:tcW w:w="750" w:type="pct"/>
            <w:vAlign w:val="center"/>
          </w:tcPr>
          <w:p w14:paraId="3D933C94" w14:textId="77777777" w:rsidR="001D508C" w:rsidRPr="00781112" w:rsidRDefault="001D508C" w:rsidP="00360DD6">
            <w:pPr>
              <w:jc w:val="center"/>
              <w:rPr>
                <w:b/>
                <w:color w:val="000000" w:themeColor="text1"/>
              </w:rPr>
            </w:pPr>
            <w:r w:rsidRPr="00781112">
              <w:rPr>
                <w:b/>
                <w:color w:val="000000" w:themeColor="text1"/>
              </w:rPr>
              <w:t>2023</w:t>
            </w:r>
          </w:p>
        </w:tc>
        <w:tc>
          <w:tcPr>
            <w:tcW w:w="750" w:type="pct"/>
            <w:vAlign w:val="center"/>
          </w:tcPr>
          <w:p w14:paraId="5487D507" w14:textId="77777777" w:rsidR="001D508C" w:rsidRPr="00781112" w:rsidRDefault="001D508C" w:rsidP="00360DD6">
            <w:pPr>
              <w:jc w:val="center"/>
              <w:rPr>
                <w:b/>
                <w:color w:val="000000" w:themeColor="text1"/>
              </w:rPr>
            </w:pPr>
            <w:r w:rsidRPr="00781112">
              <w:rPr>
                <w:b/>
                <w:color w:val="000000" w:themeColor="text1"/>
              </w:rPr>
              <w:t>2024</w:t>
            </w:r>
          </w:p>
        </w:tc>
        <w:tc>
          <w:tcPr>
            <w:tcW w:w="751" w:type="pct"/>
            <w:vAlign w:val="center"/>
          </w:tcPr>
          <w:p w14:paraId="7A045085" w14:textId="77777777" w:rsidR="001D508C" w:rsidRPr="00781112" w:rsidRDefault="001D508C" w:rsidP="00360DD6">
            <w:pPr>
              <w:jc w:val="center"/>
              <w:rPr>
                <w:b/>
                <w:color w:val="000000" w:themeColor="text1"/>
              </w:rPr>
            </w:pPr>
            <w:r w:rsidRPr="00781112">
              <w:rPr>
                <w:b/>
                <w:color w:val="000000" w:themeColor="text1"/>
              </w:rPr>
              <w:t>2025</w:t>
            </w:r>
          </w:p>
        </w:tc>
      </w:tr>
      <w:tr w:rsidR="001D508C" w:rsidRPr="00781112" w14:paraId="500CD187" w14:textId="77777777" w:rsidTr="005F5FE9">
        <w:trPr>
          <w:trHeight w:val="303"/>
        </w:trPr>
        <w:tc>
          <w:tcPr>
            <w:tcW w:w="498" w:type="pct"/>
            <w:shd w:val="clear" w:color="auto" w:fill="auto"/>
            <w:vAlign w:val="center"/>
          </w:tcPr>
          <w:p w14:paraId="0590697C" w14:textId="29707F4E" w:rsidR="001D508C" w:rsidRPr="00781112" w:rsidRDefault="001D508C" w:rsidP="00827FF4">
            <w:pPr>
              <w:rPr>
                <w:rFonts w:cs="Arial"/>
                <w:color w:val="000000" w:themeColor="text1"/>
                <w:szCs w:val="16"/>
              </w:rPr>
            </w:pPr>
            <w:r w:rsidRPr="00781112">
              <w:rPr>
                <w:rFonts w:cs="Arial"/>
                <w:color w:val="000000" w:themeColor="text1"/>
                <w:szCs w:val="16"/>
              </w:rPr>
              <w:lastRenderedPageBreak/>
              <w:t>Target A1, age 3 &gt;=</w:t>
            </w:r>
          </w:p>
        </w:tc>
        <w:tc>
          <w:tcPr>
            <w:tcW w:w="750" w:type="pct"/>
            <w:shd w:val="clear" w:color="auto" w:fill="auto"/>
            <w:vAlign w:val="center"/>
          </w:tcPr>
          <w:p w14:paraId="102B6941" w14:textId="1AD00AD6" w:rsidR="001D508C" w:rsidRPr="00781112" w:rsidRDefault="001D508C" w:rsidP="00827FF4">
            <w:pPr>
              <w:jc w:val="center"/>
              <w:rPr>
                <w:color w:val="000000" w:themeColor="text1"/>
              </w:rPr>
            </w:pPr>
            <w:r w:rsidRPr="00781112">
              <w:rPr>
                <w:color w:val="000000" w:themeColor="text1"/>
              </w:rPr>
              <w:t>26.86%</w:t>
            </w:r>
          </w:p>
        </w:tc>
        <w:tc>
          <w:tcPr>
            <w:tcW w:w="750" w:type="pct"/>
            <w:vAlign w:val="center"/>
          </w:tcPr>
          <w:p w14:paraId="6C71A6B9" w14:textId="3C926706" w:rsidR="001D508C" w:rsidRPr="00781112" w:rsidRDefault="001D508C" w:rsidP="00360DD6">
            <w:pPr>
              <w:jc w:val="center"/>
              <w:rPr>
                <w:color w:val="000000" w:themeColor="text1"/>
              </w:rPr>
            </w:pPr>
            <w:r w:rsidRPr="00781112">
              <w:rPr>
                <w:color w:val="000000" w:themeColor="text1"/>
              </w:rPr>
              <w:t>36.70%</w:t>
            </w:r>
          </w:p>
        </w:tc>
        <w:tc>
          <w:tcPr>
            <w:tcW w:w="751" w:type="pct"/>
            <w:vAlign w:val="center"/>
          </w:tcPr>
          <w:p w14:paraId="5F15E551" w14:textId="7411F872" w:rsidR="001D508C" w:rsidRPr="00781112" w:rsidRDefault="001D508C" w:rsidP="00360DD6">
            <w:pPr>
              <w:jc w:val="center"/>
              <w:rPr>
                <w:color w:val="000000" w:themeColor="text1"/>
              </w:rPr>
            </w:pPr>
            <w:r w:rsidRPr="00781112">
              <w:rPr>
                <w:color w:val="000000" w:themeColor="text1"/>
              </w:rPr>
              <w:t>36.80%</w:t>
            </w:r>
          </w:p>
        </w:tc>
        <w:tc>
          <w:tcPr>
            <w:tcW w:w="750" w:type="pct"/>
            <w:vAlign w:val="center"/>
          </w:tcPr>
          <w:p w14:paraId="660B33A8" w14:textId="5B6F2C0B" w:rsidR="001D508C" w:rsidRPr="00781112" w:rsidRDefault="001D508C" w:rsidP="00360DD6">
            <w:pPr>
              <w:jc w:val="center"/>
              <w:rPr>
                <w:color w:val="000000" w:themeColor="text1"/>
              </w:rPr>
            </w:pPr>
            <w:r w:rsidRPr="00781112">
              <w:rPr>
                <w:color w:val="000000" w:themeColor="text1"/>
              </w:rPr>
              <w:t>36.90%</w:t>
            </w:r>
          </w:p>
        </w:tc>
        <w:tc>
          <w:tcPr>
            <w:tcW w:w="750" w:type="pct"/>
            <w:vAlign w:val="center"/>
          </w:tcPr>
          <w:p w14:paraId="56C9AF10" w14:textId="4810926A" w:rsidR="001D508C" w:rsidRPr="00781112" w:rsidRDefault="001D508C" w:rsidP="00360DD6">
            <w:pPr>
              <w:jc w:val="center"/>
              <w:rPr>
                <w:color w:val="000000" w:themeColor="text1"/>
              </w:rPr>
            </w:pPr>
            <w:r w:rsidRPr="00781112">
              <w:rPr>
                <w:color w:val="000000" w:themeColor="text1"/>
              </w:rPr>
              <w:t>37.00%</w:t>
            </w:r>
          </w:p>
        </w:tc>
        <w:tc>
          <w:tcPr>
            <w:tcW w:w="751" w:type="pct"/>
            <w:vAlign w:val="center"/>
          </w:tcPr>
          <w:p w14:paraId="124DDC65" w14:textId="772DD6C7" w:rsidR="001D508C" w:rsidRPr="00781112" w:rsidRDefault="001D508C" w:rsidP="00360DD6">
            <w:pPr>
              <w:jc w:val="center"/>
              <w:rPr>
                <w:color w:val="000000" w:themeColor="text1"/>
              </w:rPr>
            </w:pPr>
            <w:r w:rsidRPr="00781112">
              <w:rPr>
                <w:color w:val="000000" w:themeColor="text1"/>
              </w:rPr>
              <w:t>37.50%</w:t>
            </w:r>
          </w:p>
        </w:tc>
      </w:tr>
      <w:tr w:rsidR="001D508C" w:rsidRPr="00781112" w14:paraId="423C2E06" w14:textId="77777777" w:rsidTr="005F5FE9">
        <w:trPr>
          <w:trHeight w:val="303"/>
        </w:trPr>
        <w:tc>
          <w:tcPr>
            <w:tcW w:w="498" w:type="pct"/>
            <w:shd w:val="clear" w:color="auto" w:fill="auto"/>
            <w:vAlign w:val="center"/>
          </w:tcPr>
          <w:p w14:paraId="16CF02C9" w14:textId="427CDB56" w:rsidR="001D508C" w:rsidRPr="00781112" w:rsidRDefault="001D508C" w:rsidP="00827FF4">
            <w:pPr>
              <w:rPr>
                <w:rFonts w:cs="Arial"/>
                <w:color w:val="000000" w:themeColor="text1"/>
                <w:szCs w:val="16"/>
              </w:rPr>
            </w:pPr>
            <w:r w:rsidRPr="00781112">
              <w:rPr>
                <w:rFonts w:cs="Arial"/>
                <w:color w:val="000000" w:themeColor="text1"/>
                <w:szCs w:val="16"/>
              </w:rPr>
              <w:t>Target B1, age 3 &lt;=</w:t>
            </w:r>
          </w:p>
        </w:tc>
        <w:tc>
          <w:tcPr>
            <w:tcW w:w="750" w:type="pct"/>
            <w:shd w:val="clear" w:color="auto" w:fill="auto"/>
            <w:vAlign w:val="center"/>
          </w:tcPr>
          <w:p w14:paraId="1EAA8B39" w14:textId="66B8C232" w:rsidR="001D508C" w:rsidRPr="00781112" w:rsidRDefault="001D508C" w:rsidP="00827FF4">
            <w:pPr>
              <w:jc w:val="center"/>
              <w:rPr>
                <w:rFonts w:cs="Arial"/>
                <w:color w:val="000000" w:themeColor="text1"/>
                <w:szCs w:val="16"/>
              </w:rPr>
            </w:pPr>
            <w:r w:rsidRPr="00781112">
              <w:rPr>
                <w:rFonts w:cs="Arial"/>
                <w:color w:val="000000" w:themeColor="text1"/>
                <w:szCs w:val="16"/>
              </w:rPr>
              <w:t>55.32%</w:t>
            </w:r>
          </w:p>
        </w:tc>
        <w:tc>
          <w:tcPr>
            <w:tcW w:w="750" w:type="pct"/>
            <w:vAlign w:val="center"/>
          </w:tcPr>
          <w:p w14:paraId="0FABD803" w14:textId="44E4C9DA" w:rsidR="001D508C" w:rsidRPr="00781112" w:rsidRDefault="001D508C" w:rsidP="00360DD6">
            <w:pPr>
              <w:jc w:val="center"/>
              <w:rPr>
                <w:rFonts w:cs="Arial"/>
                <w:color w:val="000000" w:themeColor="text1"/>
                <w:szCs w:val="16"/>
              </w:rPr>
            </w:pPr>
            <w:r w:rsidRPr="00781112">
              <w:rPr>
                <w:rFonts w:cs="Arial"/>
                <w:color w:val="000000" w:themeColor="text1"/>
                <w:szCs w:val="16"/>
              </w:rPr>
              <w:t>40.40%</w:t>
            </w:r>
          </w:p>
        </w:tc>
        <w:tc>
          <w:tcPr>
            <w:tcW w:w="751" w:type="pct"/>
            <w:vAlign w:val="center"/>
          </w:tcPr>
          <w:p w14:paraId="4E8A9772" w14:textId="32C9B38A" w:rsidR="001D508C" w:rsidRPr="00781112" w:rsidRDefault="001D508C" w:rsidP="00360DD6">
            <w:pPr>
              <w:jc w:val="center"/>
              <w:rPr>
                <w:color w:val="000000" w:themeColor="text1"/>
              </w:rPr>
            </w:pPr>
            <w:r w:rsidRPr="00781112">
              <w:rPr>
                <w:color w:val="000000" w:themeColor="text1"/>
              </w:rPr>
              <w:t>40.00%</w:t>
            </w:r>
          </w:p>
        </w:tc>
        <w:tc>
          <w:tcPr>
            <w:tcW w:w="750" w:type="pct"/>
            <w:vAlign w:val="center"/>
          </w:tcPr>
          <w:p w14:paraId="35E0DEA2" w14:textId="43DDFB6F" w:rsidR="001D508C" w:rsidRPr="00781112" w:rsidRDefault="001D508C" w:rsidP="00360DD6">
            <w:pPr>
              <w:jc w:val="center"/>
              <w:rPr>
                <w:color w:val="000000" w:themeColor="text1"/>
              </w:rPr>
            </w:pPr>
            <w:r w:rsidRPr="00781112">
              <w:rPr>
                <w:color w:val="000000" w:themeColor="text1"/>
              </w:rPr>
              <w:t>39.50%</w:t>
            </w:r>
          </w:p>
        </w:tc>
        <w:tc>
          <w:tcPr>
            <w:tcW w:w="750" w:type="pct"/>
            <w:vAlign w:val="center"/>
          </w:tcPr>
          <w:p w14:paraId="0EC9CE1D" w14:textId="479BE6FB" w:rsidR="001D508C" w:rsidRPr="00781112" w:rsidRDefault="001D508C" w:rsidP="00360DD6">
            <w:pPr>
              <w:jc w:val="center"/>
              <w:rPr>
                <w:color w:val="000000" w:themeColor="text1"/>
              </w:rPr>
            </w:pPr>
            <w:r w:rsidRPr="00781112">
              <w:rPr>
                <w:color w:val="000000" w:themeColor="text1"/>
              </w:rPr>
              <w:t>39.00%</w:t>
            </w:r>
          </w:p>
        </w:tc>
        <w:tc>
          <w:tcPr>
            <w:tcW w:w="751" w:type="pct"/>
            <w:vAlign w:val="center"/>
          </w:tcPr>
          <w:p w14:paraId="6EF4D92B" w14:textId="63E12444" w:rsidR="001D508C" w:rsidRPr="00781112" w:rsidRDefault="001D508C" w:rsidP="00360DD6">
            <w:pPr>
              <w:jc w:val="center"/>
              <w:rPr>
                <w:color w:val="000000" w:themeColor="text1"/>
              </w:rPr>
            </w:pPr>
            <w:r w:rsidRPr="00781112">
              <w:rPr>
                <w:color w:val="000000" w:themeColor="text1"/>
              </w:rPr>
              <w:t>38.50%</w:t>
            </w:r>
          </w:p>
        </w:tc>
      </w:tr>
      <w:tr w:rsidR="00C21BFD" w:rsidRPr="00781112" w14:paraId="17E83926" w14:textId="77777777" w:rsidTr="005F5FE9">
        <w:trPr>
          <w:trHeight w:val="303"/>
        </w:trPr>
        <w:tc>
          <w:tcPr>
            <w:tcW w:w="498" w:type="pct"/>
            <w:shd w:val="clear" w:color="auto" w:fill="auto"/>
            <w:vAlign w:val="center"/>
          </w:tcPr>
          <w:p w14:paraId="35F4AE60" w14:textId="07C79799" w:rsidR="00C21BFD" w:rsidRPr="00781112" w:rsidRDefault="00C21BFD" w:rsidP="00C21BFD">
            <w:pPr>
              <w:rPr>
                <w:rFonts w:cs="Arial"/>
                <w:color w:val="000000" w:themeColor="text1"/>
                <w:szCs w:val="16"/>
              </w:rPr>
            </w:pPr>
            <w:r w:rsidRPr="00781112">
              <w:rPr>
                <w:rFonts w:cs="Arial"/>
                <w:color w:val="000000" w:themeColor="text1"/>
                <w:szCs w:val="16"/>
              </w:rPr>
              <w:t xml:space="preserve">Target A2, age 4 &gt;= </w:t>
            </w:r>
          </w:p>
        </w:tc>
        <w:tc>
          <w:tcPr>
            <w:tcW w:w="750" w:type="pct"/>
            <w:shd w:val="clear" w:color="auto" w:fill="auto"/>
            <w:vAlign w:val="center"/>
          </w:tcPr>
          <w:p w14:paraId="06D259FE" w14:textId="61B699BB" w:rsidR="00C21BFD" w:rsidRPr="00781112" w:rsidRDefault="00C21BFD" w:rsidP="00C21BFD">
            <w:pPr>
              <w:jc w:val="center"/>
              <w:rPr>
                <w:rFonts w:cs="Arial"/>
                <w:color w:val="000000" w:themeColor="text1"/>
                <w:szCs w:val="16"/>
              </w:rPr>
            </w:pPr>
            <w:r w:rsidRPr="00781112">
              <w:rPr>
                <w:color w:val="000000" w:themeColor="text1"/>
              </w:rPr>
              <w:t>28.52%</w:t>
            </w:r>
          </w:p>
        </w:tc>
        <w:tc>
          <w:tcPr>
            <w:tcW w:w="750" w:type="pct"/>
            <w:vAlign w:val="center"/>
          </w:tcPr>
          <w:p w14:paraId="4ED312D4" w14:textId="38FA9B65" w:rsidR="00C21BFD" w:rsidRPr="00781112" w:rsidRDefault="00C21BFD" w:rsidP="00360DD6">
            <w:pPr>
              <w:jc w:val="center"/>
              <w:rPr>
                <w:rFonts w:cs="Arial"/>
                <w:color w:val="000000" w:themeColor="text1"/>
                <w:szCs w:val="16"/>
              </w:rPr>
            </w:pPr>
            <w:r w:rsidRPr="00781112">
              <w:rPr>
                <w:rFonts w:cs="Arial"/>
                <w:color w:val="000000" w:themeColor="text1"/>
                <w:szCs w:val="16"/>
              </w:rPr>
              <w:t>41.10%</w:t>
            </w:r>
          </w:p>
        </w:tc>
        <w:tc>
          <w:tcPr>
            <w:tcW w:w="751" w:type="pct"/>
            <w:vAlign w:val="center"/>
          </w:tcPr>
          <w:p w14:paraId="128639A4" w14:textId="00EF3D34" w:rsidR="00C21BFD" w:rsidRPr="00781112" w:rsidRDefault="00C21BFD" w:rsidP="00360DD6">
            <w:pPr>
              <w:jc w:val="center"/>
              <w:rPr>
                <w:color w:val="000000" w:themeColor="text1"/>
              </w:rPr>
            </w:pPr>
            <w:r w:rsidRPr="00781112">
              <w:rPr>
                <w:color w:val="000000" w:themeColor="text1"/>
              </w:rPr>
              <w:t>41.90%</w:t>
            </w:r>
          </w:p>
        </w:tc>
        <w:tc>
          <w:tcPr>
            <w:tcW w:w="750" w:type="pct"/>
            <w:vAlign w:val="center"/>
          </w:tcPr>
          <w:p w14:paraId="425E0E43" w14:textId="5C6E0F51" w:rsidR="00C21BFD" w:rsidRPr="00781112" w:rsidRDefault="00C21BFD" w:rsidP="00360DD6">
            <w:pPr>
              <w:jc w:val="center"/>
              <w:rPr>
                <w:color w:val="000000" w:themeColor="text1"/>
              </w:rPr>
            </w:pPr>
            <w:r w:rsidRPr="00781112">
              <w:rPr>
                <w:color w:val="000000" w:themeColor="text1"/>
              </w:rPr>
              <w:t>42.70%</w:t>
            </w:r>
          </w:p>
        </w:tc>
        <w:tc>
          <w:tcPr>
            <w:tcW w:w="750" w:type="pct"/>
            <w:vAlign w:val="center"/>
          </w:tcPr>
          <w:p w14:paraId="2D55F755" w14:textId="2F019DAF" w:rsidR="00C21BFD" w:rsidRPr="00781112" w:rsidRDefault="00C21BFD" w:rsidP="00360DD6">
            <w:pPr>
              <w:jc w:val="center"/>
              <w:rPr>
                <w:color w:val="000000" w:themeColor="text1"/>
              </w:rPr>
            </w:pPr>
            <w:r w:rsidRPr="00781112">
              <w:rPr>
                <w:color w:val="000000" w:themeColor="text1"/>
              </w:rPr>
              <w:t>43.50%</w:t>
            </w:r>
          </w:p>
        </w:tc>
        <w:tc>
          <w:tcPr>
            <w:tcW w:w="751" w:type="pct"/>
            <w:vAlign w:val="center"/>
          </w:tcPr>
          <w:p w14:paraId="55FE4D4C" w14:textId="0028AD60" w:rsidR="00C21BFD" w:rsidRPr="00781112" w:rsidRDefault="00C21BFD" w:rsidP="00360DD6">
            <w:pPr>
              <w:jc w:val="center"/>
              <w:rPr>
                <w:color w:val="000000" w:themeColor="text1"/>
              </w:rPr>
            </w:pPr>
            <w:r w:rsidRPr="00781112">
              <w:rPr>
                <w:color w:val="000000" w:themeColor="text1"/>
              </w:rPr>
              <w:t>44.40%</w:t>
            </w:r>
          </w:p>
        </w:tc>
      </w:tr>
      <w:tr w:rsidR="00C21BFD" w:rsidRPr="00781112" w14:paraId="30636B6A" w14:textId="77777777" w:rsidTr="005F5FE9">
        <w:trPr>
          <w:trHeight w:val="303"/>
        </w:trPr>
        <w:tc>
          <w:tcPr>
            <w:tcW w:w="498" w:type="pct"/>
            <w:shd w:val="clear" w:color="auto" w:fill="auto"/>
            <w:vAlign w:val="center"/>
          </w:tcPr>
          <w:p w14:paraId="42E526CB" w14:textId="288A1BDB" w:rsidR="00C21BFD" w:rsidRPr="00781112" w:rsidRDefault="00C21BFD" w:rsidP="00C21BFD">
            <w:pPr>
              <w:rPr>
                <w:rFonts w:cs="Arial"/>
                <w:color w:val="000000" w:themeColor="text1"/>
                <w:szCs w:val="16"/>
              </w:rPr>
            </w:pPr>
            <w:r w:rsidRPr="00781112">
              <w:rPr>
                <w:rFonts w:cs="Arial"/>
                <w:color w:val="000000" w:themeColor="text1"/>
                <w:szCs w:val="16"/>
              </w:rPr>
              <w:t>Target B2, age 4 &lt;=</w:t>
            </w:r>
          </w:p>
        </w:tc>
        <w:tc>
          <w:tcPr>
            <w:tcW w:w="750" w:type="pct"/>
            <w:shd w:val="clear" w:color="auto" w:fill="auto"/>
            <w:vAlign w:val="center"/>
          </w:tcPr>
          <w:p w14:paraId="6C0E183A" w14:textId="2F76768C" w:rsidR="00C21BFD" w:rsidRPr="00781112" w:rsidRDefault="00C21BFD" w:rsidP="00C21BFD">
            <w:pPr>
              <w:jc w:val="center"/>
              <w:rPr>
                <w:rFonts w:cs="Arial"/>
                <w:color w:val="000000" w:themeColor="text1"/>
                <w:szCs w:val="16"/>
              </w:rPr>
            </w:pPr>
            <w:r w:rsidRPr="00781112">
              <w:rPr>
                <w:rFonts w:cs="Arial"/>
                <w:color w:val="000000" w:themeColor="text1"/>
                <w:szCs w:val="16"/>
              </w:rPr>
              <w:t>50.72%</w:t>
            </w:r>
          </w:p>
        </w:tc>
        <w:tc>
          <w:tcPr>
            <w:tcW w:w="750" w:type="pct"/>
            <w:vAlign w:val="center"/>
          </w:tcPr>
          <w:p w14:paraId="73C46B25" w14:textId="3C330F6B" w:rsidR="00C21BFD" w:rsidRPr="00781112" w:rsidRDefault="00C21BFD" w:rsidP="00360DD6">
            <w:pPr>
              <w:jc w:val="center"/>
              <w:rPr>
                <w:rFonts w:cs="Arial"/>
                <w:color w:val="000000" w:themeColor="text1"/>
                <w:szCs w:val="16"/>
              </w:rPr>
            </w:pPr>
            <w:r w:rsidRPr="00781112">
              <w:rPr>
                <w:rFonts w:cs="Arial"/>
                <w:color w:val="000000" w:themeColor="text1"/>
                <w:szCs w:val="16"/>
              </w:rPr>
              <w:t>40.40%</w:t>
            </w:r>
          </w:p>
        </w:tc>
        <w:tc>
          <w:tcPr>
            <w:tcW w:w="751" w:type="pct"/>
            <w:vAlign w:val="center"/>
          </w:tcPr>
          <w:p w14:paraId="514F50DE" w14:textId="66532DAA" w:rsidR="00C21BFD" w:rsidRPr="00781112" w:rsidRDefault="00C21BFD" w:rsidP="00360DD6">
            <w:pPr>
              <w:jc w:val="center"/>
              <w:rPr>
                <w:color w:val="000000" w:themeColor="text1"/>
              </w:rPr>
            </w:pPr>
            <w:r w:rsidRPr="00781112">
              <w:rPr>
                <w:color w:val="000000" w:themeColor="text1"/>
              </w:rPr>
              <w:t>40.00%</w:t>
            </w:r>
          </w:p>
        </w:tc>
        <w:tc>
          <w:tcPr>
            <w:tcW w:w="750" w:type="pct"/>
            <w:vAlign w:val="center"/>
          </w:tcPr>
          <w:p w14:paraId="6ADE3A2D" w14:textId="7F390997" w:rsidR="00C21BFD" w:rsidRPr="00781112" w:rsidRDefault="00C21BFD" w:rsidP="00360DD6">
            <w:pPr>
              <w:jc w:val="center"/>
              <w:rPr>
                <w:color w:val="000000" w:themeColor="text1"/>
              </w:rPr>
            </w:pPr>
            <w:r w:rsidRPr="00781112">
              <w:rPr>
                <w:color w:val="000000" w:themeColor="text1"/>
              </w:rPr>
              <w:t>39.50%</w:t>
            </w:r>
          </w:p>
        </w:tc>
        <w:tc>
          <w:tcPr>
            <w:tcW w:w="750" w:type="pct"/>
            <w:vAlign w:val="center"/>
          </w:tcPr>
          <w:p w14:paraId="6A6AAEE8" w14:textId="75D27086" w:rsidR="00C21BFD" w:rsidRPr="00781112" w:rsidRDefault="00C21BFD" w:rsidP="00360DD6">
            <w:pPr>
              <w:jc w:val="center"/>
              <w:rPr>
                <w:color w:val="000000" w:themeColor="text1"/>
              </w:rPr>
            </w:pPr>
            <w:r w:rsidRPr="00781112">
              <w:rPr>
                <w:color w:val="000000" w:themeColor="text1"/>
              </w:rPr>
              <w:t>39.00%</w:t>
            </w:r>
          </w:p>
        </w:tc>
        <w:tc>
          <w:tcPr>
            <w:tcW w:w="751" w:type="pct"/>
            <w:vAlign w:val="center"/>
          </w:tcPr>
          <w:p w14:paraId="19C4DD1D" w14:textId="4B93E09D" w:rsidR="00C21BFD" w:rsidRPr="00781112" w:rsidRDefault="00C21BFD" w:rsidP="00360DD6">
            <w:pPr>
              <w:jc w:val="center"/>
              <w:rPr>
                <w:color w:val="000000" w:themeColor="text1"/>
              </w:rPr>
            </w:pPr>
            <w:r w:rsidRPr="00781112">
              <w:rPr>
                <w:color w:val="000000" w:themeColor="text1"/>
              </w:rPr>
              <w:t>38.50%</w:t>
            </w:r>
          </w:p>
        </w:tc>
      </w:tr>
      <w:tr w:rsidR="00C21BFD" w:rsidRPr="00781112" w14:paraId="7266D71C" w14:textId="77777777" w:rsidTr="005F5FE9">
        <w:trPr>
          <w:trHeight w:val="303"/>
        </w:trPr>
        <w:tc>
          <w:tcPr>
            <w:tcW w:w="498" w:type="pct"/>
            <w:shd w:val="clear" w:color="auto" w:fill="auto"/>
            <w:vAlign w:val="center"/>
          </w:tcPr>
          <w:p w14:paraId="15B65070" w14:textId="30A44DBE" w:rsidR="00C21BFD" w:rsidRPr="00781112" w:rsidRDefault="00C21BFD" w:rsidP="00C21BFD">
            <w:pPr>
              <w:rPr>
                <w:rFonts w:cs="Arial"/>
                <w:color w:val="000000" w:themeColor="text1"/>
                <w:szCs w:val="16"/>
              </w:rPr>
            </w:pPr>
            <w:r w:rsidRPr="00781112">
              <w:rPr>
                <w:rFonts w:cs="Arial"/>
                <w:color w:val="000000" w:themeColor="text1"/>
                <w:szCs w:val="16"/>
              </w:rPr>
              <w:t xml:space="preserve">Target A3, age 5 &gt;= </w:t>
            </w:r>
          </w:p>
        </w:tc>
        <w:tc>
          <w:tcPr>
            <w:tcW w:w="750" w:type="pct"/>
            <w:shd w:val="clear" w:color="auto" w:fill="auto"/>
            <w:vAlign w:val="center"/>
          </w:tcPr>
          <w:p w14:paraId="0E388B91" w14:textId="00CCC6CD" w:rsidR="00C21BFD" w:rsidRPr="00781112" w:rsidRDefault="00C21BFD" w:rsidP="00C21BFD">
            <w:pPr>
              <w:jc w:val="center"/>
              <w:rPr>
                <w:rFonts w:cs="Arial"/>
                <w:color w:val="000000" w:themeColor="text1"/>
                <w:szCs w:val="16"/>
              </w:rPr>
            </w:pPr>
            <w:r w:rsidRPr="00781112">
              <w:rPr>
                <w:color w:val="000000" w:themeColor="text1"/>
              </w:rPr>
              <w:t>35.54%</w:t>
            </w:r>
          </w:p>
        </w:tc>
        <w:tc>
          <w:tcPr>
            <w:tcW w:w="750" w:type="pct"/>
            <w:vAlign w:val="center"/>
          </w:tcPr>
          <w:p w14:paraId="2A4EF9F7" w14:textId="75670117" w:rsidR="00C21BFD" w:rsidRPr="00781112" w:rsidRDefault="00C21BFD" w:rsidP="00360DD6">
            <w:pPr>
              <w:jc w:val="center"/>
              <w:rPr>
                <w:rFonts w:cs="Arial"/>
                <w:color w:val="000000" w:themeColor="text1"/>
                <w:szCs w:val="16"/>
              </w:rPr>
            </w:pPr>
            <w:r w:rsidRPr="00781112">
              <w:rPr>
                <w:rFonts w:cs="Arial"/>
                <w:color w:val="000000" w:themeColor="text1"/>
                <w:szCs w:val="16"/>
              </w:rPr>
              <w:t>44.30%</w:t>
            </w:r>
          </w:p>
        </w:tc>
        <w:tc>
          <w:tcPr>
            <w:tcW w:w="751" w:type="pct"/>
            <w:vAlign w:val="center"/>
          </w:tcPr>
          <w:p w14:paraId="32D84CBA" w14:textId="571DAFDE" w:rsidR="00C21BFD" w:rsidRPr="00781112" w:rsidRDefault="00C21BFD" w:rsidP="00360DD6">
            <w:pPr>
              <w:jc w:val="center"/>
              <w:rPr>
                <w:color w:val="000000" w:themeColor="text1"/>
              </w:rPr>
            </w:pPr>
            <w:r w:rsidRPr="00781112">
              <w:rPr>
                <w:color w:val="000000" w:themeColor="text1"/>
              </w:rPr>
              <w:t>46.00%</w:t>
            </w:r>
          </w:p>
        </w:tc>
        <w:tc>
          <w:tcPr>
            <w:tcW w:w="750" w:type="pct"/>
            <w:vAlign w:val="center"/>
          </w:tcPr>
          <w:p w14:paraId="2F0446CD" w14:textId="37D5578E" w:rsidR="00C21BFD" w:rsidRPr="00781112" w:rsidRDefault="00C21BFD" w:rsidP="00360DD6">
            <w:pPr>
              <w:jc w:val="center"/>
              <w:rPr>
                <w:color w:val="000000" w:themeColor="text1"/>
              </w:rPr>
            </w:pPr>
            <w:r w:rsidRPr="00781112">
              <w:rPr>
                <w:color w:val="000000" w:themeColor="text1"/>
              </w:rPr>
              <w:t>47.90%</w:t>
            </w:r>
          </w:p>
        </w:tc>
        <w:tc>
          <w:tcPr>
            <w:tcW w:w="750" w:type="pct"/>
            <w:vAlign w:val="center"/>
          </w:tcPr>
          <w:p w14:paraId="521CE809" w14:textId="4429012E" w:rsidR="00C21BFD" w:rsidRPr="00781112" w:rsidRDefault="00C21BFD" w:rsidP="00360DD6">
            <w:pPr>
              <w:jc w:val="center"/>
              <w:rPr>
                <w:color w:val="000000" w:themeColor="text1"/>
              </w:rPr>
            </w:pPr>
            <w:r w:rsidRPr="00781112">
              <w:rPr>
                <w:color w:val="000000" w:themeColor="text1"/>
              </w:rPr>
              <w:t>49.80%</w:t>
            </w:r>
          </w:p>
        </w:tc>
        <w:tc>
          <w:tcPr>
            <w:tcW w:w="751" w:type="pct"/>
            <w:vAlign w:val="center"/>
          </w:tcPr>
          <w:p w14:paraId="39FE78A3" w14:textId="6925D9BF" w:rsidR="00C21BFD" w:rsidRPr="00781112" w:rsidRDefault="00C21BFD" w:rsidP="00360DD6">
            <w:pPr>
              <w:jc w:val="center"/>
              <w:rPr>
                <w:color w:val="000000" w:themeColor="text1"/>
              </w:rPr>
            </w:pPr>
            <w:r w:rsidRPr="00781112">
              <w:rPr>
                <w:color w:val="000000" w:themeColor="text1"/>
              </w:rPr>
              <w:t>51.80%</w:t>
            </w:r>
          </w:p>
        </w:tc>
      </w:tr>
      <w:tr w:rsidR="00C21BFD" w:rsidRPr="00781112" w14:paraId="1CBDF891" w14:textId="77777777" w:rsidTr="005F5FE9">
        <w:trPr>
          <w:trHeight w:val="303"/>
        </w:trPr>
        <w:tc>
          <w:tcPr>
            <w:tcW w:w="498" w:type="pct"/>
            <w:shd w:val="clear" w:color="auto" w:fill="auto"/>
            <w:vAlign w:val="center"/>
          </w:tcPr>
          <w:p w14:paraId="6E573B77" w14:textId="380593FD" w:rsidR="00C21BFD" w:rsidRPr="00781112" w:rsidRDefault="00C21BFD" w:rsidP="00C21BFD">
            <w:pPr>
              <w:rPr>
                <w:rFonts w:cs="Arial"/>
                <w:color w:val="000000" w:themeColor="text1"/>
                <w:szCs w:val="16"/>
              </w:rPr>
            </w:pPr>
            <w:r w:rsidRPr="00781112">
              <w:rPr>
                <w:rFonts w:cs="Arial"/>
                <w:color w:val="000000" w:themeColor="text1"/>
                <w:szCs w:val="16"/>
              </w:rPr>
              <w:t xml:space="preserve">Target B3, age 5 &lt;= </w:t>
            </w:r>
          </w:p>
        </w:tc>
        <w:tc>
          <w:tcPr>
            <w:tcW w:w="750" w:type="pct"/>
            <w:shd w:val="clear" w:color="auto" w:fill="auto"/>
            <w:vAlign w:val="center"/>
          </w:tcPr>
          <w:p w14:paraId="23912C75" w14:textId="09508A01" w:rsidR="00C21BFD" w:rsidRPr="00781112" w:rsidRDefault="00C21BFD" w:rsidP="00C21BFD">
            <w:pPr>
              <w:jc w:val="center"/>
              <w:rPr>
                <w:rFonts w:cs="Arial"/>
                <w:color w:val="000000" w:themeColor="text1"/>
                <w:szCs w:val="16"/>
              </w:rPr>
            </w:pPr>
            <w:r w:rsidRPr="00781112">
              <w:rPr>
                <w:rFonts w:cs="Arial"/>
                <w:color w:val="000000" w:themeColor="text1"/>
                <w:szCs w:val="16"/>
              </w:rPr>
              <w:t>41.81%</w:t>
            </w:r>
          </w:p>
        </w:tc>
        <w:tc>
          <w:tcPr>
            <w:tcW w:w="750" w:type="pct"/>
            <w:vAlign w:val="center"/>
          </w:tcPr>
          <w:p w14:paraId="13635175" w14:textId="11B0C9DA" w:rsidR="00C21BFD" w:rsidRPr="00781112" w:rsidRDefault="00C21BFD" w:rsidP="00360DD6">
            <w:pPr>
              <w:jc w:val="center"/>
              <w:rPr>
                <w:rFonts w:cs="Arial"/>
                <w:color w:val="000000" w:themeColor="text1"/>
                <w:szCs w:val="16"/>
              </w:rPr>
            </w:pPr>
            <w:r w:rsidRPr="00781112">
              <w:rPr>
                <w:rFonts w:cs="Arial"/>
                <w:color w:val="000000" w:themeColor="text1"/>
                <w:szCs w:val="16"/>
              </w:rPr>
              <w:t>38.90%</w:t>
            </w:r>
          </w:p>
        </w:tc>
        <w:tc>
          <w:tcPr>
            <w:tcW w:w="751" w:type="pct"/>
            <w:vAlign w:val="center"/>
          </w:tcPr>
          <w:p w14:paraId="6438BDE2" w14:textId="16C583C7" w:rsidR="00C21BFD" w:rsidRPr="00781112" w:rsidRDefault="00C21BFD" w:rsidP="00360DD6">
            <w:pPr>
              <w:jc w:val="center"/>
              <w:rPr>
                <w:color w:val="000000" w:themeColor="text1"/>
              </w:rPr>
            </w:pPr>
            <w:r w:rsidRPr="00781112">
              <w:rPr>
                <w:color w:val="000000" w:themeColor="text1"/>
              </w:rPr>
              <w:t>38.00%</w:t>
            </w:r>
          </w:p>
        </w:tc>
        <w:tc>
          <w:tcPr>
            <w:tcW w:w="750" w:type="pct"/>
            <w:vAlign w:val="center"/>
          </w:tcPr>
          <w:p w14:paraId="6FD972C5" w14:textId="3C391FCE" w:rsidR="00C21BFD" w:rsidRPr="00781112" w:rsidRDefault="00C21BFD" w:rsidP="00360DD6">
            <w:pPr>
              <w:jc w:val="center"/>
              <w:rPr>
                <w:color w:val="000000" w:themeColor="text1"/>
              </w:rPr>
            </w:pPr>
            <w:r w:rsidRPr="00781112">
              <w:rPr>
                <w:color w:val="000000" w:themeColor="text1"/>
              </w:rPr>
              <w:t>37.10%</w:t>
            </w:r>
          </w:p>
        </w:tc>
        <w:tc>
          <w:tcPr>
            <w:tcW w:w="750" w:type="pct"/>
            <w:vAlign w:val="center"/>
          </w:tcPr>
          <w:p w14:paraId="0414F072" w14:textId="0A858B02" w:rsidR="00C21BFD" w:rsidRPr="00781112" w:rsidRDefault="00C21BFD" w:rsidP="00360DD6">
            <w:pPr>
              <w:jc w:val="center"/>
              <w:rPr>
                <w:color w:val="000000" w:themeColor="text1"/>
              </w:rPr>
            </w:pPr>
            <w:r w:rsidRPr="00781112">
              <w:rPr>
                <w:color w:val="000000" w:themeColor="text1"/>
              </w:rPr>
              <w:t>36.20%</w:t>
            </w:r>
          </w:p>
        </w:tc>
        <w:tc>
          <w:tcPr>
            <w:tcW w:w="751" w:type="pct"/>
            <w:vAlign w:val="center"/>
          </w:tcPr>
          <w:p w14:paraId="32590913" w14:textId="6F0F9F7D" w:rsidR="00C21BFD" w:rsidRPr="00781112" w:rsidRDefault="00C21BFD" w:rsidP="00360DD6">
            <w:pPr>
              <w:jc w:val="center"/>
              <w:rPr>
                <w:color w:val="000000" w:themeColor="text1"/>
              </w:rPr>
            </w:pPr>
            <w:r w:rsidRPr="00781112">
              <w:rPr>
                <w:color w:val="000000" w:themeColor="text1"/>
              </w:rPr>
              <w:t>35.40%</w:t>
            </w:r>
          </w:p>
        </w:tc>
      </w:tr>
    </w:tbl>
    <w:p w14:paraId="5C5E2A63" w14:textId="5D25E8DA" w:rsidR="008C34A2" w:rsidRDefault="008C34A2" w:rsidP="001C2B29">
      <w:pPr>
        <w:pStyle w:val="Subhed"/>
        <w:rPr>
          <w:b w:val="0"/>
          <w:color w:val="000000" w:themeColor="text1"/>
        </w:rPr>
      </w:pPr>
    </w:p>
    <w:p w14:paraId="536D915A" w14:textId="77777777" w:rsidR="008C34A2" w:rsidRPr="001C443D" w:rsidRDefault="008C34A2" w:rsidP="001C443D">
      <w:pPr>
        <w:rPr>
          <w:b/>
          <w:bCs/>
        </w:rPr>
      </w:pPr>
      <w:r w:rsidRPr="001C443D">
        <w:rPr>
          <w:b/>
          <w:bCs/>
        </w:rPr>
        <w:t xml:space="preserve">Individual Targets (with Target Ranges) – 6C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DV"/>
      </w:tblPr>
      <w:tblGrid>
        <w:gridCol w:w="1081"/>
        <w:gridCol w:w="809"/>
        <w:gridCol w:w="809"/>
        <w:gridCol w:w="809"/>
        <w:gridCol w:w="809"/>
        <w:gridCol w:w="808"/>
        <w:gridCol w:w="808"/>
        <w:gridCol w:w="808"/>
        <w:gridCol w:w="808"/>
        <w:gridCol w:w="808"/>
        <w:gridCol w:w="808"/>
        <w:gridCol w:w="808"/>
        <w:gridCol w:w="806"/>
      </w:tblGrid>
      <w:tr w:rsidR="008C34A2" w:rsidRPr="00781112" w14:paraId="3A5AE71A" w14:textId="77777777" w:rsidTr="008C34A2">
        <w:trPr>
          <w:trHeight w:val="365"/>
          <w:tblHeader/>
        </w:trPr>
        <w:tc>
          <w:tcPr>
            <w:tcW w:w="501" w:type="pct"/>
            <w:tcBorders>
              <w:bottom w:val="single" w:sz="4" w:space="0" w:color="auto"/>
            </w:tcBorders>
            <w:shd w:val="clear" w:color="auto" w:fill="auto"/>
          </w:tcPr>
          <w:p w14:paraId="2D6E05A2" w14:textId="77777777" w:rsidR="008C34A2" w:rsidRPr="00781112" w:rsidRDefault="008C34A2" w:rsidP="00DF5DC9">
            <w:pPr>
              <w:jc w:val="center"/>
              <w:rPr>
                <w:b/>
                <w:color w:val="000000" w:themeColor="text1"/>
              </w:rPr>
            </w:pPr>
            <w:r w:rsidRPr="00781112">
              <w:rPr>
                <w:b/>
                <w:color w:val="000000" w:themeColor="text1"/>
              </w:rPr>
              <w:t>FFY</w:t>
            </w:r>
          </w:p>
        </w:tc>
        <w:tc>
          <w:tcPr>
            <w:tcW w:w="375" w:type="pct"/>
            <w:shd w:val="clear" w:color="auto" w:fill="auto"/>
            <w:vAlign w:val="center"/>
          </w:tcPr>
          <w:p w14:paraId="70DAECD1" w14:textId="77777777" w:rsidR="008C34A2" w:rsidRPr="00781112" w:rsidRDefault="008C34A2" w:rsidP="00DF5DC9">
            <w:pPr>
              <w:jc w:val="center"/>
              <w:rPr>
                <w:b/>
                <w:color w:val="000000" w:themeColor="text1"/>
              </w:rPr>
            </w:pPr>
            <w:r w:rsidRPr="00781112">
              <w:rPr>
                <w:b/>
                <w:color w:val="000000" w:themeColor="text1"/>
              </w:rPr>
              <w:t>2020 (low)</w:t>
            </w:r>
          </w:p>
        </w:tc>
        <w:tc>
          <w:tcPr>
            <w:tcW w:w="375" w:type="pct"/>
            <w:shd w:val="clear" w:color="auto" w:fill="auto"/>
            <w:vAlign w:val="center"/>
          </w:tcPr>
          <w:p w14:paraId="19BC0D62" w14:textId="77777777" w:rsidR="008C34A2" w:rsidRPr="00781112" w:rsidRDefault="008C34A2" w:rsidP="00DF5DC9">
            <w:pPr>
              <w:jc w:val="center"/>
              <w:rPr>
                <w:b/>
                <w:color w:val="000000" w:themeColor="text1"/>
              </w:rPr>
            </w:pPr>
            <w:r w:rsidRPr="00781112">
              <w:rPr>
                <w:b/>
                <w:color w:val="000000" w:themeColor="text1"/>
              </w:rPr>
              <w:t>2020 (high)</w:t>
            </w:r>
          </w:p>
        </w:tc>
        <w:tc>
          <w:tcPr>
            <w:tcW w:w="375" w:type="pct"/>
            <w:vAlign w:val="center"/>
          </w:tcPr>
          <w:p w14:paraId="5E5A1B07" w14:textId="77777777" w:rsidR="008C34A2" w:rsidRPr="00781112" w:rsidRDefault="008C34A2" w:rsidP="00DF5DC9">
            <w:pPr>
              <w:jc w:val="center"/>
              <w:rPr>
                <w:b/>
                <w:color w:val="000000" w:themeColor="text1"/>
              </w:rPr>
            </w:pPr>
            <w:r w:rsidRPr="00781112">
              <w:rPr>
                <w:b/>
                <w:color w:val="000000" w:themeColor="text1"/>
              </w:rPr>
              <w:t>2021 (low)</w:t>
            </w:r>
          </w:p>
        </w:tc>
        <w:tc>
          <w:tcPr>
            <w:tcW w:w="375" w:type="pct"/>
            <w:vAlign w:val="center"/>
          </w:tcPr>
          <w:p w14:paraId="41CBBEC0" w14:textId="77777777" w:rsidR="008C34A2" w:rsidRPr="00781112" w:rsidRDefault="008C34A2" w:rsidP="00DF5DC9">
            <w:pPr>
              <w:jc w:val="center"/>
              <w:rPr>
                <w:b/>
                <w:color w:val="000000" w:themeColor="text1"/>
              </w:rPr>
            </w:pPr>
            <w:r w:rsidRPr="00781112">
              <w:rPr>
                <w:b/>
                <w:color w:val="000000" w:themeColor="text1"/>
              </w:rPr>
              <w:t>2021 (high)</w:t>
            </w:r>
          </w:p>
        </w:tc>
        <w:tc>
          <w:tcPr>
            <w:tcW w:w="375" w:type="pct"/>
            <w:vAlign w:val="center"/>
          </w:tcPr>
          <w:p w14:paraId="4061921C" w14:textId="77777777" w:rsidR="008C34A2" w:rsidRPr="00781112" w:rsidRDefault="008C34A2" w:rsidP="00DF5DC9">
            <w:pPr>
              <w:jc w:val="center"/>
              <w:rPr>
                <w:b/>
                <w:color w:val="000000" w:themeColor="text1"/>
              </w:rPr>
            </w:pPr>
            <w:r w:rsidRPr="00781112">
              <w:rPr>
                <w:b/>
                <w:color w:val="000000" w:themeColor="text1"/>
              </w:rPr>
              <w:t>2022 (low)</w:t>
            </w:r>
          </w:p>
        </w:tc>
        <w:tc>
          <w:tcPr>
            <w:tcW w:w="375" w:type="pct"/>
            <w:vAlign w:val="center"/>
          </w:tcPr>
          <w:p w14:paraId="7A2F0526" w14:textId="77777777" w:rsidR="008C34A2" w:rsidRPr="00781112" w:rsidRDefault="008C34A2" w:rsidP="00DF5DC9">
            <w:pPr>
              <w:jc w:val="center"/>
              <w:rPr>
                <w:b/>
                <w:color w:val="000000" w:themeColor="text1"/>
              </w:rPr>
            </w:pPr>
            <w:r w:rsidRPr="00781112">
              <w:rPr>
                <w:b/>
                <w:color w:val="000000" w:themeColor="text1"/>
              </w:rPr>
              <w:t>2022 (high)</w:t>
            </w:r>
          </w:p>
        </w:tc>
        <w:tc>
          <w:tcPr>
            <w:tcW w:w="375" w:type="pct"/>
            <w:vAlign w:val="center"/>
          </w:tcPr>
          <w:p w14:paraId="78E57FDB" w14:textId="77777777" w:rsidR="008C34A2" w:rsidRPr="00781112" w:rsidRDefault="008C34A2" w:rsidP="00DF5DC9">
            <w:pPr>
              <w:jc w:val="center"/>
              <w:rPr>
                <w:b/>
                <w:color w:val="000000" w:themeColor="text1"/>
              </w:rPr>
            </w:pPr>
            <w:r w:rsidRPr="00781112">
              <w:rPr>
                <w:b/>
                <w:color w:val="000000" w:themeColor="text1"/>
              </w:rPr>
              <w:t>2023 (low)</w:t>
            </w:r>
          </w:p>
        </w:tc>
        <w:tc>
          <w:tcPr>
            <w:tcW w:w="375" w:type="pct"/>
            <w:vAlign w:val="center"/>
          </w:tcPr>
          <w:p w14:paraId="1766FAE8" w14:textId="77777777" w:rsidR="008C34A2" w:rsidRPr="00781112" w:rsidRDefault="008C34A2" w:rsidP="00DF5DC9">
            <w:pPr>
              <w:jc w:val="center"/>
              <w:rPr>
                <w:b/>
                <w:color w:val="000000" w:themeColor="text1"/>
              </w:rPr>
            </w:pPr>
            <w:r w:rsidRPr="00781112">
              <w:rPr>
                <w:b/>
                <w:color w:val="000000" w:themeColor="text1"/>
              </w:rPr>
              <w:t>2023 (high)</w:t>
            </w:r>
          </w:p>
        </w:tc>
        <w:tc>
          <w:tcPr>
            <w:tcW w:w="375" w:type="pct"/>
            <w:vAlign w:val="center"/>
          </w:tcPr>
          <w:p w14:paraId="64B463FB" w14:textId="77777777" w:rsidR="008C34A2" w:rsidRPr="00781112" w:rsidRDefault="008C34A2" w:rsidP="00DF5DC9">
            <w:pPr>
              <w:jc w:val="center"/>
              <w:rPr>
                <w:b/>
                <w:color w:val="000000" w:themeColor="text1"/>
              </w:rPr>
            </w:pPr>
            <w:r w:rsidRPr="00781112">
              <w:rPr>
                <w:b/>
                <w:color w:val="000000" w:themeColor="text1"/>
              </w:rPr>
              <w:t>2024 (low)</w:t>
            </w:r>
          </w:p>
        </w:tc>
        <w:tc>
          <w:tcPr>
            <w:tcW w:w="375" w:type="pct"/>
            <w:vAlign w:val="center"/>
          </w:tcPr>
          <w:p w14:paraId="776C7BE2" w14:textId="77777777" w:rsidR="008C34A2" w:rsidRPr="00781112" w:rsidRDefault="008C34A2" w:rsidP="00DF5DC9">
            <w:pPr>
              <w:jc w:val="center"/>
              <w:rPr>
                <w:b/>
                <w:color w:val="000000" w:themeColor="text1"/>
              </w:rPr>
            </w:pPr>
            <w:r w:rsidRPr="00781112">
              <w:rPr>
                <w:b/>
                <w:color w:val="000000" w:themeColor="text1"/>
              </w:rPr>
              <w:t>2024 (high)</w:t>
            </w:r>
          </w:p>
        </w:tc>
        <w:tc>
          <w:tcPr>
            <w:tcW w:w="375" w:type="pct"/>
            <w:vAlign w:val="center"/>
          </w:tcPr>
          <w:p w14:paraId="17D975EE" w14:textId="77777777" w:rsidR="008C34A2" w:rsidRPr="00781112" w:rsidRDefault="008C34A2" w:rsidP="00DF5DC9">
            <w:pPr>
              <w:jc w:val="center"/>
              <w:rPr>
                <w:b/>
                <w:color w:val="000000" w:themeColor="text1"/>
              </w:rPr>
            </w:pPr>
            <w:r w:rsidRPr="00781112">
              <w:rPr>
                <w:b/>
                <w:color w:val="000000" w:themeColor="text1"/>
              </w:rPr>
              <w:t>2025 (low)</w:t>
            </w:r>
          </w:p>
        </w:tc>
        <w:tc>
          <w:tcPr>
            <w:tcW w:w="374" w:type="pct"/>
            <w:vAlign w:val="center"/>
          </w:tcPr>
          <w:p w14:paraId="0C8DE370" w14:textId="77777777" w:rsidR="008C34A2" w:rsidRPr="00781112" w:rsidRDefault="008C34A2" w:rsidP="00DF5DC9">
            <w:pPr>
              <w:jc w:val="center"/>
              <w:rPr>
                <w:b/>
                <w:color w:val="000000" w:themeColor="text1"/>
              </w:rPr>
            </w:pPr>
            <w:r w:rsidRPr="00781112">
              <w:rPr>
                <w:b/>
                <w:color w:val="000000" w:themeColor="text1"/>
              </w:rPr>
              <w:t>2025 (high)</w:t>
            </w:r>
          </w:p>
        </w:tc>
      </w:tr>
      <w:tr w:rsidR="008C34A2" w:rsidRPr="00781112" w14:paraId="72AF85EE" w14:textId="77777777" w:rsidTr="008C34A2">
        <w:trPr>
          <w:trHeight w:val="372"/>
        </w:trPr>
        <w:tc>
          <w:tcPr>
            <w:tcW w:w="501" w:type="pct"/>
            <w:shd w:val="clear" w:color="auto" w:fill="auto"/>
            <w:vAlign w:val="center"/>
          </w:tcPr>
          <w:p w14:paraId="4C6098C0" w14:textId="77777777" w:rsidR="008C34A2" w:rsidRPr="00781112" w:rsidRDefault="008C34A2" w:rsidP="00DF5DC9">
            <w:pPr>
              <w:rPr>
                <w:rFonts w:cs="Arial"/>
                <w:color w:val="000000" w:themeColor="text1"/>
                <w:szCs w:val="16"/>
              </w:rPr>
            </w:pPr>
            <w:r w:rsidRPr="00781112">
              <w:t>Target C1, age 3 &lt;=</w:t>
            </w:r>
          </w:p>
        </w:tc>
        <w:tc>
          <w:tcPr>
            <w:tcW w:w="375" w:type="pct"/>
            <w:shd w:val="clear" w:color="auto" w:fill="auto"/>
            <w:vAlign w:val="center"/>
          </w:tcPr>
          <w:p w14:paraId="30D0E27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shd w:val="clear" w:color="auto" w:fill="auto"/>
            <w:vAlign w:val="center"/>
          </w:tcPr>
          <w:p w14:paraId="588C5AC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c>
          <w:tcPr>
            <w:tcW w:w="375" w:type="pct"/>
            <w:vAlign w:val="center"/>
          </w:tcPr>
          <w:p w14:paraId="1B834795"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165DD6F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c>
          <w:tcPr>
            <w:tcW w:w="375" w:type="pct"/>
          </w:tcPr>
          <w:p w14:paraId="290C0E7B"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4E94553B"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c>
          <w:tcPr>
            <w:tcW w:w="375" w:type="pct"/>
          </w:tcPr>
          <w:p w14:paraId="2B969C6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4BFA67A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c>
          <w:tcPr>
            <w:tcW w:w="375" w:type="pct"/>
          </w:tcPr>
          <w:p w14:paraId="6066EB13"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67551257"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c>
          <w:tcPr>
            <w:tcW w:w="375" w:type="pct"/>
          </w:tcPr>
          <w:p w14:paraId="45AD76A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4" w:type="pct"/>
          </w:tcPr>
          <w:p w14:paraId="2AAE102E"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1.80%</w:t>
            </w:r>
          </w:p>
        </w:tc>
      </w:tr>
      <w:tr w:rsidR="008C34A2" w:rsidRPr="00781112" w14:paraId="14A79498" w14:textId="77777777" w:rsidTr="008C34A2">
        <w:trPr>
          <w:trHeight w:val="372"/>
        </w:trPr>
        <w:tc>
          <w:tcPr>
            <w:tcW w:w="501" w:type="pct"/>
            <w:shd w:val="clear" w:color="auto" w:fill="auto"/>
            <w:vAlign w:val="center"/>
          </w:tcPr>
          <w:p w14:paraId="52B1F7C4" w14:textId="77777777" w:rsidR="008C34A2" w:rsidRPr="00781112" w:rsidRDefault="008C34A2" w:rsidP="00DF5DC9">
            <w:pPr>
              <w:rPr>
                <w:rFonts w:cs="Arial"/>
                <w:color w:val="000000" w:themeColor="text1"/>
                <w:szCs w:val="16"/>
              </w:rPr>
            </w:pPr>
            <w:r w:rsidRPr="00781112">
              <w:t>Target C2, age 4 &lt;=</w:t>
            </w:r>
          </w:p>
        </w:tc>
        <w:tc>
          <w:tcPr>
            <w:tcW w:w="375" w:type="pct"/>
            <w:shd w:val="clear" w:color="auto" w:fill="auto"/>
            <w:vAlign w:val="center"/>
          </w:tcPr>
          <w:p w14:paraId="107B013C"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shd w:val="clear" w:color="auto" w:fill="auto"/>
            <w:vAlign w:val="center"/>
          </w:tcPr>
          <w:p w14:paraId="59EB04E8"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c>
          <w:tcPr>
            <w:tcW w:w="375" w:type="pct"/>
            <w:vAlign w:val="center"/>
          </w:tcPr>
          <w:p w14:paraId="28281545"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24C4BB81"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c>
          <w:tcPr>
            <w:tcW w:w="375" w:type="pct"/>
          </w:tcPr>
          <w:p w14:paraId="2A5A09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5B2FF6B8"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c>
          <w:tcPr>
            <w:tcW w:w="375" w:type="pct"/>
          </w:tcPr>
          <w:p w14:paraId="5A18E881"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089C79C7"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c>
          <w:tcPr>
            <w:tcW w:w="375" w:type="pct"/>
          </w:tcPr>
          <w:p w14:paraId="75F883C2"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59E399B8"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c>
          <w:tcPr>
            <w:tcW w:w="375" w:type="pct"/>
          </w:tcPr>
          <w:p w14:paraId="0B8D0595"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4" w:type="pct"/>
          </w:tcPr>
          <w:p w14:paraId="3C1BE18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0.80%</w:t>
            </w:r>
          </w:p>
        </w:tc>
      </w:tr>
      <w:tr w:rsidR="008C34A2" w:rsidRPr="00781112" w14:paraId="254E611B" w14:textId="77777777" w:rsidTr="008C34A2">
        <w:trPr>
          <w:trHeight w:val="372"/>
        </w:trPr>
        <w:tc>
          <w:tcPr>
            <w:tcW w:w="501" w:type="pct"/>
            <w:shd w:val="clear" w:color="auto" w:fill="auto"/>
            <w:vAlign w:val="center"/>
          </w:tcPr>
          <w:p w14:paraId="7BFC468F" w14:textId="77777777" w:rsidR="008C34A2" w:rsidRPr="00781112" w:rsidRDefault="008C34A2" w:rsidP="00DF5DC9">
            <w:pPr>
              <w:rPr>
                <w:rFonts w:cs="Arial"/>
                <w:color w:val="000000" w:themeColor="text1"/>
                <w:szCs w:val="16"/>
              </w:rPr>
            </w:pPr>
            <w:r w:rsidRPr="00781112">
              <w:t>Target C3, age 5 &lt;=</w:t>
            </w:r>
          </w:p>
        </w:tc>
        <w:tc>
          <w:tcPr>
            <w:tcW w:w="375" w:type="pct"/>
            <w:shd w:val="clear" w:color="auto" w:fill="auto"/>
            <w:vAlign w:val="center"/>
          </w:tcPr>
          <w:p w14:paraId="182BD6C2"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shd w:val="clear" w:color="auto" w:fill="auto"/>
            <w:vAlign w:val="center"/>
          </w:tcPr>
          <w:p w14:paraId="64DA9F3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c>
          <w:tcPr>
            <w:tcW w:w="375" w:type="pct"/>
            <w:vAlign w:val="center"/>
          </w:tcPr>
          <w:p w14:paraId="321B4A3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5BFBDBA7"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c>
          <w:tcPr>
            <w:tcW w:w="375" w:type="pct"/>
          </w:tcPr>
          <w:p w14:paraId="6826792C"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27036F38"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c>
          <w:tcPr>
            <w:tcW w:w="375" w:type="pct"/>
          </w:tcPr>
          <w:p w14:paraId="49CE6FD7"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0FA5634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c>
          <w:tcPr>
            <w:tcW w:w="375" w:type="pct"/>
          </w:tcPr>
          <w:p w14:paraId="56DF2C6E"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5" w:type="pct"/>
          </w:tcPr>
          <w:p w14:paraId="4AB85F4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c>
          <w:tcPr>
            <w:tcW w:w="375" w:type="pct"/>
          </w:tcPr>
          <w:p w14:paraId="1E2C5FDE"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c>
          <w:tcPr>
            <w:tcW w:w="374" w:type="pct"/>
          </w:tcPr>
          <w:p w14:paraId="27669427"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0.60%</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752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1,045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287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2,084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202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298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102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602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380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492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985</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81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2CCC21FA" w14:textId="35253F5A" w:rsidR="00A73454" w:rsidRPr="00995441" w:rsidRDefault="00A73454" w:rsidP="004369B2">
      <w:pPr>
        <w:rPr>
          <w:b/>
          <w:color w:val="000000" w:themeColor="text1"/>
        </w:rPr>
      </w:pPr>
    </w:p>
    <w:p w14:paraId="70FC3DCD" w14:textId="323F6D85" w:rsidR="00CF24A4" w:rsidRDefault="00995441" w:rsidP="00995441">
      <w:pPr>
        <w:pStyle w:val="Subhed"/>
        <w:rPr>
          <w:b w:val="0"/>
          <w:color w:val="000000" w:themeColor="text1"/>
        </w:rPr>
      </w:pPr>
      <w:r w:rsidRPr="00781112">
        <w:t>FFY 2020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1B1AGE3CFFYAPRDATARNG618"/>
      </w:tblPr>
      <w:tblGrid>
        <w:gridCol w:w="2964"/>
        <w:gridCol w:w="1118"/>
        <w:gridCol w:w="1118"/>
        <w:gridCol w:w="1118"/>
        <w:gridCol w:w="1118"/>
        <w:gridCol w:w="1118"/>
        <w:gridCol w:w="1118"/>
        <w:gridCol w:w="1118"/>
      </w:tblGrid>
      <w:tr w:rsidR="009B6143" w:rsidRPr="00781112" w14:paraId="12E7EF39" w14:textId="77777777" w:rsidTr="00DF5DC9">
        <w:trPr>
          <w:trHeight w:val="354"/>
          <w:tblHeader/>
        </w:trPr>
        <w:tc>
          <w:tcPr>
            <w:tcW w:w="1373" w:type="pct"/>
            <w:shd w:val="clear" w:color="auto" w:fill="auto"/>
            <w:vAlign w:val="bottom"/>
          </w:tcPr>
          <w:p w14:paraId="6CAD283A"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49ED22F2"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29626AB8"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3FA4CF4A"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30B1176F"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14DCD717"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7734580E"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2E2314F6" w14:textId="77777777" w:rsidR="009B6143" w:rsidRPr="00781112" w:rsidRDefault="009B6143" w:rsidP="00DF5DC9">
            <w:pPr>
              <w:jc w:val="center"/>
              <w:rPr>
                <w:rFonts w:cs="Arial"/>
                <w:b/>
                <w:color w:val="000000" w:themeColor="text1"/>
                <w:szCs w:val="16"/>
              </w:rPr>
            </w:pPr>
            <w:r w:rsidRPr="00781112">
              <w:rPr>
                <w:rFonts w:cs="Arial"/>
                <w:b/>
                <w:color w:val="000000" w:themeColor="text1"/>
                <w:szCs w:val="16"/>
              </w:rPr>
              <w:t>Slippage</w:t>
            </w:r>
          </w:p>
        </w:tc>
      </w:tr>
      <w:tr w:rsidR="009B6143" w:rsidRPr="00781112" w14:paraId="5B9D0197" w14:textId="77777777" w:rsidTr="00DF5DC9">
        <w:trPr>
          <w:trHeight w:val="917"/>
        </w:trPr>
        <w:tc>
          <w:tcPr>
            <w:tcW w:w="1373" w:type="pct"/>
            <w:shd w:val="clear" w:color="auto" w:fill="auto"/>
            <w:vAlign w:val="center"/>
          </w:tcPr>
          <w:p w14:paraId="66D1069E" w14:textId="77777777" w:rsidR="009B6143" w:rsidRPr="00781112" w:rsidRDefault="009B6143" w:rsidP="00DF5DC9">
            <w:pPr>
              <w:rPr>
                <w:rFonts w:cs="Arial"/>
                <w:color w:val="000000" w:themeColor="text1"/>
                <w:szCs w:val="16"/>
              </w:rPr>
            </w:pPr>
            <w:r w:rsidRPr="00781112">
              <w:rPr>
                <w:rFonts w:cs="Arial"/>
                <w:color w:val="000000" w:themeColor="text1"/>
                <w:szCs w:val="16"/>
                <w:shd w:val="clear" w:color="auto" w:fill="FFFFFF"/>
              </w:rPr>
              <w:t>A1. A regular early childhood program and receiving the majority of special education and related services in the regular early childhood program</w:t>
            </w:r>
          </w:p>
        </w:tc>
        <w:tc>
          <w:tcPr>
            <w:tcW w:w="518" w:type="pct"/>
            <w:shd w:val="clear" w:color="auto" w:fill="auto"/>
            <w:vAlign w:val="center"/>
          </w:tcPr>
          <w:p w14:paraId="7BF7BBFA"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202</w:t>
            </w:r>
          </w:p>
          <w:p w14:paraId="69F36B31" w14:textId="77777777" w:rsidR="009B6143" w:rsidRPr="00781112" w:rsidRDefault="009B6143" w:rsidP="00DF5DC9">
            <w:pPr>
              <w:jc w:val="center"/>
              <w:rPr>
                <w:rFonts w:cs="Arial"/>
                <w:color w:val="000000" w:themeColor="text1"/>
                <w:szCs w:val="16"/>
              </w:rPr>
            </w:pPr>
          </w:p>
        </w:tc>
        <w:tc>
          <w:tcPr>
            <w:tcW w:w="518" w:type="pct"/>
            <w:shd w:val="clear" w:color="auto" w:fill="auto"/>
            <w:vAlign w:val="center"/>
          </w:tcPr>
          <w:p w14:paraId="3A641CEE"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752</w:t>
            </w:r>
          </w:p>
        </w:tc>
        <w:tc>
          <w:tcPr>
            <w:tcW w:w="518" w:type="pct"/>
            <w:shd w:val="clear" w:color="auto" w:fill="auto"/>
            <w:vAlign w:val="center"/>
          </w:tcPr>
          <w:p w14:paraId="2DB6A00B" w14:textId="77777777" w:rsidR="009B6143" w:rsidRPr="00781112" w:rsidRDefault="009B6143" w:rsidP="00DF5DC9">
            <w:pPr>
              <w:jc w:val="center"/>
              <w:rPr>
                <w:rFonts w:cs="Arial"/>
                <w:color w:val="000000" w:themeColor="text1"/>
                <w:szCs w:val="16"/>
              </w:rPr>
            </w:pPr>
          </w:p>
        </w:tc>
        <w:tc>
          <w:tcPr>
            <w:tcW w:w="518" w:type="pct"/>
            <w:shd w:val="clear" w:color="auto" w:fill="auto"/>
            <w:vAlign w:val="center"/>
          </w:tcPr>
          <w:p w14:paraId="522687B5"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26.86%</w:t>
            </w:r>
          </w:p>
        </w:tc>
        <w:tc>
          <w:tcPr>
            <w:tcW w:w="518" w:type="pct"/>
            <w:shd w:val="clear" w:color="auto" w:fill="auto"/>
            <w:vAlign w:val="center"/>
          </w:tcPr>
          <w:p w14:paraId="2B31100F"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26.86%</w:t>
            </w:r>
          </w:p>
        </w:tc>
        <w:tc>
          <w:tcPr>
            <w:tcW w:w="518" w:type="pct"/>
            <w:shd w:val="clear" w:color="auto" w:fill="auto"/>
            <w:vAlign w:val="center"/>
          </w:tcPr>
          <w:p w14:paraId="1441D91B"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3D32A97D"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N/A</w:t>
            </w:r>
          </w:p>
        </w:tc>
      </w:tr>
      <w:tr w:rsidR="009B6143" w:rsidRPr="00781112" w14:paraId="093ECC98" w14:textId="77777777" w:rsidTr="00DF5DC9">
        <w:trPr>
          <w:trHeight w:val="361"/>
        </w:trPr>
        <w:tc>
          <w:tcPr>
            <w:tcW w:w="1373" w:type="pct"/>
            <w:shd w:val="clear" w:color="auto" w:fill="auto"/>
            <w:vAlign w:val="center"/>
          </w:tcPr>
          <w:p w14:paraId="3152EE40" w14:textId="77777777" w:rsidR="009B6143" w:rsidRPr="00781112" w:rsidRDefault="009B6143" w:rsidP="00DF5DC9">
            <w:pPr>
              <w:rPr>
                <w:rFonts w:cs="Arial"/>
                <w:color w:val="000000" w:themeColor="text1"/>
                <w:szCs w:val="16"/>
              </w:rPr>
            </w:pPr>
            <w:r w:rsidRPr="00781112">
              <w:rPr>
                <w:rFonts w:cs="Arial"/>
                <w:color w:val="000000" w:themeColor="text1"/>
                <w:szCs w:val="16"/>
                <w:shd w:val="clear" w:color="auto" w:fill="FFFFFF"/>
              </w:rPr>
              <w:lastRenderedPageBreak/>
              <w:t>B1. Separate special education class, separate school or residential facility</w:t>
            </w:r>
          </w:p>
        </w:tc>
        <w:tc>
          <w:tcPr>
            <w:tcW w:w="518" w:type="pct"/>
            <w:shd w:val="clear" w:color="auto" w:fill="auto"/>
            <w:vAlign w:val="center"/>
          </w:tcPr>
          <w:p w14:paraId="558AD268"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416</w:t>
            </w:r>
          </w:p>
        </w:tc>
        <w:tc>
          <w:tcPr>
            <w:tcW w:w="518" w:type="pct"/>
            <w:shd w:val="clear" w:color="auto" w:fill="auto"/>
            <w:vAlign w:val="center"/>
          </w:tcPr>
          <w:p w14:paraId="49B6D2B9"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752</w:t>
            </w:r>
          </w:p>
        </w:tc>
        <w:tc>
          <w:tcPr>
            <w:tcW w:w="518" w:type="pct"/>
            <w:shd w:val="clear" w:color="auto" w:fill="auto"/>
            <w:vAlign w:val="center"/>
          </w:tcPr>
          <w:p w14:paraId="05BECF1D" w14:textId="77777777" w:rsidR="009B6143" w:rsidRPr="00781112" w:rsidRDefault="009B6143" w:rsidP="00DF5DC9">
            <w:pPr>
              <w:jc w:val="center"/>
              <w:rPr>
                <w:rFonts w:cs="Arial"/>
                <w:color w:val="000000" w:themeColor="text1"/>
                <w:szCs w:val="16"/>
              </w:rPr>
            </w:pPr>
          </w:p>
        </w:tc>
        <w:tc>
          <w:tcPr>
            <w:tcW w:w="518" w:type="pct"/>
            <w:shd w:val="clear" w:color="auto" w:fill="auto"/>
            <w:vAlign w:val="center"/>
          </w:tcPr>
          <w:p w14:paraId="041C3F17"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55.32%</w:t>
            </w:r>
          </w:p>
        </w:tc>
        <w:tc>
          <w:tcPr>
            <w:tcW w:w="518" w:type="pct"/>
            <w:shd w:val="clear" w:color="auto" w:fill="auto"/>
            <w:vAlign w:val="center"/>
          </w:tcPr>
          <w:p w14:paraId="4AAD07A2"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55.32%</w:t>
            </w:r>
          </w:p>
        </w:tc>
        <w:tc>
          <w:tcPr>
            <w:tcW w:w="518" w:type="pct"/>
            <w:shd w:val="clear" w:color="auto" w:fill="auto"/>
            <w:vAlign w:val="center"/>
          </w:tcPr>
          <w:p w14:paraId="6B0AA71E"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12BA1EDD" w14:textId="77777777" w:rsidR="009B6143" w:rsidRPr="00781112" w:rsidRDefault="009B6143" w:rsidP="00DF5DC9">
            <w:pPr>
              <w:jc w:val="center"/>
              <w:rPr>
                <w:rFonts w:cs="Arial"/>
                <w:color w:val="000000" w:themeColor="text1"/>
                <w:szCs w:val="16"/>
              </w:rPr>
            </w:pPr>
            <w:r w:rsidRPr="00781112">
              <w:rPr>
                <w:rFonts w:cs="Arial"/>
                <w:color w:val="000000" w:themeColor="text1"/>
                <w:szCs w:val="16"/>
              </w:rPr>
              <w:t>N/A</w:t>
            </w:r>
          </w:p>
        </w:tc>
      </w:tr>
    </w:tbl>
    <w:p w14:paraId="5E047945" w14:textId="7FB16587" w:rsidR="009B6143" w:rsidRDefault="009B6143" w:rsidP="004369B2">
      <w:pPr>
        <w:rPr>
          <w:b/>
          <w:color w:val="000000" w:themeColor="text1"/>
        </w:rPr>
      </w:pPr>
    </w:p>
    <w:p w14:paraId="3DAA969C" w14:textId="77777777" w:rsidR="00F968CB" w:rsidRDefault="00F968CB" w:rsidP="00F968CB">
      <w:pPr>
        <w:pStyle w:val="Subhed"/>
      </w:pPr>
    </w:p>
    <w:p w14:paraId="5390EEA1" w14:textId="5460ADA5" w:rsidR="00F968CB" w:rsidRPr="001316B1" w:rsidRDefault="00F968CB" w:rsidP="001316B1">
      <w:pPr>
        <w:rPr>
          <w:b/>
          <w:bCs/>
          <w:color w:val="000000" w:themeColor="text1"/>
        </w:rPr>
      </w:pPr>
      <w:r w:rsidRPr="001316B1">
        <w:rPr>
          <w:b/>
          <w:bCs/>
        </w:rPr>
        <w:t>FFY 2020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1AGE3CFFYAPRDATARNG618"/>
      </w:tblPr>
      <w:tblGrid>
        <w:gridCol w:w="2065"/>
        <w:gridCol w:w="1640"/>
        <w:gridCol w:w="1012"/>
        <w:gridCol w:w="947"/>
        <w:gridCol w:w="1172"/>
        <w:gridCol w:w="1258"/>
        <w:gridCol w:w="900"/>
        <w:gridCol w:w="786"/>
        <w:gridCol w:w="1010"/>
      </w:tblGrid>
      <w:tr w:rsidR="00C33434" w:rsidRPr="00781112" w14:paraId="1FBFEEF4" w14:textId="77777777" w:rsidTr="00C33434">
        <w:trPr>
          <w:trHeight w:val="354"/>
          <w:tblHeader/>
        </w:trPr>
        <w:tc>
          <w:tcPr>
            <w:tcW w:w="957" w:type="pct"/>
            <w:shd w:val="clear" w:color="auto" w:fill="auto"/>
            <w:vAlign w:val="bottom"/>
          </w:tcPr>
          <w:p w14:paraId="617EBB37"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Preschool Environments</w:t>
            </w:r>
          </w:p>
        </w:tc>
        <w:tc>
          <w:tcPr>
            <w:tcW w:w="760" w:type="pct"/>
            <w:shd w:val="clear" w:color="auto" w:fill="auto"/>
            <w:vAlign w:val="bottom"/>
          </w:tcPr>
          <w:p w14:paraId="55E120D2"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Number of children with IEPs aged 3 served</w:t>
            </w:r>
          </w:p>
        </w:tc>
        <w:tc>
          <w:tcPr>
            <w:tcW w:w="469" w:type="pct"/>
            <w:shd w:val="clear" w:color="auto" w:fill="auto"/>
            <w:vAlign w:val="bottom"/>
          </w:tcPr>
          <w:p w14:paraId="38B4EB16"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Total number of children with IEPs aged 3</w:t>
            </w:r>
          </w:p>
        </w:tc>
        <w:tc>
          <w:tcPr>
            <w:tcW w:w="439" w:type="pct"/>
            <w:shd w:val="clear" w:color="auto" w:fill="auto"/>
            <w:vAlign w:val="bottom"/>
          </w:tcPr>
          <w:p w14:paraId="0FAB79D2"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FFY 2019 Data</w:t>
            </w:r>
          </w:p>
        </w:tc>
        <w:tc>
          <w:tcPr>
            <w:tcW w:w="543" w:type="pct"/>
            <w:shd w:val="clear" w:color="auto" w:fill="auto"/>
            <w:vAlign w:val="bottom"/>
          </w:tcPr>
          <w:p w14:paraId="406D2410" w14:textId="4AA5A1B1" w:rsidR="00C33434" w:rsidRPr="00781112" w:rsidRDefault="00C33434" w:rsidP="00DF5DC9">
            <w:pPr>
              <w:jc w:val="center"/>
              <w:rPr>
                <w:rFonts w:cs="Arial"/>
                <w:b/>
                <w:color w:val="000000" w:themeColor="text1"/>
                <w:szCs w:val="16"/>
              </w:rPr>
            </w:pPr>
            <w:r w:rsidRPr="00781112">
              <w:rPr>
                <w:rFonts w:cs="Arial"/>
                <w:b/>
                <w:color w:val="000000" w:themeColor="text1"/>
                <w:szCs w:val="16"/>
              </w:rPr>
              <w:t>FFY 2020 Target(low)</w:t>
            </w:r>
          </w:p>
        </w:tc>
        <w:tc>
          <w:tcPr>
            <w:tcW w:w="583" w:type="pct"/>
            <w:vAlign w:val="bottom"/>
          </w:tcPr>
          <w:p w14:paraId="7D44DA8E" w14:textId="54DE905C" w:rsidR="00C33434" w:rsidRPr="00781112" w:rsidRDefault="00C33434" w:rsidP="00C33434">
            <w:pPr>
              <w:jc w:val="center"/>
              <w:rPr>
                <w:rFonts w:cs="Arial"/>
                <w:b/>
                <w:color w:val="000000" w:themeColor="text1"/>
                <w:szCs w:val="16"/>
              </w:rPr>
            </w:pPr>
            <w:r w:rsidRPr="00781112">
              <w:rPr>
                <w:rFonts w:cs="Arial"/>
                <w:b/>
                <w:color w:val="000000" w:themeColor="text1"/>
                <w:szCs w:val="16"/>
              </w:rPr>
              <w:t>FFY 2020 Target(high)</w:t>
            </w:r>
          </w:p>
        </w:tc>
        <w:tc>
          <w:tcPr>
            <w:tcW w:w="417" w:type="pct"/>
            <w:shd w:val="clear" w:color="auto" w:fill="auto"/>
            <w:vAlign w:val="bottom"/>
          </w:tcPr>
          <w:p w14:paraId="360D4B30" w14:textId="5CF6A5D6" w:rsidR="00C33434" w:rsidRPr="00781112" w:rsidRDefault="00C33434" w:rsidP="00DF5DC9">
            <w:pPr>
              <w:jc w:val="center"/>
              <w:rPr>
                <w:rFonts w:cs="Arial"/>
                <w:b/>
                <w:color w:val="000000" w:themeColor="text1"/>
                <w:szCs w:val="16"/>
              </w:rPr>
            </w:pPr>
            <w:r w:rsidRPr="00781112">
              <w:rPr>
                <w:rFonts w:cs="Arial"/>
                <w:b/>
                <w:color w:val="000000" w:themeColor="text1"/>
                <w:szCs w:val="16"/>
              </w:rPr>
              <w:t>FFY 2020 Data</w:t>
            </w:r>
          </w:p>
        </w:tc>
        <w:tc>
          <w:tcPr>
            <w:tcW w:w="364" w:type="pct"/>
            <w:shd w:val="clear" w:color="auto" w:fill="auto"/>
            <w:vAlign w:val="bottom"/>
          </w:tcPr>
          <w:p w14:paraId="370A2DF4"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1C91C85A" w14:textId="77777777" w:rsidR="00C33434" w:rsidRPr="00781112" w:rsidRDefault="00C33434" w:rsidP="00DF5DC9">
            <w:pPr>
              <w:jc w:val="center"/>
              <w:rPr>
                <w:rFonts w:cs="Arial"/>
                <w:b/>
                <w:color w:val="000000" w:themeColor="text1"/>
                <w:szCs w:val="16"/>
              </w:rPr>
            </w:pPr>
            <w:r w:rsidRPr="00781112">
              <w:rPr>
                <w:rFonts w:cs="Arial"/>
                <w:b/>
                <w:color w:val="000000" w:themeColor="text1"/>
                <w:szCs w:val="16"/>
              </w:rPr>
              <w:t>Slippage</w:t>
            </w:r>
          </w:p>
        </w:tc>
      </w:tr>
      <w:tr w:rsidR="00C33434" w:rsidRPr="00781112" w14:paraId="6BFEE329" w14:textId="77777777" w:rsidTr="00C33434">
        <w:trPr>
          <w:trHeight w:val="361"/>
        </w:trPr>
        <w:tc>
          <w:tcPr>
            <w:tcW w:w="957" w:type="pct"/>
            <w:shd w:val="clear" w:color="auto" w:fill="auto"/>
            <w:vAlign w:val="center"/>
          </w:tcPr>
          <w:p w14:paraId="7A3294D0" w14:textId="77777777" w:rsidR="00C33434" w:rsidRPr="00781112" w:rsidRDefault="00C33434" w:rsidP="00DF5DC9">
            <w:pPr>
              <w:rPr>
                <w:rFonts w:cs="Arial"/>
                <w:color w:val="000000" w:themeColor="text1"/>
                <w:szCs w:val="16"/>
                <w:shd w:val="clear" w:color="auto" w:fill="FFFFFF"/>
              </w:rPr>
            </w:pPr>
            <w:r w:rsidRPr="00781112">
              <w:rPr>
                <w:rFonts w:cs="Arial"/>
                <w:szCs w:val="16"/>
                <w:shd w:val="clear" w:color="auto" w:fill="FFFFFF"/>
              </w:rPr>
              <w:t>C1. Home</w:t>
            </w:r>
          </w:p>
        </w:tc>
        <w:tc>
          <w:tcPr>
            <w:tcW w:w="760" w:type="pct"/>
            <w:shd w:val="clear" w:color="auto" w:fill="auto"/>
            <w:vAlign w:val="center"/>
          </w:tcPr>
          <w:p w14:paraId="0183F3BD" w14:textId="77777777" w:rsidR="00C33434" w:rsidRPr="00781112" w:rsidRDefault="00C33434" w:rsidP="00DF5DC9">
            <w:pPr>
              <w:jc w:val="center"/>
              <w:rPr>
                <w:rFonts w:cs="Arial"/>
                <w:color w:val="000000" w:themeColor="text1"/>
                <w:szCs w:val="16"/>
              </w:rPr>
            </w:pPr>
            <w:r w:rsidRPr="00781112">
              <w:rPr>
                <w:rFonts w:cs="Arial"/>
                <w:color w:val="000000" w:themeColor="text1"/>
                <w:szCs w:val="16"/>
              </w:rPr>
              <w:t>8</w:t>
            </w:r>
          </w:p>
        </w:tc>
        <w:tc>
          <w:tcPr>
            <w:tcW w:w="469" w:type="pct"/>
            <w:shd w:val="clear" w:color="auto" w:fill="auto"/>
            <w:vAlign w:val="center"/>
          </w:tcPr>
          <w:p w14:paraId="3E2A5D05" w14:textId="77777777" w:rsidR="00C33434" w:rsidRPr="00781112" w:rsidRDefault="00C33434" w:rsidP="00DF5DC9">
            <w:pPr>
              <w:jc w:val="center"/>
              <w:rPr>
                <w:rFonts w:cs="Arial"/>
                <w:color w:val="000000" w:themeColor="text1"/>
                <w:szCs w:val="16"/>
              </w:rPr>
            </w:pPr>
            <w:r w:rsidRPr="00781112">
              <w:rPr>
                <w:rFonts w:cs="Arial"/>
                <w:color w:val="000000" w:themeColor="text1"/>
                <w:szCs w:val="16"/>
              </w:rPr>
              <w:t>752</w:t>
            </w:r>
          </w:p>
        </w:tc>
        <w:tc>
          <w:tcPr>
            <w:tcW w:w="439" w:type="pct"/>
            <w:shd w:val="clear" w:color="auto" w:fill="auto"/>
            <w:vAlign w:val="center"/>
          </w:tcPr>
          <w:p w14:paraId="7A3F6DF8" w14:textId="77777777" w:rsidR="00C33434" w:rsidRPr="00781112" w:rsidRDefault="00C33434" w:rsidP="00DF5DC9">
            <w:pPr>
              <w:jc w:val="center"/>
              <w:rPr>
                <w:rFonts w:cs="Arial"/>
                <w:color w:val="000000" w:themeColor="text1"/>
                <w:szCs w:val="16"/>
              </w:rPr>
            </w:pPr>
          </w:p>
        </w:tc>
        <w:tc>
          <w:tcPr>
            <w:tcW w:w="543" w:type="pct"/>
            <w:shd w:val="clear" w:color="auto" w:fill="auto"/>
            <w:vAlign w:val="center"/>
          </w:tcPr>
          <w:p w14:paraId="6E6AB0A3" w14:textId="7EEDEF0F" w:rsidR="00C33434" w:rsidRPr="00781112" w:rsidRDefault="00C33434" w:rsidP="00DF5DC9">
            <w:pPr>
              <w:jc w:val="center"/>
              <w:rPr>
                <w:rFonts w:cs="Arial"/>
                <w:color w:val="000000" w:themeColor="text1"/>
                <w:szCs w:val="16"/>
              </w:rPr>
            </w:pPr>
            <w:r w:rsidRPr="00781112">
              <w:rPr>
                <w:rFonts w:cs="Arial"/>
                <w:color w:val="000000" w:themeColor="text1"/>
                <w:szCs w:val="16"/>
              </w:rPr>
              <w:t>0.00%</w:t>
            </w:r>
          </w:p>
        </w:tc>
        <w:tc>
          <w:tcPr>
            <w:tcW w:w="583" w:type="pct"/>
            <w:vAlign w:val="center"/>
          </w:tcPr>
          <w:p w14:paraId="627D93E3" w14:textId="246738D3" w:rsidR="00C33434" w:rsidRPr="00781112" w:rsidRDefault="00C33434" w:rsidP="00C33434">
            <w:pPr>
              <w:jc w:val="center"/>
              <w:rPr>
                <w:rFonts w:cs="Arial"/>
                <w:color w:val="000000" w:themeColor="text1"/>
                <w:szCs w:val="16"/>
              </w:rPr>
            </w:pPr>
            <w:r w:rsidRPr="00781112">
              <w:rPr>
                <w:rFonts w:cs="Arial"/>
                <w:color w:val="000000" w:themeColor="text1"/>
                <w:szCs w:val="16"/>
              </w:rPr>
              <w:t>1.80%</w:t>
            </w:r>
          </w:p>
        </w:tc>
        <w:tc>
          <w:tcPr>
            <w:tcW w:w="417" w:type="pct"/>
            <w:shd w:val="clear" w:color="auto" w:fill="auto"/>
            <w:vAlign w:val="center"/>
          </w:tcPr>
          <w:p w14:paraId="0E074CA3" w14:textId="5581754B" w:rsidR="00C33434" w:rsidRPr="00781112" w:rsidRDefault="00C33434" w:rsidP="00DF5DC9">
            <w:pPr>
              <w:jc w:val="center"/>
              <w:rPr>
                <w:rFonts w:cs="Arial"/>
                <w:color w:val="000000" w:themeColor="text1"/>
                <w:szCs w:val="16"/>
              </w:rPr>
            </w:pPr>
            <w:r w:rsidRPr="00781112">
              <w:rPr>
                <w:rFonts w:cs="Arial"/>
                <w:color w:val="000000" w:themeColor="text1"/>
                <w:szCs w:val="16"/>
              </w:rPr>
              <w:t>1.06%</w:t>
            </w:r>
          </w:p>
        </w:tc>
        <w:tc>
          <w:tcPr>
            <w:tcW w:w="364" w:type="pct"/>
            <w:shd w:val="clear" w:color="auto" w:fill="auto"/>
            <w:vAlign w:val="center"/>
          </w:tcPr>
          <w:p w14:paraId="4913C096" w14:textId="77777777" w:rsidR="00C33434" w:rsidRPr="00781112" w:rsidRDefault="00C33434" w:rsidP="00DF5DC9">
            <w:pPr>
              <w:jc w:val="center"/>
              <w:rPr>
                <w:rFonts w:cs="Arial"/>
                <w:color w:val="000000" w:themeColor="text1"/>
                <w:szCs w:val="16"/>
              </w:rPr>
            </w:pPr>
            <w:r w:rsidRPr="00781112">
              <w:rPr>
                <w:rFonts w:cs="Arial"/>
                <w:color w:val="000000" w:themeColor="text1"/>
                <w:szCs w:val="16"/>
              </w:rPr>
              <w:t>N/A</w:t>
            </w:r>
          </w:p>
        </w:tc>
        <w:tc>
          <w:tcPr>
            <w:tcW w:w="468" w:type="pct"/>
            <w:shd w:val="clear" w:color="auto" w:fill="auto"/>
            <w:vAlign w:val="center"/>
          </w:tcPr>
          <w:p w14:paraId="15D01D40" w14:textId="77777777" w:rsidR="00C33434" w:rsidRPr="00781112" w:rsidRDefault="00C33434" w:rsidP="00DF5DC9">
            <w:pPr>
              <w:jc w:val="center"/>
              <w:rPr>
                <w:rFonts w:cs="Arial"/>
                <w:color w:val="000000" w:themeColor="text1"/>
                <w:szCs w:val="16"/>
              </w:rPr>
            </w:pPr>
            <w:r w:rsidRPr="00781112">
              <w:rPr>
                <w:rFonts w:cs="Arial"/>
                <w:color w:val="000000" w:themeColor="text1"/>
                <w:szCs w:val="16"/>
              </w:rPr>
              <w:t>N/A</w:t>
            </w:r>
          </w:p>
        </w:tc>
      </w:tr>
    </w:tbl>
    <w:p w14:paraId="12A1BA8F" w14:textId="2C5D7D9A" w:rsidR="00C33434" w:rsidRDefault="00C33434" w:rsidP="004369B2">
      <w:pPr>
        <w:rPr>
          <w:b/>
          <w:color w:val="000000" w:themeColor="text1"/>
        </w:rPr>
      </w:pPr>
    </w:p>
    <w:p w14:paraId="77B5EFEC" w14:textId="77777777" w:rsidR="00A00E1D" w:rsidRPr="00A00E1D" w:rsidRDefault="00A00E1D" w:rsidP="00A00E1D">
      <w:pPr>
        <w:rPr>
          <w:rFonts w:cs="Arial"/>
          <w:color w:val="000000" w:themeColor="text1"/>
          <w:szCs w:val="16"/>
        </w:rPr>
      </w:pPr>
    </w:p>
    <w:p w14:paraId="19C22075" w14:textId="77777777" w:rsidR="00A00E1D" w:rsidRPr="001C443D" w:rsidRDefault="00A00E1D" w:rsidP="001C443D">
      <w:pPr>
        <w:rPr>
          <w:b/>
          <w:bCs/>
        </w:rPr>
      </w:pPr>
      <w:r w:rsidRPr="001C443D">
        <w:rPr>
          <w:b/>
          <w:bCs/>
        </w:rPr>
        <w:t>FFY 2020 SPP/APR Data for Age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2B2AGE4CFFYAPRDATARNG618"/>
      </w:tblPr>
      <w:tblGrid>
        <w:gridCol w:w="2964"/>
        <w:gridCol w:w="1118"/>
        <w:gridCol w:w="1118"/>
        <w:gridCol w:w="1118"/>
        <w:gridCol w:w="1118"/>
        <w:gridCol w:w="1118"/>
        <w:gridCol w:w="1118"/>
        <w:gridCol w:w="1118"/>
      </w:tblGrid>
      <w:tr w:rsidR="00A00E1D" w:rsidRPr="00781112" w14:paraId="14C7E713" w14:textId="77777777" w:rsidTr="00DF5DC9">
        <w:trPr>
          <w:trHeight w:val="354"/>
          <w:tblHeader/>
        </w:trPr>
        <w:tc>
          <w:tcPr>
            <w:tcW w:w="1373" w:type="pct"/>
            <w:shd w:val="clear" w:color="auto" w:fill="auto"/>
            <w:vAlign w:val="bottom"/>
          </w:tcPr>
          <w:p w14:paraId="4763D563"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5BFE093C"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3BB52D92"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30A20DA9"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3F2DB25"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6CDF09C"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594662A"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69203CC3" w14:textId="77777777" w:rsidR="00A00E1D" w:rsidRPr="00781112" w:rsidRDefault="00A00E1D" w:rsidP="00DF5DC9">
            <w:pPr>
              <w:jc w:val="center"/>
              <w:rPr>
                <w:rFonts w:cs="Arial"/>
                <w:b/>
                <w:color w:val="000000" w:themeColor="text1"/>
                <w:szCs w:val="16"/>
              </w:rPr>
            </w:pPr>
            <w:r w:rsidRPr="00781112">
              <w:rPr>
                <w:rFonts w:cs="Arial"/>
                <w:b/>
                <w:color w:val="000000" w:themeColor="text1"/>
                <w:szCs w:val="16"/>
              </w:rPr>
              <w:t>Slippage</w:t>
            </w:r>
          </w:p>
        </w:tc>
      </w:tr>
      <w:tr w:rsidR="00A00E1D" w:rsidRPr="00781112" w14:paraId="5AC3BAE4" w14:textId="77777777" w:rsidTr="00DF5DC9">
        <w:trPr>
          <w:trHeight w:val="917"/>
        </w:trPr>
        <w:tc>
          <w:tcPr>
            <w:tcW w:w="1373" w:type="pct"/>
            <w:shd w:val="clear" w:color="auto" w:fill="auto"/>
            <w:vAlign w:val="center"/>
          </w:tcPr>
          <w:p w14:paraId="53F87C66" w14:textId="77777777" w:rsidR="00A00E1D" w:rsidRPr="00781112" w:rsidRDefault="00A00E1D" w:rsidP="00DF5DC9">
            <w:pPr>
              <w:rPr>
                <w:rFonts w:cs="Arial"/>
                <w:color w:val="000000" w:themeColor="text1"/>
                <w:szCs w:val="16"/>
              </w:rPr>
            </w:pPr>
            <w:r w:rsidRPr="00781112">
              <w:rPr>
                <w:rFonts w:cs="Arial"/>
                <w:color w:val="000000" w:themeColor="text1"/>
                <w:szCs w:val="16"/>
                <w:shd w:val="clear" w:color="auto" w:fill="FFFFFF"/>
              </w:rPr>
              <w:t>A2. A regular early childhood program and receiving the majority of special education and related services in the regular early childhood program</w:t>
            </w:r>
          </w:p>
        </w:tc>
        <w:tc>
          <w:tcPr>
            <w:tcW w:w="518" w:type="pct"/>
            <w:shd w:val="clear" w:color="auto" w:fill="auto"/>
            <w:vAlign w:val="center"/>
          </w:tcPr>
          <w:p w14:paraId="7EC92D3E"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298</w:t>
            </w:r>
          </w:p>
          <w:p w14:paraId="06D99BB6" w14:textId="77777777" w:rsidR="00A00E1D" w:rsidRPr="00781112" w:rsidRDefault="00A00E1D" w:rsidP="00DF5DC9">
            <w:pPr>
              <w:jc w:val="center"/>
              <w:rPr>
                <w:rFonts w:cs="Arial"/>
                <w:color w:val="000000" w:themeColor="text1"/>
                <w:szCs w:val="16"/>
              </w:rPr>
            </w:pPr>
          </w:p>
        </w:tc>
        <w:tc>
          <w:tcPr>
            <w:tcW w:w="518" w:type="pct"/>
            <w:shd w:val="clear" w:color="auto" w:fill="auto"/>
            <w:vAlign w:val="center"/>
          </w:tcPr>
          <w:p w14:paraId="65375614"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1,045</w:t>
            </w:r>
          </w:p>
        </w:tc>
        <w:tc>
          <w:tcPr>
            <w:tcW w:w="518" w:type="pct"/>
            <w:shd w:val="clear" w:color="auto" w:fill="auto"/>
            <w:vAlign w:val="center"/>
          </w:tcPr>
          <w:p w14:paraId="16EE299D" w14:textId="77777777" w:rsidR="00A00E1D" w:rsidRPr="00781112" w:rsidRDefault="00A00E1D" w:rsidP="00DF5DC9">
            <w:pPr>
              <w:jc w:val="center"/>
              <w:rPr>
                <w:rFonts w:cs="Arial"/>
                <w:color w:val="000000" w:themeColor="text1"/>
                <w:szCs w:val="16"/>
              </w:rPr>
            </w:pPr>
          </w:p>
        </w:tc>
        <w:tc>
          <w:tcPr>
            <w:tcW w:w="518" w:type="pct"/>
            <w:shd w:val="clear" w:color="auto" w:fill="auto"/>
            <w:vAlign w:val="center"/>
          </w:tcPr>
          <w:p w14:paraId="49BF3889"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28.52%</w:t>
            </w:r>
          </w:p>
        </w:tc>
        <w:tc>
          <w:tcPr>
            <w:tcW w:w="518" w:type="pct"/>
            <w:shd w:val="clear" w:color="auto" w:fill="auto"/>
            <w:vAlign w:val="center"/>
          </w:tcPr>
          <w:p w14:paraId="47E8CB11"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28.52%</w:t>
            </w:r>
          </w:p>
        </w:tc>
        <w:tc>
          <w:tcPr>
            <w:tcW w:w="518" w:type="pct"/>
            <w:shd w:val="clear" w:color="auto" w:fill="auto"/>
            <w:vAlign w:val="center"/>
          </w:tcPr>
          <w:p w14:paraId="48C32936"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0210D4E3"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N/A</w:t>
            </w:r>
          </w:p>
        </w:tc>
      </w:tr>
      <w:tr w:rsidR="00A00E1D" w:rsidRPr="00781112" w14:paraId="3493BD47" w14:textId="77777777" w:rsidTr="00DF5DC9">
        <w:trPr>
          <w:trHeight w:val="361"/>
        </w:trPr>
        <w:tc>
          <w:tcPr>
            <w:tcW w:w="1373" w:type="pct"/>
            <w:shd w:val="clear" w:color="auto" w:fill="auto"/>
            <w:vAlign w:val="center"/>
          </w:tcPr>
          <w:p w14:paraId="21E5A00A" w14:textId="77777777" w:rsidR="00A00E1D" w:rsidRPr="00781112" w:rsidRDefault="00A00E1D" w:rsidP="00DF5DC9">
            <w:pPr>
              <w:rPr>
                <w:rFonts w:cs="Arial"/>
                <w:color w:val="000000" w:themeColor="text1"/>
                <w:szCs w:val="16"/>
              </w:rPr>
            </w:pPr>
            <w:r w:rsidRPr="00781112">
              <w:rPr>
                <w:rFonts w:cs="Arial"/>
                <w:color w:val="000000" w:themeColor="text1"/>
                <w:szCs w:val="16"/>
                <w:shd w:val="clear" w:color="auto" w:fill="FFFFFF"/>
              </w:rPr>
              <w:t>B2. Separate special education class, separate school or residential facility</w:t>
            </w:r>
          </w:p>
        </w:tc>
        <w:tc>
          <w:tcPr>
            <w:tcW w:w="518" w:type="pct"/>
            <w:shd w:val="clear" w:color="auto" w:fill="auto"/>
            <w:vAlign w:val="center"/>
          </w:tcPr>
          <w:p w14:paraId="013956A2"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530</w:t>
            </w:r>
          </w:p>
        </w:tc>
        <w:tc>
          <w:tcPr>
            <w:tcW w:w="518" w:type="pct"/>
            <w:shd w:val="clear" w:color="auto" w:fill="auto"/>
            <w:vAlign w:val="center"/>
          </w:tcPr>
          <w:p w14:paraId="0FBD44C5"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1,045</w:t>
            </w:r>
          </w:p>
        </w:tc>
        <w:tc>
          <w:tcPr>
            <w:tcW w:w="518" w:type="pct"/>
            <w:shd w:val="clear" w:color="auto" w:fill="auto"/>
            <w:vAlign w:val="center"/>
          </w:tcPr>
          <w:p w14:paraId="6B03EAB8" w14:textId="77777777" w:rsidR="00A00E1D" w:rsidRPr="00781112" w:rsidRDefault="00A00E1D" w:rsidP="00DF5DC9">
            <w:pPr>
              <w:jc w:val="center"/>
              <w:rPr>
                <w:rFonts w:cs="Arial"/>
                <w:color w:val="000000" w:themeColor="text1"/>
                <w:szCs w:val="16"/>
              </w:rPr>
            </w:pPr>
          </w:p>
        </w:tc>
        <w:tc>
          <w:tcPr>
            <w:tcW w:w="518" w:type="pct"/>
            <w:shd w:val="clear" w:color="auto" w:fill="auto"/>
            <w:vAlign w:val="center"/>
          </w:tcPr>
          <w:p w14:paraId="1050802F"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50.72%</w:t>
            </w:r>
          </w:p>
        </w:tc>
        <w:tc>
          <w:tcPr>
            <w:tcW w:w="518" w:type="pct"/>
            <w:shd w:val="clear" w:color="auto" w:fill="auto"/>
            <w:vAlign w:val="center"/>
          </w:tcPr>
          <w:p w14:paraId="7B523328"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50.72%</w:t>
            </w:r>
          </w:p>
        </w:tc>
        <w:tc>
          <w:tcPr>
            <w:tcW w:w="518" w:type="pct"/>
            <w:shd w:val="clear" w:color="auto" w:fill="auto"/>
            <w:vAlign w:val="center"/>
          </w:tcPr>
          <w:p w14:paraId="1B818C8E"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3F9E359" w14:textId="77777777" w:rsidR="00A00E1D" w:rsidRPr="00781112" w:rsidRDefault="00A00E1D" w:rsidP="00DF5DC9">
            <w:pPr>
              <w:jc w:val="center"/>
              <w:rPr>
                <w:rFonts w:cs="Arial"/>
                <w:color w:val="000000" w:themeColor="text1"/>
                <w:szCs w:val="16"/>
              </w:rPr>
            </w:pPr>
            <w:r w:rsidRPr="00781112">
              <w:rPr>
                <w:rFonts w:cs="Arial"/>
                <w:color w:val="000000" w:themeColor="text1"/>
                <w:szCs w:val="16"/>
              </w:rPr>
              <w:t>N/A</w:t>
            </w:r>
          </w:p>
        </w:tc>
      </w:tr>
    </w:tbl>
    <w:p w14:paraId="042F57F5" w14:textId="274DF299" w:rsidR="00A00E1D" w:rsidRDefault="00A00E1D" w:rsidP="00A00E1D">
      <w:pPr>
        <w:pStyle w:val="Subhed"/>
        <w:rPr>
          <w:b w:val="0"/>
          <w:color w:val="000000" w:themeColor="text1"/>
        </w:rPr>
      </w:pPr>
    </w:p>
    <w:p w14:paraId="7B6260D6" w14:textId="77777777" w:rsidR="00A00E1D" w:rsidRPr="001C443D" w:rsidRDefault="00A00E1D" w:rsidP="001C443D">
      <w:pPr>
        <w:rPr>
          <w:b/>
          <w:bCs/>
        </w:rPr>
      </w:pPr>
      <w:r w:rsidRPr="001C443D">
        <w:rPr>
          <w:b/>
          <w:bCs/>
        </w:rPr>
        <w:t>FFY 2020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2AGE4CFFYAPRDATARNG618"/>
      </w:tblPr>
      <w:tblGrid>
        <w:gridCol w:w="1706"/>
        <w:gridCol w:w="1621"/>
        <w:gridCol w:w="1079"/>
        <w:gridCol w:w="1079"/>
        <w:gridCol w:w="1170"/>
        <w:gridCol w:w="1170"/>
        <w:gridCol w:w="943"/>
        <w:gridCol w:w="1012"/>
        <w:gridCol w:w="1010"/>
      </w:tblGrid>
      <w:tr w:rsidR="00A00E1D" w:rsidRPr="00781112" w14:paraId="3CD02F07" w14:textId="77777777" w:rsidTr="00A00E1D">
        <w:trPr>
          <w:trHeight w:val="354"/>
          <w:tblHeader/>
          <w:jc w:val="center"/>
        </w:trPr>
        <w:tc>
          <w:tcPr>
            <w:tcW w:w="791" w:type="pct"/>
            <w:shd w:val="clear" w:color="auto" w:fill="auto"/>
            <w:vAlign w:val="bottom"/>
          </w:tcPr>
          <w:p w14:paraId="0829FBD7"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Preschool Environments</w:t>
            </w:r>
          </w:p>
        </w:tc>
        <w:tc>
          <w:tcPr>
            <w:tcW w:w="751" w:type="pct"/>
            <w:shd w:val="clear" w:color="auto" w:fill="auto"/>
            <w:vAlign w:val="bottom"/>
          </w:tcPr>
          <w:p w14:paraId="4DAF1197"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Number of children with IEPs aged 4 served</w:t>
            </w:r>
          </w:p>
        </w:tc>
        <w:tc>
          <w:tcPr>
            <w:tcW w:w="500" w:type="pct"/>
            <w:shd w:val="clear" w:color="auto" w:fill="auto"/>
            <w:vAlign w:val="bottom"/>
          </w:tcPr>
          <w:p w14:paraId="5042A752"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Total number of children with IEPs aged 4</w:t>
            </w:r>
          </w:p>
        </w:tc>
        <w:tc>
          <w:tcPr>
            <w:tcW w:w="500" w:type="pct"/>
            <w:shd w:val="clear" w:color="auto" w:fill="auto"/>
            <w:vAlign w:val="bottom"/>
          </w:tcPr>
          <w:p w14:paraId="2819C9FC"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FFY 2019 Data</w:t>
            </w:r>
          </w:p>
        </w:tc>
        <w:tc>
          <w:tcPr>
            <w:tcW w:w="542" w:type="pct"/>
            <w:shd w:val="clear" w:color="auto" w:fill="auto"/>
            <w:vAlign w:val="bottom"/>
          </w:tcPr>
          <w:p w14:paraId="0066902F" w14:textId="71AC7FD6" w:rsidR="00A00E1D" w:rsidRPr="00781112" w:rsidRDefault="00A00E1D" w:rsidP="00A00E1D">
            <w:pPr>
              <w:jc w:val="center"/>
              <w:rPr>
                <w:rFonts w:cs="Arial"/>
                <w:b/>
                <w:color w:val="000000" w:themeColor="text1"/>
                <w:szCs w:val="16"/>
              </w:rPr>
            </w:pPr>
            <w:r w:rsidRPr="00781112">
              <w:rPr>
                <w:rFonts w:cs="Arial"/>
                <w:b/>
                <w:color w:val="000000" w:themeColor="text1"/>
                <w:szCs w:val="16"/>
              </w:rPr>
              <w:t>FFY 2020 Target(low)</w:t>
            </w:r>
          </w:p>
        </w:tc>
        <w:tc>
          <w:tcPr>
            <w:tcW w:w="542" w:type="pct"/>
            <w:vAlign w:val="bottom"/>
          </w:tcPr>
          <w:p w14:paraId="12C9ADA2" w14:textId="5A3C6A85" w:rsidR="00A00E1D" w:rsidRPr="00781112" w:rsidRDefault="00A00E1D" w:rsidP="00A00E1D">
            <w:pPr>
              <w:jc w:val="center"/>
              <w:rPr>
                <w:rFonts w:cs="Arial"/>
                <w:b/>
                <w:color w:val="000000" w:themeColor="text1"/>
                <w:szCs w:val="16"/>
              </w:rPr>
            </w:pPr>
            <w:r w:rsidRPr="00781112">
              <w:rPr>
                <w:rFonts w:cs="Arial"/>
                <w:b/>
                <w:color w:val="000000" w:themeColor="text1"/>
                <w:szCs w:val="16"/>
              </w:rPr>
              <w:t>FFY 2020 Target(high)</w:t>
            </w:r>
          </w:p>
        </w:tc>
        <w:tc>
          <w:tcPr>
            <w:tcW w:w="437" w:type="pct"/>
            <w:shd w:val="clear" w:color="auto" w:fill="auto"/>
            <w:vAlign w:val="bottom"/>
          </w:tcPr>
          <w:p w14:paraId="79B6010F" w14:textId="4182B097" w:rsidR="00A00E1D" w:rsidRPr="00781112" w:rsidRDefault="00A00E1D" w:rsidP="00A00E1D">
            <w:pPr>
              <w:jc w:val="center"/>
              <w:rPr>
                <w:rFonts w:cs="Arial"/>
                <w:b/>
                <w:color w:val="000000" w:themeColor="text1"/>
                <w:szCs w:val="16"/>
              </w:rPr>
            </w:pPr>
            <w:r w:rsidRPr="00781112">
              <w:rPr>
                <w:rFonts w:cs="Arial"/>
                <w:b/>
                <w:color w:val="000000" w:themeColor="text1"/>
                <w:szCs w:val="16"/>
              </w:rPr>
              <w:t>FFY 2020 Data</w:t>
            </w:r>
          </w:p>
        </w:tc>
        <w:tc>
          <w:tcPr>
            <w:tcW w:w="469" w:type="pct"/>
            <w:shd w:val="clear" w:color="auto" w:fill="auto"/>
            <w:vAlign w:val="bottom"/>
          </w:tcPr>
          <w:p w14:paraId="5653A02C"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6134ACA5" w14:textId="77777777" w:rsidR="00A00E1D" w:rsidRPr="00781112" w:rsidRDefault="00A00E1D" w:rsidP="00A00E1D">
            <w:pPr>
              <w:jc w:val="center"/>
              <w:rPr>
                <w:rFonts w:cs="Arial"/>
                <w:b/>
                <w:color w:val="000000" w:themeColor="text1"/>
                <w:szCs w:val="16"/>
              </w:rPr>
            </w:pPr>
            <w:r w:rsidRPr="00781112">
              <w:rPr>
                <w:rFonts w:cs="Arial"/>
                <w:b/>
                <w:color w:val="000000" w:themeColor="text1"/>
                <w:szCs w:val="16"/>
              </w:rPr>
              <w:t>Slippage</w:t>
            </w:r>
          </w:p>
        </w:tc>
      </w:tr>
      <w:tr w:rsidR="00A00E1D" w:rsidRPr="00781112" w14:paraId="0D718A71" w14:textId="77777777" w:rsidTr="00A00E1D">
        <w:trPr>
          <w:trHeight w:val="361"/>
          <w:jc w:val="center"/>
        </w:trPr>
        <w:tc>
          <w:tcPr>
            <w:tcW w:w="791" w:type="pct"/>
            <w:shd w:val="clear" w:color="auto" w:fill="auto"/>
            <w:vAlign w:val="center"/>
          </w:tcPr>
          <w:p w14:paraId="1CDE516D" w14:textId="77777777" w:rsidR="00A00E1D" w:rsidRPr="00781112" w:rsidRDefault="00A00E1D" w:rsidP="00A00E1D">
            <w:pPr>
              <w:rPr>
                <w:rFonts w:cs="Arial"/>
                <w:color w:val="000000" w:themeColor="text1"/>
                <w:szCs w:val="16"/>
                <w:shd w:val="clear" w:color="auto" w:fill="FFFFFF"/>
              </w:rPr>
            </w:pPr>
            <w:r w:rsidRPr="00781112">
              <w:rPr>
                <w:rFonts w:cs="Arial"/>
                <w:szCs w:val="16"/>
                <w:shd w:val="clear" w:color="auto" w:fill="FFFFFF"/>
              </w:rPr>
              <w:t>C2. Home</w:t>
            </w:r>
          </w:p>
        </w:tc>
        <w:tc>
          <w:tcPr>
            <w:tcW w:w="751" w:type="pct"/>
            <w:shd w:val="clear" w:color="auto" w:fill="auto"/>
            <w:vAlign w:val="center"/>
          </w:tcPr>
          <w:p w14:paraId="17E6831D" w14:textId="77777777" w:rsidR="00A00E1D" w:rsidRPr="00781112" w:rsidRDefault="00A00E1D" w:rsidP="00A00E1D">
            <w:pPr>
              <w:jc w:val="center"/>
              <w:rPr>
                <w:rFonts w:cs="Arial"/>
                <w:color w:val="000000" w:themeColor="text1"/>
                <w:szCs w:val="16"/>
              </w:rPr>
            </w:pPr>
            <w:r w:rsidRPr="00781112">
              <w:rPr>
                <w:rFonts w:cs="Arial"/>
                <w:color w:val="000000" w:themeColor="text1"/>
                <w:szCs w:val="16"/>
              </w:rPr>
              <w:t>3</w:t>
            </w:r>
          </w:p>
        </w:tc>
        <w:tc>
          <w:tcPr>
            <w:tcW w:w="500" w:type="pct"/>
            <w:shd w:val="clear" w:color="auto" w:fill="auto"/>
            <w:vAlign w:val="center"/>
          </w:tcPr>
          <w:p w14:paraId="0140B213" w14:textId="77777777" w:rsidR="00A00E1D" w:rsidRPr="00781112" w:rsidRDefault="00A00E1D" w:rsidP="00A00E1D">
            <w:pPr>
              <w:jc w:val="center"/>
              <w:rPr>
                <w:rFonts w:cs="Arial"/>
                <w:color w:val="000000" w:themeColor="text1"/>
                <w:szCs w:val="16"/>
              </w:rPr>
            </w:pPr>
            <w:r w:rsidRPr="00781112">
              <w:rPr>
                <w:rFonts w:cs="Arial"/>
                <w:color w:val="000000" w:themeColor="text1"/>
                <w:szCs w:val="16"/>
              </w:rPr>
              <w:t>1,045</w:t>
            </w:r>
          </w:p>
        </w:tc>
        <w:tc>
          <w:tcPr>
            <w:tcW w:w="500" w:type="pct"/>
            <w:shd w:val="clear" w:color="auto" w:fill="auto"/>
            <w:vAlign w:val="center"/>
          </w:tcPr>
          <w:p w14:paraId="29FC41C5" w14:textId="77777777" w:rsidR="00A00E1D" w:rsidRPr="00781112" w:rsidRDefault="00A00E1D" w:rsidP="00A00E1D">
            <w:pPr>
              <w:jc w:val="center"/>
              <w:rPr>
                <w:rFonts w:cs="Arial"/>
                <w:color w:val="000000" w:themeColor="text1"/>
                <w:szCs w:val="16"/>
              </w:rPr>
            </w:pPr>
          </w:p>
        </w:tc>
        <w:tc>
          <w:tcPr>
            <w:tcW w:w="542" w:type="pct"/>
            <w:shd w:val="clear" w:color="auto" w:fill="auto"/>
            <w:vAlign w:val="center"/>
          </w:tcPr>
          <w:p w14:paraId="722EC6EA" w14:textId="4B214C15" w:rsidR="00A00E1D" w:rsidRPr="00781112" w:rsidRDefault="00A00E1D" w:rsidP="00A00E1D">
            <w:pPr>
              <w:jc w:val="center"/>
              <w:rPr>
                <w:rFonts w:cs="Arial"/>
                <w:color w:val="000000" w:themeColor="text1"/>
                <w:szCs w:val="16"/>
              </w:rPr>
            </w:pPr>
            <w:r w:rsidRPr="00781112">
              <w:rPr>
                <w:rFonts w:cs="Arial"/>
                <w:color w:val="000000" w:themeColor="text1"/>
                <w:szCs w:val="16"/>
              </w:rPr>
              <w:t>0.00%</w:t>
            </w:r>
          </w:p>
        </w:tc>
        <w:tc>
          <w:tcPr>
            <w:tcW w:w="542" w:type="pct"/>
            <w:vAlign w:val="center"/>
          </w:tcPr>
          <w:p w14:paraId="2D3D291C" w14:textId="79F6BCBF" w:rsidR="00A00E1D" w:rsidRPr="00781112" w:rsidRDefault="00A00E1D" w:rsidP="00A00E1D">
            <w:pPr>
              <w:jc w:val="center"/>
              <w:rPr>
                <w:rFonts w:cs="Arial"/>
                <w:color w:val="000000" w:themeColor="text1"/>
                <w:szCs w:val="16"/>
              </w:rPr>
            </w:pPr>
            <w:r w:rsidRPr="00781112">
              <w:rPr>
                <w:rFonts w:cs="Arial"/>
                <w:color w:val="000000" w:themeColor="text1"/>
                <w:szCs w:val="16"/>
              </w:rPr>
              <w:t>0.80%</w:t>
            </w:r>
          </w:p>
        </w:tc>
        <w:tc>
          <w:tcPr>
            <w:tcW w:w="437" w:type="pct"/>
            <w:shd w:val="clear" w:color="auto" w:fill="auto"/>
            <w:vAlign w:val="center"/>
          </w:tcPr>
          <w:p w14:paraId="0791EE81" w14:textId="74997884" w:rsidR="00A00E1D" w:rsidRPr="00781112" w:rsidRDefault="00A00E1D" w:rsidP="00A00E1D">
            <w:pPr>
              <w:jc w:val="center"/>
              <w:rPr>
                <w:rFonts w:cs="Arial"/>
                <w:color w:val="000000" w:themeColor="text1"/>
                <w:szCs w:val="16"/>
              </w:rPr>
            </w:pPr>
            <w:r w:rsidRPr="00781112">
              <w:rPr>
                <w:rFonts w:cs="Arial"/>
                <w:color w:val="000000" w:themeColor="text1"/>
                <w:szCs w:val="16"/>
              </w:rPr>
              <w:t>0.29%</w:t>
            </w:r>
          </w:p>
        </w:tc>
        <w:tc>
          <w:tcPr>
            <w:tcW w:w="469" w:type="pct"/>
            <w:shd w:val="clear" w:color="auto" w:fill="auto"/>
            <w:vAlign w:val="center"/>
          </w:tcPr>
          <w:p w14:paraId="04778922" w14:textId="77777777" w:rsidR="00A00E1D" w:rsidRPr="00781112" w:rsidRDefault="00A00E1D" w:rsidP="00A00E1D">
            <w:pPr>
              <w:jc w:val="center"/>
              <w:rPr>
                <w:rFonts w:cs="Arial"/>
                <w:color w:val="000000" w:themeColor="text1"/>
                <w:szCs w:val="16"/>
              </w:rPr>
            </w:pPr>
            <w:r w:rsidRPr="00781112">
              <w:rPr>
                <w:rFonts w:cs="Arial"/>
                <w:color w:val="000000" w:themeColor="text1"/>
                <w:szCs w:val="16"/>
              </w:rPr>
              <w:t>N/A</w:t>
            </w:r>
          </w:p>
        </w:tc>
        <w:tc>
          <w:tcPr>
            <w:tcW w:w="468" w:type="pct"/>
            <w:shd w:val="clear" w:color="auto" w:fill="auto"/>
            <w:vAlign w:val="center"/>
          </w:tcPr>
          <w:p w14:paraId="78D48EA7" w14:textId="77777777" w:rsidR="00A00E1D" w:rsidRPr="00781112" w:rsidRDefault="00A00E1D" w:rsidP="00A00E1D">
            <w:pPr>
              <w:jc w:val="center"/>
              <w:rPr>
                <w:rFonts w:cs="Arial"/>
                <w:color w:val="000000" w:themeColor="text1"/>
                <w:szCs w:val="16"/>
              </w:rPr>
            </w:pPr>
            <w:r w:rsidRPr="00781112">
              <w:rPr>
                <w:rFonts w:cs="Arial"/>
                <w:color w:val="000000" w:themeColor="text1"/>
                <w:szCs w:val="16"/>
              </w:rPr>
              <w:t>N/A</w:t>
            </w:r>
          </w:p>
        </w:tc>
      </w:tr>
    </w:tbl>
    <w:p w14:paraId="48E103FA" w14:textId="77777777" w:rsidR="00A00E1D" w:rsidRDefault="00A00E1D" w:rsidP="00A00E1D">
      <w:pPr>
        <w:pStyle w:val="Subhed"/>
        <w:rPr>
          <w:b w:val="0"/>
          <w:color w:val="000000" w:themeColor="text1"/>
        </w:rPr>
      </w:pPr>
    </w:p>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5C7135EF" w14:textId="77777777" w:rsidR="00BB5945" w:rsidRPr="00306EB6" w:rsidRDefault="00BB5945" w:rsidP="00306EB6">
      <w:pPr>
        <w:rPr>
          <w:b/>
          <w:bCs/>
        </w:rPr>
      </w:pPr>
      <w:r w:rsidRPr="00306EB6">
        <w:rPr>
          <w:b/>
          <w:bCs/>
        </w:rPr>
        <w:t>FFY 2020 SPP/APR Data for Age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3B3AGE5CFFYAPRDATARNG618"/>
      </w:tblPr>
      <w:tblGrid>
        <w:gridCol w:w="2964"/>
        <w:gridCol w:w="1118"/>
        <w:gridCol w:w="1118"/>
        <w:gridCol w:w="1118"/>
        <w:gridCol w:w="1118"/>
        <w:gridCol w:w="1118"/>
        <w:gridCol w:w="1118"/>
        <w:gridCol w:w="1118"/>
      </w:tblGrid>
      <w:tr w:rsidR="00BB5945" w:rsidRPr="00781112" w14:paraId="2DE4E93F" w14:textId="77777777" w:rsidTr="00DF5DC9">
        <w:trPr>
          <w:trHeight w:val="354"/>
          <w:tblHeader/>
        </w:trPr>
        <w:tc>
          <w:tcPr>
            <w:tcW w:w="1373" w:type="pct"/>
            <w:shd w:val="clear" w:color="auto" w:fill="auto"/>
            <w:vAlign w:val="bottom"/>
          </w:tcPr>
          <w:p w14:paraId="7E2F05A9"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CF91D8D"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2BEF9F7D"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22C63C3A"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2A01514B"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F986405"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441C903"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AC976F1" w14:textId="77777777" w:rsidR="00BB5945" w:rsidRPr="00781112" w:rsidRDefault="00BB5945" w:rsidP="00DF5DC9">
            <w:pPr>
              <w:jc w:val="center"/>
              <w:rPr>
                <w:rFonts w:cs="Arial"/>
                <w:b/>
                <w:color w:val="000000" w:themeColor="text1"/>
                <w:szCs w:val="16"/>
              </w:rPr>
            </w:pPr>
            <w:r w:rsidRPr="00781112">
              <w:rPr>
                <w:rFonts w:cs="Arial"/>
                <w:b/>
                <w:color w:val="000000" w:themeColor="text1"/>
                <w:szCs w:val="16"/>
              </w:rPr>
              <w:t>Slippage</w:t>
            </w:r>
          </w:p>
        </w:tc>
      </w:tr>
      <w:tr w:rsidR="00BB5945" w:rsidRPr="00781112" w14:paraId="2993DF7B" w14:textId="77777777" w:rsidTr="00DF5DC9">
        <w:trPr>
          <w:trHeight w:val="917"/>
        </w:trPr>
        <w:tc>
          <w:tcPr>
            <w:tcW w:w="1373" w:type="pct"/>
            <w:shd w:val="clear" w:color="auto" w:fill="auto"/>
            <w:vAlign w:val="center"/>
          </w:tcPr>
          <w:p w14:paraId="41D4ECBB" w14:textId="77777777" w:rsidR="00BB5945" w:rsidRPr="00781112" w:rsidRDefault="00BB5945" w:rsidP="00DF5DC9">
            <w:pPr>
              <w:rPr>
                <w:rFonts w:cs="Arial"/>
                <w:color w:val="000000" w:themeColor="text1"/>
                <w:szCs w:val="16"/>
              </w:rPr>
            </w:pPr>
            <w:r w:rsidRPr="00781112">
              <w:rPr>
                <w:rFonts w:cs="Arial"/>
                <w:color w:val="000000" w:themeColor="text1"/>
                <w:szCs w:val="16"/>
                <w:shd w:val="clear" w:color="auto" w:fill="FFFFFF"/>
              </w:rPr>
              <w:t>A3. A regular early childhood program and receiving the majority of special education and related services in the regular early childhood program</w:t>
            </w:r>
          </w:p>
        </w:tc>
        <w:tc>
          <w:tcPr>
            <w:tcW w:w="518" w:type="pct"/>
            <w:shd w:val="clear" w:color="auto" w:fill="auto"/>
            <w:vAlign w:val="center"/>
          </w:tcPr>
          <w:p w14:paraId="208A896B"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102</w:t>
            </w:r>
          </w:p>
          <w:p w14:paraId="7DC68C48" w14:textId="77777777" w:rsidR="00BB5945" w:rsidRPr="00781112" w:rsidRDefault="00BB5945" w:rsidP="00DF5DC9">
            <w:pPr>
              <w:jc w:val="center"/>
              <w:rPr>
                <w:rFonts w:cs="Arial"/>
                <w:color w:val="000000" w:themeColor="text1"/>
                <w:szCs w:val="16"/>
              </w:rPr>
            </w:pPr>
          </w:p>
        </w:tc>
        <w:tc>
          <w:tcPr>
            <w:tcW w:w="518" w:type="pct"/>
            <w:shd w:val="clear" w:color="auto" w:fill="auto"/>
            <w:vAlign w:val="center"/>
          </w:tcPr>
          <w:p w14:paraId="4500B21F"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287</w:t>
            </w:r>
          </w:p>
        </w:tc>
        <w:tc>
          <w:tcPr>
            <w:tcW w:w="518" w:type="pct"/>
            <w:shd w:val="clear" w:color="auto" w:fill="auto"/>
            <w:vAlign w:val="center"/>
          </w:tcPr>
          <w:p w14:paraId="46BE34CA" w14:textId="77777777" w:rsidR="00BB5945" w:rsidRPr="00781112" w:rsidRDefault="00BB5945" w:rsidP="00DF5DC9">
            <w:pPr>
              <w:jc w:val="center"/>
              <w:rPr>
                <w:rFonts w:cs="Arial"/>
                <w:color w:val="000000" w:themeColor="text1"/>
                <w:szCs w:val="16"/>
              </w:rPr>
            </w:pPr>
          </w:p>
        </w:tc>
        <w:tc>
          <w:tcPr>
            <w:tcW w:w="518" w:type="pct"/>
            <w:shd w:val="clear" w:color="auto" w:fill="auto"/>
            <w:vAlign w:val="center"/>
          </w:tcPr>
          <w:p w14:paraId="09FC07F2"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35.54%</w:t>
            </w:r>
          </w:p>
        </w:tc>
        <w:tc>
          <w:tcPr>
            <w:tcW w:w="518" w:type="pct"/>
            <w:shd w:val="clear" w:color="auto" w:fill="auto"/>
            <w:vAlign w:val="center"/>
          </w:tcPr>
          <w:p w14:paraId="24C98B3C"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35.54%</w:t>
            </w:r>
          </w:p>
        </w:tc>
        <w:tc>
          <w:tcPr>
            <w:tcW w:w="518" w:type="pct"/>
            <w:shd w:val="clear" w:color="auto" w:fill="auto"/>
            <w:vAlign w:val="center"/>
          </w:tcPr>
          <w:p w14:paraId="62EF38BD"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0E60907E"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N/A</w:t>
            </w:r>
          </w:p>
        </w:tc>
      </w:tr>
      <w:tr w:rsidR="00BB5945" w:rsidRPr="00781112" w14:paraId="0C19A432" w14:textId="77777777" w:rsidTr="00DF5DC9">
        <w:trPr>
          <w:trHeight w:val="361"/>
        </w:trPr>
        <w:tc>
          <w:tcPr>
            <w:tcW w:w="1373" w:type="pct"/>
            <w:shd w:val="clear" w:color="auto" w:fill="auto"/>
            <w:vAlign w:val="center"/>
          </w:tcPr>
          <w:p w14:paraId="28F143E2" w14:textId="77777777" w:rsidR="00BB5945" w:rsidRPr="00781112" w:rsidRDefault="00BB5945" w:rsidP="00DF5DC9">
            <w:pPr>
              <w:rPr>
                <w:rFonts w:cs="Arial"/>
                <w:color w:val="000000" w:themeColor="text1"/>
                <w:szCs w:val="16"/>
              </w:rPr>
            </w:pPr>
            <w:r w:rsidRPr="00781112">
              <w:rPr>
                <w:rFonts w:cs="Arial"/>
                <w:color w:val="000000" w:themeColor="text1"/>
                <w:szCs w:val="16"/>
                <w:shd w:val="clear" w:color="auto" w:fill="FFFFFF"/>
              </w:rPr>
              <w:t>B3. Separate special education class, separate school or residential facility</w:t>
            </w:r>
          </w:p>
        </w:tc>
        <w:tc>
          <w:tcPr>
            <w:tcW w:w="518" w:type="pct"/>
            <w:shd w:val="clear" w:color="auto" w:fill="auto"/>
            <w:vAlign w:val="center"/>
          </w:tcPr>
          <w:p w14:paraId="4AC5F28B"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120</w:t>
            </w:r>
          </w:p>
        </w:tc>
        <w:tc>
          <w:tcPr>
            <w:tcW w:w="518" w:type="pct"/>
            <w:shd w:val="clear" w:color="auto" w:fill="auto"/>
            <w:vAlign w:val="center"/>
          </w:tcPr>
          <w:p w14:paraId="26F6963D"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287</w:t>
            </w:r>
          </w:p>
        </w:tc>
        <w:tc>
          <w:tcPr>
            <w:tcW w:w="518" w:type="pct"/>
            <w:shd w:val="clear" w:color="auto" w:fill="auto"/>
            <w:vAlign w:val="center"/>
          </w:tcPr>
          <w:p w14:paraId="5CEE7089" w14:textId="77777777" w:rsidR="00BB5945" w:rsidRPr="00781112" w:rsidRDefault="00BB5945" w:rsidP="00DF5DC9">
            <w:pPr>
              <w:jc w:val="center"/>
              <w:rPr>
                <w:rFonts w:cs="Arial"/>
                <w:color w:val="000000" w:themeColor="text1"/>
                <w:szCs w:val="16"/>
              </w:rPr>
            </w:pPr>
          </w:p>
        </w:tc>
        <w:tc>
          <w:tcPr>
            <w:tcW w:w="518" w:type="pct"/>
            <w:shd w:val="clear" w:color="auto" w:fill="auto"/>
            <w:vAlign w:val="center"/>
          </w:tcPr>
          <w:p w14:paraId="42601175"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41.81%</w:t>
            </w:r>
          </w:p>
        </w:tc>
        <w:tc>
          <w:tcPr>
            <w:tcW w:w="518" w:type="pct"/>
            <w:shd w:val="clear" w:color="auto" w:fill="auto"/>
            <w:vAlign w:val="center"/>
          </w:tcPr>
          <w:p w14:paraId="7A8A9F99"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41.81%</w:t>
            </w:r>
          </w:p>
        </w:tc>
        <w:tc>
          <w:tcPr>
            <w:tcW w:w="518" w:type="pct"/>
            <w:shd w:val="clear" w:color="auto" w:fill="auto"/>
            <w:vAlign w:val="center"/>
          </w:tcPr>
          <w:p w14:paraId="3319B894"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CCAD350" w14:textId="77777777" w:rsidR="00BB5945" w:rsidRPr="00781112" w:rsidRDefault="00BB5945" w:rsidP="00DF5DC9">
            <w:pPr>
              <w:jc w:val="center"/>
              <w:rPr>
                <w:rFonts w:cs="Arial"/>
                <w:color w:val="000000" w:themeColor="text1"/>
                <w:szCs w:val="16"/>
              </w:rPr>
            </w:pPr>
            <w:r w:rsidRPr="00781112">
              <w:rPr>
                <w:rFonts w:cs="Arial"/>
                <w:color w:val="000000" w:themeColor="text1"/>
                <w:szCs w:val="16"/>
              </w:rPr>
              <w:t>N/A</w:t>
            </w:r>
          </w:p>
        </w:tc>
      </w:tr>
    </w:tbl>
    <w:p w14:paraId="278D2849" w14:textId="2994FFA7" w:rsidR="00BB5945" w:rsidRDefault="00BB5945" w:rsidP="00D16730">
      <w:pPr>
        <w:rPr>
          <w:b/>
          <w:color w:val="000000" w:themeColor="text1"/>
        </w:rPr>
      </w:pPr>
    </w:p>
    <w:p w14:paraId="1A478422" w14:textId="7505324F" w:rsidR="00BB5945" w:rsidRPr="00306EB6" w:rsidRDefault="00BB5945" w:rsidP="00306EB6">
      <w:pPr>
        <w:rPr>
          <w:b/>
          <w:bCs/>
        </w:rPr>
      </w:pPr>
      <w:r w:rsidRPr="00306EB6">
        <w:rPr>
          <w:b/>
          <w:bCs/>
        </w:rPr>
        <w:t>FFY 2020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3AGE5CFFYAPRDATARNG618"/>
      </w:tblPr>
      <w:tblGrid>
        <w:gridCol w:w="1796"/>
        <w:gridCol w:w="1440"/>
        <w:gridCol w:w="1261"/>
        <w:gridCol w:w="991"/>
        <w:gridCol w:w="1258"/>
        <w:gridCol w:w="1172"/>
        <w:gridCol w:w="988"/>
        <w:gridCol w:w="874"/>
        <w:gridCol w:w="1010"/>
      </w:tblGrid>
      <w:tr w:rsidR="00AA46D2" w:rsidRPr="00781112" w14:paraId="71653120" w14:textId="77777777" w:rsidTr="003B2B5E">
        <w:trPr>
          <w:trHeight w:val="354"/>
          <w:tblHeader/>
          <w:jc w:val="center"/>
        </w:trPr>
        <w:tc>
          <w:tcPr>
            <w:tcW w:w="832" w:type="pct"/>
            <w:shd w:val="clear" w:color="auto" w:fill="auto"/>
            <w:vAlign w:val="bottom"/>
          </w:tcPr>
          <w:p w14:paraId="44A4D841"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Preschool Environments</w:t>
            </w:r>
          </w:p>
        </w:tc>
        <w:tc>
          <w:tcPr>
            <w:tcW w:w="667" w:type="pct"/>
            <w:shd w:val="clear" w:color="auto" w:fill="auto"/>
            <w:vAlign w:val="bottom"/>
          </w:tcPr>
          <w:p w14:paraId="03090F88"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Number of children with IEPs aged 5 served</w:t>
            </w:r>
          </w:p>
        </w:tc>
        <w:tc>
          <w:tcPr>
            <w:tcW w:w="584" w:type="pct"/>
            <w:shd w:val="clear" w:color="auto" w:fill="auto"/>
            <w:vAlign w:val="bottom"/>
          </w:tcPr>
          <w:p w14:paraId="0DA586B0"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Total number of children with IEPs aged 5</w:t>
            </w:r>
          </w:p>
        </w:tc>
        <w:tc>
          <w:tcPr>
            <w:tcW w:w="459" w:type="pct"/>
            <w:shd w:val="clear" w:color="auto" w:fill="auto"/>
            <w:vAlign w:val="bottom"/>
          </w:tcPr>
          <w:p w14:paraId="222CBCD9"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FFY 2019 Data</w:t>
            </w:r>
          </w:p>
        </w:tc>
        <w:tc>
          <w:tcPr>
            <w:tcW w:w="583" w:type="pct"/>
            <w:shd w:val="clear" w:color="auto" w:fill="auto"/>
            <w:vAlign w:val="bottom"/>
          </w:tcPr>
          <w:p w14:paraId="29559013" w14:textId="69B43EDA" w:rsidR="00AA46D2" w:rsidRPr="00781112" w:rsidRDefault="00AA46D2" w:rsidP="00AA46D2">
            <w:pPr>
              <w:jc w:val="center"/>
              <w:rPr>
                <w:rFonts w:cs="Arial"/>
                <w:b/>
                <w:color w:val="000000" w:themeColor="text1"/>
                <w:szCs w:val="16"/>
              </w:rPr>
            </w:pPr>
            <w:r w:rsidRPr="00781112">
              <w:rPr>
                <w:rFonts w:cs="Arial"/>
                <w:b/>
                <w:color w:val="000000" w:themeColor="text1"/>
                <w:szCs w:val="16"/>
              </w:rPr>
              <w:t>FFY 2020 Target(low)</w:t>
            </w:r>
          </w:p>
        </w:tc>
        <w:tc>
          <w:tcPr>
            <w:tcW w:w="543" w:type="pct"/>
            <w:vAlign w:val="bottom"/>
          </w:tcPr>
          <w:p w14:paraId="7081282F" w14:textId="275AE88A" w:rsidR="00AA46D2" w:rsidRPr="00781112" w:rsidRDefault="00AA46D2" w:rsidP="00AA46D2">
            <w:pPr>
              <w:jc w:val="center"/>
              <w:rPr>
                <w:rFonts w:cs="Arial"/>
                <w:b/>
                <w:color w:val="000000" w:themeColor="text1"/>
                <w:szCs w:val="16"/>
              </w:rPr>
            </w:pPr>
            <w:r w:rsidRPr="00781112">
              <w:rPr>
                <w:rFonts w:cs="Arial"/>
                <w:b/>
                <w:color w:val="000000" w:themeColor="text1"/>
                <w:szCs w:val="16"/>
              </w:rPr>
              <w:t>FFY 2020 Target(high)</w:t>
            </w:r>
          </w:p>
        </w:tc>
        <w:tc>
          <w:tcPr>
            <w:tcW w:w="458" w:type="pct"/>
            <w:shd w:val="clear" w:color="auto" w:fill="auto"/>
            <w:vAlign w:val="bottom"/>
          </w:tcPr>
          <w:p w14:paraId="5284E811" w14:textId="629CBE75" w:rsidR="00AA46D2" w:rsidRPr="00781112" w:rsidRDefault="00AA46D2" w:rsidP="00AA46D2">
            <w:pPr>
              <w:jc w:val="center"/>
              <w:rPr>
                <w:rFonts w:cs="Arial"/>
                <w:b/>
                <w:color w:val="000000" w:themeColor="text1"/>
                <w:szCs w:val="16"/>
              </w:rPr>
            </w:pPr>
            <w:r w:rsidRPr="00781112">
              <w:rPr>
                <w:rFonts w:cs="Arial"/>
                <w:b/>
                <w:color w:val="000000" w:themeColor="text1"/>
                <w:szCs w:val="16"/>
              </w:rPr>
              <w:t>FFY 2020 Data</w:t>
            </w:r>
          </w:p>
        </w:tc>
        <w:tc>
          <w:tcPr>
            <w:tcW w:w="405" w:type="pct"/>
            <w:shd w:val="clear" w:color="auto" w:fill="auto"/>
            <w:vAlign w:val="bottom"/>
          </w:tcPr>
          <w:p w14:paraId="4FC7B2BC"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3B20B8FA" w14:textId="77777777" w:rsidR="00AA46D2" w:rsidRPr="00781112" w:rsidRDefault="00AA46D2" w:rsidP="00AA46D2">
            <w:pPr>
              <w:jc w:val="center"/>
              <w:rPr>
                <w:rFonts w:cs="Arial"/>
                <w:b/>
                <w:color w:val="000000" w:themeColor="text1"/>
                <w:szCs w:val="16"/>
              </w:rPr>
            </w:pPr>
            <w:r w:rsidRPr="00781112">
              <w:rPr>
                <w:rFonts w:cs="Arial"/>
                <w:b/>
                <w:color w:val="000000" w:themeColor="text1"/>
                <w:szCs w:val="16"/>
              </w:rPr>
              <w:t>Slippage</w:t>
            </w:r>
          </w:p>
        </w:tc>
      </w:tr>
      <w:tr w:rsidR="00AA46D2" w:rsidRPr="00781112" w14:paraId="03ECC909" w14:textId="77777777" w:rsidTr="003B2B5E">
        <w:trPr>
          <w:trHeight w:val="361"/>
          <w:jc w:val="center"/>
        </w:trPr>
        <w:tc>
          <w:tcPr>
            <w:tcW w:w="832" w:type="pct"/>
            <w:shd w:val="clear" w:color="auto" w:fill="auto"/>
            <w:vAlign w:val="center"/>
          </w:tcPr>
          <w:p w14:paraId="45F3E795" w14:textId="77777777" w:rsidR="00AA46D2" w:rsidRPr="00781112" w:rsidRDefault="00AA46D2" w:rsidP="00AA46D2">
            <w:pPr>
              <w:rPr>
                <w:rFonts w:cs="Arial"/>
                <w:color w:val="000000" w:themeColor="text1"/>
                <w:szCs w:val="16"/>
                <w:shd w:val="clear" w:color="auto" w:fill="FFFFFF"/>
              </w:rPr>
            </w:pPr>
            <w:r w:rsidRPr="00781112">
              <w:rPr>
                <w:rFonts w:cs="Arial"/>
                <w:szCs w:val="16"/>
                <w:shd w:val="clear" w:color="auto" w:fill="FFFFFF"/>
              </w:rPr>
              <w:t>C3. Home</w:t>
            </w:r>
          </w:p>
        </w:tc>
        <w:tc>
          <w:tcPr>
            <w:tcW w:w="667" w:type="pct"/>
            <w:shd w:val="clear" w:color="auto" w:fill="auto"/>
            <w:vAlign w:val="center"/>
          </w:tcPr>
          <w:p w14:paraId="39081346" w14:textId="77777777" w:rsidR="00AA46D2" w:rsidRPr="00781112" w:rsidRDefault="00AA46D2" w:rsidP="00AA46D2">
            <w:pPr>
              <w:jc w:val="center"/>
              <w:rPr>
                <w:rFonts w:cs="Arial"/>
                <w:color w:val="000000" w:themeColor="text1"/>
                <w:szCs w:val="16"/>
              </w:rPr>
            </w:pPr>
            <w:r w:rsidRPr="00781112">
              <w:rPr>
                <w:rFonts w:cs="Arial"/>
                <w:color w:val="000000" w:themeColor="text1"/>
                <w:szCs w:val="16"/>
              </w:rPr>
              <w:t>1</w:t>
            </w:r>
          </w:p>
        </w:tc>
        <w:tc>
          <w:tcPr>
            <w:tcW w:w="584" w:type="pct"/>
            <w:shd w:val="clear" w:color="auto" w:fill="auto"/>
            <w:vAlign w:val="center"/>
          </w:tcPr>
          <w:p w14:paraId="05D83D99" w14:textId="77777777" w:rsidR="00AA46D2" w:rsidRPr="00781112" w:rsidRDefault="00AA46D2" w:rsidP="00AA46D2">
            <w:pPr>
              <w:jc w:val="center"/>
              <w:rPr>
                <w:rFonts w:cs="Arial"/>
                <w:color w:val="000000" w:themeColor="text1"/>
                <w:szCs w:val="16"/>
              </w:rPr>
            </w:pPr>
            <w:r w:rsidRPr="00781112">
              <w:rPr>
                <w:rFonts w:cs="Arial"/>
                <w:color w:val="000000" w:themeColor="text1"/>
                <w:szCs w:val="16"/>
              </w:rPr>
              <w:t>287</w:t>
            </w:r>
          </w:p>
        </w:tc>
        <w:tc>
          <w:tcPr>
            <w:tcW w:w="459" w:type="pct"/>
            <w:shd w:val="clear" w:color="auto" w:fill="auto"/>
            <w:vAlign w:val="center"/>
          </w:tcPr>
          <w:p w14:paraId="53BFCFE7" w14:textId="77777777" w:rsidR="00AA46D2" w:rsidRPr="00781112" w:rsidRDefault="00AA46D2" w:rsidP="00AA46D2">
            <w:pPr>
              <w:jc w:val="center"/>
              <w:rPr>
                <w:rFonts w:cs="Arial"/>
                <w:color w:val="000000" w:themeColor="text1"/>
                <w:szCs w:val="16"/>
              </w:rPr>
            </w:pPr>
          </w:p>
        </w:tc>
        <w:tc>
          <w:tcPr>
            <w:tcW w:w="583" w:type="pct"/>
            <w:shd w:val="clear" w:color="auto" w:fill="auto"/>
            <w:vAlign w:val="center"/>
          </w:tcPr>
          <w:p w14:paraId="553C891F" w14:textId="253D62F7" w:rsidR="00AA46D2" w:rsidRPr="00781112" w:rsidRDefault="00AA46D2" w:rsidP="002F1D27">
            <w:pPr>
              <w:jc w:val="center"/>
              <w:rPr>
                <w:rFonts w:cs="Arial"/>
                <w:color w:val="000000" w:themeColor="text1"/>
                <w:szCs w:val="16"/>
              </w:rPr>
            </w:pPr>
            <w:r w:rsidRPr="00781112">
              <w:rPr>
                <w:rFonts w:cs="Arial"/>
                <w:color w:val="000000" w:themeColor="text1"/>
                <w:szCs w:val="16"/>
              </w:rPr>
              <w:t>0.00%</w:t>
            </w:r>
          </w:p>
        </w:tc>
        <w:tc>
          <w:tcPr>
            <w:tcW w:w="543" w:type="pct"/>
            <w:vAlign w:val="center"/>
          </w:tcPr>
          <w:p w14:paraId="6E90CEF9" w14:textId="6832E3D8" w:rsidR="00AA46D2" w:rsidRPr="00781112" w:rsidRDefault="00AA46D2" w:rsidP="00AA46D2">
            <w:pPr>
              <w:jc w:val="center"/>
              <w:rPr>
                <w:rFonts w:cs="Arial"/>
                <w:color w:val="000000" w:themeColor="text1"/>
                <w:szCs w:val="16"/>
              </w:rPr>
            </w:pPr>
            <w:r w:rsidRPr="00781112">
              <w:rPr>
                <w:rFonts w:cs="Arial"/>
                <w:color w:val="000000" w:themeColor="text1"/>
                <w:szCs w:val="16"/>
              </w:rPr>
              <w:t>0.60%</w:t>
            </w:r>
          </w:p>
        </w:tc>
        <w:tc>
          <w:tcPr>
            <w:tcW w:w="458" w:type="pct"/>
            <w:shd w:val="clear" w:color="auto" w:fill="auto"/>
            <w:vAlign w:val="center"/>
          </w:tcPr>
          <w:p w14:paraId="0E6555B7" w14:textId="626242F8" w:rsidR="00AA46D2" w:rsidRPr="00781112" w:rsidRDefault="00AA46D2" w:rsidP="00AA46D2">
            <w:pPr>
              <w:jc w:val="center"/>
              <w:rPr>
                <w:rFonts w:cs="Arial"/>
                <w:color w:val="000000" w:themeColor="text1"/>
                <w:szCs w:val="16"/>
              </w:rPr>
            </w:pPr>
            <w:r w:rsidRPr="00781112">
              <w:rPr>
                <w:rFonts w:cs="Arial"/>
                <w:color w:val="000000" w:themeColor="text1"/>
                <w:szCs w:val="16"/>
              </w:rPr>
              <w:t>0.35%</w:t>
            </w:r>
          </w:p>
        </w:tc>
        <w:tc>
          <w:tcPr>
            <w:tcW w:w="405" w:type="pct"/>
            <w:shd w:val="clear" w:color="auto" w:fill="auto"/>
            <w:vAlign w:val="center"/>
          </w:tcPr>
          <w:p w14:paraId="6095F830" w14:textId="77777777" w:rsidR="00AA46D2" w:rsidRPr="00781112" w:rsidRDefault="00AA46D2" w:rsidP="00AA46D2">
            <w:pPr>
              <w:jc w:val="center"/>
              <w:rPr>
                <w:rFonts w:cs="Arial"/>
                <w:color w:val="000000" w:themeColor="text1"/>
                <w:szCs w:val="16"/>
              </w:rPr>
            </w:pPr>
            <w:r w:rsidRPr="00781112">
              <w:rPr>
                <w:rFonts w:cs="Arial"/>
                <w:color w:val="000000" w:themeColor="text1"/>
                <w:szCs w:val="16"/>
              </w:rPr>
              <w:t>N/A</w:t>
            </w:r>
          </w:p>
        </w:tc>
        <w:tc>
          <w:tcPr>
            <w:tcW w:w="468" w:type="pct"/>
            <w:shd w:val="clear" w:color="auto" w:fill="auto"/>
            <w:vAlign w:val="center"/>
          </w:tcPr>
          <w:p w14:paraId="745F37CE" w14:textId="77777777" w:rsidR="00AA46D2" w:rsidRPr="00781112" w:rsidRDefault="00AA46D2" w:rsidP="00AA46D2">
            <w:pPr>
              <w:jc w:val="center"/>
              <w:rPr>
                <w:rFonts w:cs="Arial"/>
                <w:color w:val="000000" w:themeColor="text1"/>
                <w:szCs w:val="16"/>
              </w:rPr>
            </w:pPr>
            <w:r w:rsidRPr="00781112">
              <w:rPr>
                <w:rFonts w:cs="Arial"/>
                <w:color w:val="000000" w:themeColor="text1"/>
                <w:szCs w:val="16"/>
              </w:rPr>
              <w:t>N/A</w:t>
            </w:r>
          </w:p>
        </w:tc>
      </w:tr>
    </w:tbl>
    <w:p w14:paraId="517540E5" w14:textId="188BB5B5" w:rsidR="00BB5945" w:rsidRDefault="00BB5945" w:rsidP="00D16730">
      <w:pPr>
        <w:rPr>
          <w:b/>
          <w:color w:val="000000" w:themeColor="text1"/>
        </w:rPr>
      </w:pP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OSEP revised the measurement for this indicator leading to the need to establish new baselines and targets. Historical data for this indicator is based on previous OSEP approved measurement documented in previous SPP/APR reports.  Data for the FFY 20 SPP/APR is based on the new OSEP approved measurement table which is described in the measurement/instructions for this indicator.</w:t>
      </w:r>
      <w:r w:rsidRPr="00781112">
        <w:rPr>
          <w:rFonts w:cs="Arial"/>
          <w:color w:val="000000" w:themeColor="text1"/>
          <w:szCs w:val="16"/>
        </w:rPr>
        <w:br/>
        <w:t>DDOE ensures that this data is complete, accurate, reliable, and valid for Indicator 6. DDOE mitigated the impact of COVID-19 by providing guidance documents and technical assistance for LEAs. This includes providing professional learning and training in the Early Childhood Special Education monthly meetings and special education director leadership meetings in addition to the development of guidance documents and resources focused on preschool settings.  In addition, DDOE works closely with the Early Childhood Inclusion Committee which is a sub-committee of the Delaware Early Childhood Council and meets individually with LEAs to engage in problem solving, review/analyze data and support the LEA’s implementation of the least restrictive environment requirements for preschool children. COVID-19 did not have any impact on the data collection since the SEA and LEA utilize a state data system which is available electronically from any location.</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Indicators 6A and 6B, using data from FFY 2020, and OSEP accepts that revision. </w:t>
      </w:r>
      <w:r w:rsidRPr="00781112">
        <w:rPr>
          <w:rFonts w:cs="Arial"/>
          <w:color w:val="000000" w:themeColor="text1"/>
          <w:szCs w:val="16"/>
        </w:rPr>
        <w:br/>
      </w:r>
      <w:r w:rsidRPr="00781112">
        <w:rPr>
          <w:rFonts w:cs="Arial"/>
          <w:color w:val="000000" w:themeColor="text1"/>
          <w:szCs w:val="16"/>
        </w:rPr>
        <w:br/>
        <w:t xml:space="preserve">The State established baseline for Indicator 6C, using data from FFY 2020, and OSEP accepts the baseline.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85.99%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60.70%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51.47%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51.06%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46.63%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93.40%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87.04%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86.84%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54.80%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46.12%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46.86%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44.97%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92.30%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88.31%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89.34%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87.73%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63.58%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60.92%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59.14%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86.00%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86.50%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87.20%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88.31%</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89.00%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89.51%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47.53%</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48.42%</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49.32%</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50.21%</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51.11%</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52.00%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87.04%</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87.27%</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87.49%</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87.72%</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87.94%</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88.71%</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46.12%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46.62%</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47.12%</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47.62%</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48.12%</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48.62%</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88.31%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88.65%</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88.99%</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89.32%</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89.66%</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90.00%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59.35%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59.65%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59.95%</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60.25%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60.55%</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60.85%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12 meetings were held with stakeholder groups which include Early Childhood State and Local Education Agency meetings,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944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2.86%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10.38%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375</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39.72%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312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33.05%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132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13.98%</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687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812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85.99%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84.61%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444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944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46.63%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47.53%</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47.03%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2.01%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12.08%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397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42.06%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371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39.30%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4.56%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768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901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86.84%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87.04%</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85.24%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414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944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46.12%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43.86%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2.12%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96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10.17%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294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31.14%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392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41.53%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15.04%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686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802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87.73%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88.31%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85.54%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534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944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59.14%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59.35%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56.57%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The reported data is in line with previous years data trends for this summary statement, with LEAs expressed concerns that the targets, including baseline needed to be reset.</w:t>
            </w:r>
            <w:r w:rsidRPr="00781112">
              <w:rPr>
                <w:rFonts w:cs="Arial"/>
                <w:color w:val="000000" w:themeColor="text1"/>
                <w:szCs w:val="16"/>
              </w:rPr>
              <w:br/>
            </w:r>
            <w:r w:rsidRPr="00781112">
              <w:rPr>
                <w:rFonts w:cs="Arial"/>
                <w:color w:val="000000" w:themeColor="text1"/>
                <w:szCs w:val="16"/>
              </w:rPr>
              <w:lastRenderedPageBreak/>
              <w:t>LEAs have reported that even though virtual supports during remote services due to the Covid-19 pandemic have been successful in engaging parents with their preschool age children, it has been challenging to consistently engage the youngest learners in this format.</w:t>
            </w:r>
            <w:r w:rsidRPr="00781112">
              <w:rPr>
                <w:rFonts w:cs="Arial"/>
                <w:color w:val="000000" w:themeColor="text1"/>
                <w:szCs w:val="16"/>
              </w:rPr>
              <w:br/>
              <w:t>Schools did bring back preschool age children before bringing back school age children for in person classroom supports, yet the data suggests that the prior lost time in a face- to- face format has been negatively impactful on the outcomes data.</w:t>
            </w:r>
            <w:r w:rsidRPr="00781112">
              <w:rPr>
                <w:rFonts w:cs="Arial"/>
                <w:color w:val="000000" w:themeColor="text1"/>
                <w:szCs w:val="16"/>
              </w:rPr>
              <w:br/>
              <w:t>Also, LEAs report inconsistent attendance due to the pandemic for both remote and in school services, which along with quarantine requirements have all added to the subsequent lack of children exiting at levels comparable to same age peers. LEAs have also shared with the SEA that children with significant needs, (especially with the continuation of increasing numbers of children on the autism spectrum) make meeting this target very challenging.</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lastRenderedPageBreak/>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The reported data is in line with previous years data trends for this summary statement, with LEAs expressed concerns that the targets, including baseline needed to be reset.</w:t>
            </w:r>
            <w:r w:rsidRPr="00781112">
              <w:rPr>
                <w:rFonts w:cs="Arial"/>
                <w:color w:val="000000" w:themeColor="text1"/>
                <w:szCs w:val="16"/>
              </w:rPr>
              <w:br/>
              <w:t>LEAs have reported that even though virtual supports during remote services due to the Covid-19 pandemic have been successful in engaging parents with their preschool age children, it has been challenging to consistently engage the youngest learners in this format.</w:t>
            </w:r>
            <w:r w:rsidRPr="00781112">
              <w:rPr>
                <w:rFonts w:cs="Arial"/>
                <w:color w:val="000000" w:themeColor="text1"/>
                <w:szCs w:val="16"/>
              </w:rPr>
              <w:br/>
              <w:t>Schools did bring back preschool age children before bringing back school age children for in person classroom supports, yet the data suggests that the prior lost time in a face- to- face format has been negatively impactful on the outcomes data.</w:t>
            </w:r>
            <w:r w:rsidRPr="00781112">
              <w:rPr>
                <w:rFonts w:cs="Arial"/>
                <w:color w:val="000000" w:themeColor="text1"/>
                <w:szCs w:val="16"/>
              </w:rPr>
              <w:br/>
              <w:t>Also, LEAs report inconsistent attendance due to the pandemic for both remote and in school services, which along with quarantine requirements have all added to the subsequent lack of children exiting at levels comparable to same age peers. LEAs have also shared with the SEA that children with significant needs, (especially with the continuation of increasing numbers of children on the autism spectrum) make meeting this target very challenging.</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The reported data is in line with previous years data trends for this summary statement, with LEAs expressed concerns that the targets, including baseline needed to be reset.</w:t>
            </w:r>
            <w:r w:rsidRPr="00781112">
              <w:rPr>
                <w:rFonts w:cs="Arial"/>
                <w:color w:val="000000" w:themeColor="text1"/>
                <w:szCs w:val="16"/>
              </w:rPr>
              <w:br/>
              <w:t>LEAs have reported that even though virtual supports during remote services due to the Covid-19 pandemic have been successful in engaging parents with their preschool age children, it has been challenging to consistently engage the youngest learners in this format.</w:t>
            </w:r>
            <w:r w:rsidRPr="00781112">
              <w:rPr>
                <w:rFonts w:cs="Arial"/>
                <w:color w:val="000000" w:themeColor="text1"/>
                <w:szCs w:val="16"/>
              </w:rPr>
              <w:br/>
              <w:t>Schools did bring back preschool age children before bringing back school age children for in person classroom supports, yet the data suggests that the prior lost time in a face- to- face format has been negatively impactful on the outcomes data.</w:t>
            </w:r>
            <w:r w:rsidRPr="00781112">
              <w:rPr>
                <w:rFonts w:cs="Arial"/>
                <w:color w:val="000000" w:themeColor="text1"/>
                <w:szCs w:val="16"/>
              </w:rPr>
              <w:br/>
              <w:t>Also, LEAs report inconsistent attendance due to the pandemic for both remote and in school services, which along with quarantine requirements have all added to the subsequent lack of children exiting at levels comparable to same age peers. LEAs have also shared with the SEA that children with significant needs, (especially with the continuation of increasing numbers of children on the autism spectrum) make meeting this target very challenging.</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2" w:name="_Toc382082381"/>
      <w:bookmarkStart w:id="3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LEAs were allowed to continue to use information reported from parents, observations, and records review as part of the continuation of the waiver of required tools during the Covid-19 pandemic if use of the other approved instruments, listed below was not practicable. </w:t>
      </w:r>
      <w:r w:rsidRPr="00781112">
        <w:rPr>
          <w:rFonts w:cs="Arial"/>
          <w:color w:val="000000" w:themeColor="text1"/>
          <w:szCs w:val="16"/>
        </w:rPr>
        <w:br/>
        <w:t>Adaptive Behavior Assessment System (ABAS) • Ages and Stages Questionnaire-3 AND Ages and Stages SE-2 (referred to as ASQ on the COS Form)- ASQ only be used for children identified with Preschool Speech Delay OR receiving itinerant services (if the program is not already using another approved assessment). • Assessment of Basic Language and Learning Skills Revised (ABLLS-R) • Callier Azusa Scale • Carolina Curriculum Assessment for Infants and Toddlers with Special Needs • Carolina Curriculum Assessment for Preschoolers with Special Needs • Creative Curriculum • Developmental Assessment for Individuals with Severe Disabilities – 3rd Edition (DASH-3) • Early Learning Survey • Early Start Denver Model (ESDM) checklist (in conjunction with TSG) • Evaluation Summary Report (to be used for entry COS only) • Goldman Fristoe Test of Articulation (GFTA-3)  For children identified with Preschool Speech Delay, if GFTA-3 is selected as the primary assessment, a secondary assessment must also be used so all 3 Outcomes are addressed. • Record Review for Transfers Only • The Ounce Scale • The Photo Articulation Test – 3rd Edition (PAT-3) – use for outcome #2 ONLY • Teaching Strategies GOLD • Verbal Behavior Milestones Assessment and Placement Program (VB-MAPP) • Vineland Adaptive Behavior Scale- 3rd Edition • Work Sampling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7. DDOE mitigated the impact of COVID-19 by providing guidance and technical assistance for LEAs. This technical assistance included professional learning and training in the Early Childhood Special Education monthly meetings and special education director leadership meetings in addition to the development of guidance documents and resources focused on early childhood outcomes.  In addition, DDOE works closely with the LEA 619 staff and meets individually with LEAs to engage in problem solving, review/analyze data and support the LEA’s implementation of developmentally appropriate best practices for preschool children. COVID-19 did not have any impact on the data collection since the SEA and LEA utilize a state data system which is available electronically from any location.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2"/>
      <w:bookmarkEnd w:id="33"/>
    </w:p>
    <w:p w14:paraId="66FBCA03" w14:textId="77777777" w:rsidR="00B654C1" w:rsidRPr="00781112" w:rsidRDefault="00B654C1" w:rsidP="00A018D4">
      <w:pPr>
        <w:rPr>
          <w:color w:val="000000" w:themeColor="text1"/>
          <w:szCs w:val="20"/>
        </w:rPr>
      </w:pPr>
      <w:bookmarkStart w:id="3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5"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5"/>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6"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6"/>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w:t>
      </w:r>
      <w:r w:rsidRPr="00781112">
        <w:rPr>
          <w:rFonts w:cs="Arial"/>
          <w:color w:val="000000" w:themeColor="text1"/>
          <w:szCs w:val="16"/>
        </w:rPr>
        <w:lastRenderedPageBreak/>
        <w:t xml:space="preserve">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8 stakeholder meetings were held which include Equity in IDEA Stakeholder Group, Lunch &amp; Learn sessions in collaboration with Parent Information Center of Delaware,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89.54%</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90.67%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89.18%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89.54%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92.33%</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90.00%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90.50%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91.00%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91.50%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92.00%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92.50%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1,603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1,704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92.33%</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94.07%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DDOE distributes a parent survey to families of ALL students with IEPs including both preschool and school aged children. LEAs are required to enter and maintain data, within Delaware's electronic statewide pupil accounting system, regarding special education and related services such as the date eligibility is determined, disability code, and IEP meeting, initiation, and end dates. By requiring all LEAs to enter information into the statewide pupil accounting system, the DDOE is able to identify both preschool and school aged children receiving special education and related services and include ALL families in the distribution of the parent survey. DDOE ensures that this data is complete, accurate, reliable, and valid for Indicator 8. This is ensured </w:t>
      </w:r>
      <w:r w:rsidRPr="00781112">
        <w:rPr>
          <w:rFonts w:cs="Arial"/>
          <w:color w:val="000000" w:themeColor="text1"/>
          <w:szCs w:val="16"/>
        </w:rPr>
        <w:lastRenderedPageBreak/>
        <w:t>by the DDOE, in collaboration with LEAs, through procedures and practices instituted for data collection processes such as the December 1st child count.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24,394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6.99%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4.89%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6.99%</w:t>
            </w:r>
          </w:p>
        </w:tc>
      </w:tr>
      <w:bookmarkEnd w:id="3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DDOE facilitated Virtual Lunch and Learn sessions in collaboration with the Parent Information center of Delaware (PIC).  Over 5,000 parents that were representative of multiple race/ethnicity groups, diverse student disability categories, and geographic areas, were invited to participate and provide feedback.  Parents were also represented on other stakeholder groups that analyzed Indicator 8 data.  Input from stakeholders included a reduction in survey questions, a change in the appearance of the distribution envelope to represent the districts.  The Special Education Leadership suggested cell phone text messages with survey links for parents after IEP meetings and reminders from the district through letters and phone communications. </w:t>
      </w:r>
      <w:r w:rsidRPr="0061205F">
        <w:rPr>
          <w:rFonts w:cs="Arial"/>
          <w:bCs/>
          <w:color w:val="000000" w:themeColor="text1"/>
          <w:szCs w:val="16"/>
        </w:rPr>
        <w:br/>
        <w:t xml:space="preserve">Next steps include the creation of a video and flyer designed to inform families of the survey and provide an example of the mailing envelope.  This will assist in the prevention of families discarding the survey as junk mail.  The flyer will be displayed on both the DDOE website, the PIC website, and Facebook/via social media.  In addition, the flyers will be distributed to 42 LEA parent councils.  PIC will create a guidance document for staff to use when explaining the survey and encourage parents to participate when they call for assistance.  DDOE and PIC will also collaborate to share information about the survey with parent advocate groups for Blacks/African Americans and Hispanic/Latinos in all three counties.  The survey is presently mailed twice a year. A third option will be considered to allow the survey to be completed after IEP meetings by the use of a QR scan code.  This will allow the DDOE to collect survey data throughout the year.  The DDOE will consider offering the survey in additional languages after a review of the top three to five languages being spoken in the homes of the students receiving special education services throughout the state.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8" w:name="_Hlk81486999"/>
      <w:r w:rsidRPr="0061205F">
        <w:rPr>
          <w:rFonts w:cs="Arial"/>
          <w:b/>
          <w:color w:val="000000" w:themeColor="text1"/>
          <w:szCs w:val="16"/>
        </w:rPr>
        <w:t>of the response rate including any nonresponse bias that was identified,</w:t>
      </w:r>
      <w:bookmarkEnd w:id="3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DDOE conducted an analysis of the survey response rate for the parents of children in each disability category compared to the statewide disabilities categories demographics.  The analysis revealed that the following disability categories were underrepresented; Developmental Delay, Learning Disability, and Other Health Impairment.  Although these three disability categories represent 65.91% of students receiving special education services in the state of Delaware, the combined survey response rate was 36.91%.  The response rate was not representative of the statewide demographics. </w:t>
      </w:r>
      <w:r>
        <w:rPr>
          <w:rFonts w:cs="Arial"/>
          <w:szCs w:val="16"/>
        </w:rPr>
        <w:br/>
      </w:r>
      <w:r>
        <w:rPr>
          <w:rFonts w:cs="Arial"/>
          <w:szCs w:val="16"/>
        </w:rPr>
        <w:br/>
        <w:t xml:space="preserve">An analysis of the survey response rate for parents of children in each race and ethnicity category was compared to the statewide race and ethnicity categories for all students receiving special education services.  According to the statewide race and ethnicity demographics for children receiving special education services, African American and Hispanic/Latino students represent 52.45% of the special education population.  The combined survey response rate for the parents of African American and Hispanic/Latino students with disabilities was 35.75%.  This response rate was not representative of the statewide demographics.  </w:t>
      </w:r>
      <w:r>
        <w:rPr>
          <w:rFonts w:cs="Arial"/>
          <w:szCs w:val="16"/>
        </w:rPr>
        <w:br/>
      </w:r>
      <w:r>
        <w:rPr>
          <w:rFonts w:cs="Arial"/>
          <w:szCs w:val="16"/>
        </w:rPr>
        <w:br/>
        <w:t xml:space="preserve">The DDOE worked closely with the Parent Information Center of Delaware and diverse groups of stakeholders to review the survey and analyze response rate data.  Stakeholders identified areas of possible bias including providing the survey in additional languages and the need to identify and implement additional strategies to reach underrepresented groups.  DDOE, in collaboration with Parent Information Center of Delawar, will engage parents from underrepresentative groups to problem solve and strategies.       </w:t>
      </w:r>
      <w:r>
        <w:rPr>
          <w:rFonts w:cs="Arial"/>
          <w:szCs w:val="16"/>
        </w:rPr>
        <w:br/>
      </w:r>
      <w:r>
        <w:rPr>
          <w:rFonts w:cs="Arial"/>
          <w:szCs w:val="16"/>
        </w:rPr>
        <w:br/>
        <w:t xml:space="preserve">The DDOE in collaboration with PIC facilitated parent focus groups to identify possible barriers that would prevent parents from completing the survey.  Based on feedback from the parent focus gropus, barriers included a lack of undersanding fo the purpose and importance of the survey, accessibility for disabled parents, and knowledge of the parent engagement.  The parents suggested that the DDOE inform parents about the survey by emails, calls from the district/charter, and correspondence distributed by the parent councils.  In response to the parent feedback, the DDOE will post a video and flyer on the DDOE website.  These will also be posted on the PIC website. In addition, the DDOE will distribute the flyer to all LEAs and parent councils.  PIC will create a guidance document for staff to use when explaining.  The survey will be offered in additional languages (presently offered in English and Spanish).  Parents will continue to have the option of calling the DDOE/PIC for assistance with completing the survey and/or to complete the survey via phone.  The DDOE and PIC will inform parent advocate groups of the survey to target underrepresented groups to increase the diversity of the surevey respondents.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A chi-square test of independence was performed to examine the relationship between respondent parents of children within each disability category and the state demographics of children within each disability category receiving special education services. The relationship between these variables was significant, therefore, they are not representative, X2(14, N=24,672) = 783.47, p &lt; .01.  Respondents within disability categories not reported were excluded from this analysis. The DDOE further explored the relationship between state demographics of disability categories and respondent parents by examining the 95% confidence interval. The analysis revealed that the following disability categories were underrepresented; Developmental Delay, Learning Disability, and Other Health Impairment.  Although these three disability categories represent 65.91% of students receiving special education services in the state of Delaware, the combined survey response rate was 36.91%.  The response rate was not representative of the statewide demographics. </w:t>
      </w:r>
      <w:r w:rsidRPr="000A2B9F">
        <w:rPr>
          <w:b w:val="0"/>
          <w:bCs/>
          <w:color w:val="000000" w:themeColor="text1"/>
        </w:rPr>
        <w:br/>
      </w:r>
      <w:r w:rsidRPr="000A2B9F">
        <w:rPr>
          <w:b w:val="0"/>
          <w:bCs/>
          <w:color w:val="000000" w:themeColor="text1"/>
        </w:rPr>
        <w:br/>
        <w:t xml:space="preserve">A second chi-square test of independence was performed to examine the relationship between respondent parents of children within each race and ethnicity category and state demographics of children within each race and ethnicity category receiving special education services. The relationship </w:t>
      </w:r>
      <w:r w:rsidRPr="000A2B9F">
        <w:rPr>
          <w:b w:val="0"/>
          <w:bCs/>
          <w:color w:val="000000" w:themeColor="text1"/>
        </w:rPr>
        <w:lastRenderedPageBreak/>
        <w:t xml:space="preserve">between these variables was significant, therefore, they are not representative, X2(6, N=24,672) = 618.41, p &lt; .01  Respondents who did not provide race and ethnicity information were excluded from this analysis. The DDOE further explored the relationship between the state demographics of race and ethnicity categories and respondent parents by examining the 95% confidence interval. An analysis of the survey response rate for parents of children in each race and ethnicity category was compared to the statewide race and ethnicity categories for all students receiving special education services.  According to the statewide race and ethnicity demographics for children receiving special education services, African American and Hispanic/Latino students represent 52.45% of the special education population.  The combined survey response rate for the parents of African American and Hispanic/Latino students with disabilities was 35.75%.  This response rate was not representative of the statewide demographics.  </w:t>
      </w:r>
      <w:r w:rsidRPr="000A2B9F">
        <w:rPr>
          <w:b w:val="0"/>
          <w:bCs/>
          <w:color w:val="000000" w:themeColor="text1"/>
        </w:rPr>
        <w:br/>
        <w:t xml:space="preserve">The DDOE also conducted a qualitative analysis of the survey response rate for parents of students receiving special education services compared to the statewide demographics of students receiving special education services in the areas of age categories (Preschool, Elementary, Middle School, High School, and 18-21 year olds) and geographical location by county (New Castle, Kent, and Sussex).  </w:t>
      </w:r>
      <w:r w:rsidRPr="000A2B9F">
        <w:rPr>
          <w:b w:val="0"/>
          <w:bCs/>
          <w:color w:val="000000" w:themeColor="text1"/>
        </w:rPr>
        <w:br/>
        <w:t xml:space="preserve">The secondary age group (Middle School, High School, and 18-21 year olds) represent 55.60% of students receiving special education services statewide.  The survey response rate for secondary students receiving special education services was 39.74%.   This age group category was underrepresented.  The Elementary age category (Preschool and Elementary) represents 44.41% of the students receiving special education services.  The survey response rate for the parents of elementary students receiving special education services was 47.31%.  This age category received a higher response rate in comparison to the statewide age demographics.  </w:t>
      </w:r>
      <w:r w:rsidRPr="000A2B9F">
        <w:rPr>
          <w:b w:val="0"/>
          <w:bCs/>
          <w:color w:val="000000" w:themeColor="text1"/>
        </w:rPr>
        <w:br/>
        <w:t xml:space="preserve">In the DDOE’s analysis of the survey response rate for the parents of students receiving special education services compared to the statewide demographics for geographical location by county, it was determined that the New Castle County had the highest rate of return.  New Castle County is the smallest but heaviest populated county in Delaware and is considered urban.  The statewide demographics for students receiving special education services and living in New Castle County is 56.86% and 55.75% of the surveys returned were from the parents of students receiving special education services and living in New Castle County.  Kent County is the central county in Delaware.  It is considered rural.  23.92% of the students receiving special education services in Delaware live in Kent County.  The survey response rate for the parents of students receiving special education services and living in Kent County was 18.84% which is below the state’s demographics.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Through statistical and qualitative analysis of the statewide demographics of students receiving special education services and the student demographics for the respondent parents in the areas of race/ethnicity, disability category, age, and geographical location, the DDOE identified underrepresented groups.  These groups included the parents of Black/African American and Hispanic/Latino students, students in the disability categories of Developmental Delay, Learning Disability, and Other Health Impairment, students in the secondary age group, and students living in Kent County.  The DDOE will collaborate with the Parent Information Centre of Delaware to inform parent advocate groups for the Black/African American and Latino communities in all three counties.  Flyers will be distributed to the parent councils in each LEA in an effort to inform parents of the survey and encourage their participation.  In addition to the two mailings of the survey, the DDOE will explore an online option that will allow parents to complete the survey after the IEP meeting with a QR scan code.  This option will enable the DDOE to collect survey data throughout the year.  The DDOE will also consider offering the survey in additional languages (presently offered in English and Spanish) based on an examination of the top three to five languages spoken in the homes of students receiving special education services.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 one-way chi-square test was performed to determine the extent to which the sample of survey responders is representative of the statewide population with respect to student disability category.</w:t>
      </w:r>
      <w:r w:rsidRPr="000A2B9F">
        <w:rPr>
          <w:b w:val="0"/>
          <w:bCs/>
        </w:rPr>
        <w:br/>
        <w:t>The chi-square statistic is significant X2(14, N=24,672) = 783.47, p &lt; .01.  Therefore, the sample is not representative of the population with respect to student disability category.</w:t>
      </w:r>
      <w:r w:rsidRPr="000A2B9F">
        <w:rPr>
          <w:b w:val="0"/>
          <w:bCs/>
        </w:rPr>
        <w:br/>
        <w:t>Respondents with disability category left blank were excluded from this analysis.</w:t>
      </w:r>
      <w:r w:rsidRPr="000A2B9F">
        <w:rPr>
          <w:b w:val="0"/>
          <w:bCs/>
        </w:rPr>
        <w:br/>
      </w:r>
      <w:r w:rsidRPr="000A2B9F">
        <w:rPr>
          <w:b w:val="0"/>
          <w:bCs/>
        </w:rPr>
        <w:br/>
        <w:t>A second one-way chi-square test was performed to determine the extent to which the sample of survey responders is representative of the statewide population with respect to race.</w:t>
      </w:r>
      <w:r w:rsidRPr="000A2B9F">
        <w:rPr>
          <w:b w:val="0"/>
          <w:bCs/>
        </w:rPr>
        <w:br/>
        <w:t>The chi-square statistic is significant, X2(6, N=24,672) = 618.41, p &lt; .01 therefore, the sample is not representative of the population with respect to race/ethnicity.</w:t>
      </w:r>
      <w:r w:rsidRPr="000A2B9F">
        <w:rPr>
          <w:b w:val="0"/>
          <w:bCs/>
        </w:rPr>
        <w:br/>
        <w:t>Respondents with race/ethnicity left blank were excluded from this analysis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DDOE ensures that this data is complete, accurate, reliable, and valid for Indicator 8. This is ensured by the DDOE, in collaboration with LEAs, through procedures and practices instituted for data collection processes such as the December 1st child count.</w:t>
      </w:r>
      <w:r w:rsidRPr="00781112">
        <w:rPr>
          <w:rFonts w:cs="Arial"/>
          <w:color w:val="000000" w:themeColor="text1"/>
          <w:szCs w:val="16"/>
        </w:rPr>
        <w:br/>
      </w:r>
      <w:r w:rsidRPr="00781112">
        <w:rPr>
          <w:rFonts w:cs="Arial"/>
          <w:color w:val="000000" w:themeColor="text1"/>
          <w:szCs w:val="16"/>
        </w:rPr>
        <w:br/>
        <w:t>The DDOE established a new baseline of FFY 2017.  After much discussion, stakeholders determined that the previous baseline from 2006 is no longer reflective of parents with a child receiving special education services who report that schools facilitated their involvement and a means of improving services and results for children with disabilities.  Stakeholders felt it was important to set a new baseline and agreed to utilize more current and reliable data from FFY 2017.</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DDOE compared the new baseline from FFY 2017 to the FFY 2025 targets, established with stakeholder input, and ensured that the target reflects improvement over the state’s baseline.</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DDOE included two additional demographic categories in its analysis of survey response data.  A qualitative analysis of the survey response rate for parents of students receiving special education services compared to the statewide demographics of students receiving special education services in the areas of age categories (Preschool, Elementary, Middle School, High School, and 18-21) and geographical location by county (New Castle, Kent, and Sussex).  </w:t>
      </w:r>
      <w:r w:rsidRPr="00781112">
        <w:rPr>
          <w:rFonts w:cs="Arial"/>
          <w:color w:val="000000" w:themeColor="text1"/>
          <w:szCs w:val="16"/>
        </w:rPr>
        <w:br/>
        <w:t xml:space="preserve">The secondary age group (Middle School, High School, and 18-21 year olds) represent 55.60% of students receiving special education services statewide.  The survey response rate for secondary students receiving special education services was 39.74%.   This age group category was underrepresented.  The Elementary age category (Preschool and Elementary) represents 44.41% of the students receiving special education services.  The survey response rate for the parents of elementary students receiving special education services was 47.31%.  This age category received a higher response rate in comparison to the statewide age demographics.  </w:t>
      </w:r>
      <w:r w:rsidRPr="00781112">
        <w:rPr>
          <w:rFonts w:cs="Arial"/>
          <w:color w:val="000000" w:themeColor="text1"/>
          <w:szCs w:val="16"/>
        </w:rPr>
        <w:br/>
        <w:t xml:space="preserve">In the DDOE’s analysis of the survey response rate for the parents of students receiving special education services compared to the statewide demographics for geographical location by county, it was determined that the New Castle County had the highest rate of return.  New Castle County is the smallest but heaviest populated county in Delaware and is considered urban.  The statewide demographics for students receiving special education services and living in  New Castle County is 56.86% and 55.75% of the surveys returned were from the parents of students receiving special education services and living in New Castle County.  Kent County is the central county in Delaware.  It is considered rural.  23.92% of the students receiving special education services in Delaware live in Kent County.  The survey response rate for the parents of students receiving special education services and living in Kent County was 18.84% which is below the state’s demographics.  </w:t>
      </w:r>
      <w:r w:rsidRPr="00781112">
        <w:rPr>
          <w:rFonts w:cs="Arial"/>
          <w:color w:val="000000" w:themeColor="text1"/>
          <w:szCs w:val="16"/>
        </w:rPr>
        <w:br/>
        <w:t xml:space="preserve">The DDOE facilitated Virtual Lunch and Learn sessions in collaboration with the Parent Information center of Delaware (PIC).  Over 5,000 parents that were representative of multiple race/ethnicity groups, diverse student disability categories, and geographic areas, were invited to participate and provide feedback.  Parents were also represented on other stakeholder groups that analyzed Indicator 8 data.  Input from stakeholders included a reduction in survey questions, a change in the appearance of the distribution envelope to represent the districts.  The Special Education Leadership suggested cell phone text messages with survey links for parents after IEP meetings and reminders from the district through letters and phone communications. </w:t>
      </w:r>
      <w:r w:rsidRPr="00781112">
        <w:rPr>
          <w:rFonts w:cs="Arial"/>
          <w:color w:val="000000" w:themeColor="text1"/>
          <w:szCs w:val="16"/>
        </w:rPr>
        <w:br/>
        <w:t xml:space="preserve">Next steps include the creation of a video and flyer designed to inform families of the survey and provide an example of the mailing envelope.  This will assist in the prevention of families discarding the survey as junk mail.  The flyer will be displayed on both the DDOE website, the PIC website, and Facebook/via social media.  In addition, the flyers will be distributed to 42 LEA parent councils.  PIC will create a guidance document for staff to use when explaining the survey and encourage parents to participate when they call for assistance.  DDOE and PIC will also collaborate to share information about the survey with parent advocate groups for Blacks/African Americans and Hispanic/Latinos in all three counties.  The survey is presently mailed twice a year. A third option will be considered to allow the survey to be completed after IEP meetings by the use of a QR scan code.  This will allow the DDOE to collect survey data throughout the year.  The DDOE will consider offering the survey in additional languages after a review of the top three to five languages being spoken in the homes of the students receiving special education services throughout the state.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9" w:name="_Toc384383343"/>
      <w:bookmarkStart w:id="4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1" w:name="_Toc384383344"/>
      <w:bookmarkStart w:id="42" w:name="_Toc392159312"/>
      <w:bookmarkEnd w:id="39"/>
      <w:bookmarkEnd w:id="40"/>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5.13%</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1"/>
      <w:bookmarkEnd w:id="42"/>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3" w:name="_Hlk494459610"/>
      <w:r w:rsidRPr="00781112">
        <w:rPr>
          <w:rFonts w:cs="Arial"/>
          <w:color w:val="000000" w:themeColor="text1"/>
          <w:szCs w:val="16"/>
        </w:rPr>
        <w:t xml:space="preserve">The Delaware Department of Education (DDOE) used its Child Count 2021 data for the FFY 2020 SPP/APR submission for this indicator. The relative risk ratio methodology is what Delaware uses to determine whether there is disproportionate representation of racial and ethnic groups in special education. In the relative risk ratio method, the total enrollment of all students is compared to the number of special education students. The DDOE uses a minimum cell size of 15 students in this calculation. The data being reviewed is within a one-year period. Relative Risk Ratio - Calculated by comparing one ethnic group’s risk of being identified for a disability with that of a comparison group (all other students) </w:t>
      </w:r>
      <w:r w:rsidRPr="00781112">
        <w:rPr>
          <w:rFonts w:cs="Arial"/>
          <w:color w:val="000000" w:themeColor="text1"/>
          <w:szCs w:val="16"/>
        </w:rPr>
        <w:br/>
      </w:r>
      <w:r w:rsidRPr="00781112">
        <w:rPr>
          <w:rFonts w:cs="Arial"/>
          <w:color w:val="000000" w:themeColor="text1"/>
          <w:szCs w:val="16"/>
        </w:rPr>
        <w:br/>
        <w:t>Please see below:</w:t>
      </w:r>
      <w:r w:rsidRPr="00781112">
        <w:rPr>
          <w:rFonts w:cs="Arial"/>
          <w:color w:val="000000" w:themeColor="text1"/>
          <w:szCs w:val="16"/>
        </w:rPr>
        <w:br/>
        <w:t>Numerator: # of SWD in X ethnic/racial group</w:t>
      </w:r>
      <w:r w:rsidRPr="00781112">
        <w:rPr>
          <w:rFonts w:cs="Arial"/>
          <w:color w:val="000000" w:themeColor="text1"/>
          <w:szCs w:val="16"/>
        </w:rPr>
        <w:br/>
        <w:t>----------------------------------------------------------------</w:t>
      </w:r>
      <w:r w:rsidRPr="00781112">
        <w:rPr>
          <w:rFonts w:cs="Arial"/>
          <w:color w:val="000000" w:themeColor="text1"/>
          <w:szCs w:val="16"/>
        </w:rPr>
        <w:br/>
        <w:t>Total # X ethnic/racial group in the school population</w:t>
      </w:r>
      <w:r w:rsidRPr="00781112">
        <w:rPr>
          <w:rFonts w:cs="Arial"/>
          <w:color w:val="000000" w:themeColor="text1"/>
          <w:szCs w:val="16"/>
        </w:rPr>
        <w:br/>
        <w:t>______________________________________________________________</w:t>
      </w:r>
      <w:r w:rsidRPr="00781112">
        <w:rPr>
          <w:rFonts w:cs="Arial"/>
          <w:color w:val="000000" w:themeColor="text1"/>
          <w:szCs w:val="16"/>
        </w:rPr>
        <w:br/>
      </w:r>
      <w:r w:rsidRPr="00781112">
        <w:rPr>
          <w:rFonts w:cs="Arial"/>
          <w:color w:val="000000" w:themeColor="text1"/>
          <w:szCs w:val="16"/>
        </w:rPr>
        <w:br/>
        <w:t>Denominator: # all other Non-X SWD</w:t>
      </w:r>
      <w:r w:rsidRPr="00781112">
        <w:rPr>
          <w:rFonts w:cs="Arial"/>
          <w:color w:val="000000" w:themeColor="text1"/>
          <w:szCs w:val="16"/>
        </w:rPr>
        <w:br/>
        <w:t>---------------------------------------------------------</w:t>
      </w:r>
      <w:r w:rsidRPr="00781112">
        <w:rPr>
          <w:rFonts w:cs="Arial"/>
          <w:color w:val="000000" w:themeColor="text1"/>
          <w:szCs w:val="16"/>
        </w:rPr>
        <w:br/>
        <w:t>Total # of Non-X in the school population</w:t>
      </w:r>
      <w:r w:rsidRPr="00781112">
        <w:rPr>
          <w:rFonts w:cs="Arial"/>
          <w:color w:val="000000" w:themeColor="text1"/>
          <w:szCs w:val="16"/>
        </w:rPr>
        <w:br/>
      </w:r>
      <w:r w:rsidRPr="00781112">
        <w:rPr>
          <w:rFonts w:cs="Arial"/>
          <w:color w:val="000000" w:themeColor="text1"/>
          <w:szCs w:val="16"/>
        </w:rPr>
        <w:br/>
        <w:t>After the relative risk ratio is calculated, the ratio is compared to the state “bar”, and if the LEA’s risk ratio is greater than or equal to the state “bar”, the LEA is identified as having disproportionate representation. For FFY 2020, the State 'bar" was set at a relative risk ratio of 1.46.</w:t>
      </w:r>
    </w:p>
    <w:bookmarkEnd w:id="43"/>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FFY 2020, 11 LEAs exceeded the relative risk ratio and were required to complete a state developed self-assessment of their policies, procedures, and practices relating to the identification of students with disabilities specifically around child find and evaluation and eligibility determination. Once they conduct a self-assessment in those areas and submit to the DDOE, the DDOE assesses for compliance and also reviews a sample of individual student records for compliance with federal and DDOE regulations. </w:t>
      </w:r>
    </w:p>
    <w:p w14:paraId="3B71A72A" w14:textId="77777777" w:rsidR="00DF1529" w:rsidRPr="00781112" w:rsidRDefault="00DF1529" w:rsidP="00DF1529">
      <w:pPr>
        <w:rPr>
          <w:rFonts w:cs="Arial"/>
          <w:b/>
          <w:color w:val="000000" w:themeColor="text1"/>
          <w:szCs w:val="16"/>
        </w:rPr>
      </w:pPr>
      <w:bookmarkStart w:id="44" w:name="_Toc381956337"/>
      <w:bookmarkStart w:id="45" w:name="_Toc384383347"/>
      <w:bookmarkStart w:id="46"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DDOE ensures that FFY 2020 data is complete, accurate, reliable, and valid for Indicator 9. DDOE mitigated the impact of COVID-19 by providing guidance documents and technical assistance. This includes professional learning, training and coaching in Multi-Tiered Systems of Behavioral and Academic Supports (MTSS), Universal Design for Learning, Delaware Early Literacy Initiative and the DE-PBS Project. DDOE also provided professional learning at special education director leadership meetings and meets individually with LEAs to engage in problem solving, review/analyze data and support the LEA’s implementation of MTSS. COVID-19 did not have any impact on the data collection since the SEA and LEA utilize a state data system which is available electronically from any location. DDOE provided the LEA with the data from the state system which the LEA utilized to conduct a self- assessment. DDOE reviewed the self-assessment, individual student records, and verified the data.</w:t>
      </w:r>
      <w:r w:rsidRPr="00781112">
        <w:rPr>
          <w:rFonts w:cs="Arial"/>
          <w:color w:val="000000" w:themeColor="text1"/>
          <w:szCs w:val="16"/>
        </w:rPr>
        <w:br/>
      </w:r>
      <w:r w:rsidRPr="00781112">
        <w:rPr>
          <w:rFonts w:cs="Arial"/>
          <w:color w:val="000000" w:themeColor="text1"/>
          <w:szCs w:val="16"/>
        </w:rPr>
        <w:br/>
        <w:t>The DDOE brought stakeholders together multiple times to engage in rich discussion around Disproportionate Representation and to provide input/feedback on how to improve this indicator. After lengthy discussion and data analysis, stakeholders agreed to increase the state bar from 1.46 to 2.0 with a cell size of 15 beginning in FFY 2021.</w:t>
      </w:r>
      <w:r w:rsidRPr="00781112">
        <w:rPr>
          <w:rFonts w:cs="Arial"/>
          <w:color w:val="000000" w:themeColor="text1"/>
          <w:szCs w:val="16"/>
        </w:rPr>
        <w:br/>
      </w:r>
      <w:r w:rsidRPr="00781112">
        <w:rPr>
          <w:rFonts w:cs="Arial"/>
          <w:color w:val="000000" w:themeColor="text1"/>
          <w:szCs w:val="16"/>
        </w:rPr>
        <w:b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 xml:space="preserve">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w:t>
      </w:r>
      <w:r w:rsidRPr="00781112">
        <w:rPr>
          <w:rFonts w:cs="Arial"/>
          <w:color w:val="000000" w:themeColor="text1"/>
          <w:szCs w:val="16"/>
        </w:rPr>
        <w:lastRenderedPageBreak/>
        <w:t>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(GACEC),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GACEC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LEA Parent Advisory Councils, Lunch &amp; Learn sessions in collaboration with PIC, GACEC (IDEA State Advisory Panel), LEA Special Education Directors, and the Equity in IDEA Stakeholder Group. </w:t>
      </w:r>
      <w:r w:rsidRPr="00781112">
        <w:rPr>
          <w:rFonts w:cs="Arial"/>
          <w:color w:val="000000" w:themeColor="text1"/>
          <w:szCs w:val="16"/>
        </w:rPr>
        <w:br/>
        <w:t>Summary of stakeholder input/feedback regarding target setting and improvement activities can be found at: https://www.doe.k12.de.us/Page/4541</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4"/>
      <w:bookmarkEnd w:id="45"/>
      <w:bookmarkEnd w:id="46"/>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7" w:name="_Toc384383348"/>
      <w:bookmarkStart w:id="48"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49" w:name="_Toc384383349"/>
      <w:bookmarkStart w:id="50" w:name="_Toc392159317"/>
      <w:bookmarkEnd w:id="47"/>
      <w:bookmarkEnd w:id="48"/>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2.56%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18.92%</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2.70%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5.13%</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2.63%</w:t>
            </w:r>
          </w:p>
        </w:tc>
      </w:tr>
      <w:bookmarkEnd w:id="49"/>
      <w:bookmarkEnd w:id="50"/>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1" w:name="_Hlk20258880"/>
      <w:r w:rsidRPr="00781112">
        <w:rPr>
          <w:rFonts w:cs="Arial"/>
          <w:color w:val="000000" w:themeColor="text1"/>
          <w:szCs w:val="16"/>
        </w:rPr>
        <w:t>YES</w:t>
      </w:r>
    </w:p>
    <w:bookmarkEnd w:id="5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2.63%</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2.56%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Delaware Department of Education (DDOE) used its Child Count 2021 data for the FFY 2020 SPP/APR submission for this indicator. </w:t>
      </w:r>
      <w:r w:rsidRPr="00781112">
        <w:rPr>
          <w:rFonts w:cs="Arial"/>
          <w:color w:val="000000" w:themeColor="text1"/>
          <w:szCs w:val="16"/>
        </w:rPr>
        <w:br/>
        <w:t>Delaware uses the relative risk ratio method to determine whether there is disproportionate representation of racial and ethnic groups in specific disability categories that is the result of inappropriate identification in special education. The DDOE uses a minimum cell size of 10 for the calculation of students with disabilities in racial/ethnic groups and disability categories. After the LEA data is populated and the relative risk ratio is calculated, the LEA data is then compared to the state bar of 1.50. The data being reviewed is within a one-year period.</w:t>
      </w:r>
      <w:r w:rsidRPr="00781112">
        <w:rPr>
          <w:rFonts w:cs="Arial"/>
          <w:color w:val="000000" w:themeColor="text1"/>
          <w:szCs w:val="16"/>
        </w:rPr>
        <w:br/>
        <w:t>The calculation for determining the relative risk ratio is as follows:</w:t>
      </w:r>
      <w:r w:rsidRPr="00781112">
        <w:rPr>
          <w:rFonts w:cs="Arial"/>
          <w:color w:val="000000" w:themeColor="text1"/>
          <w:szCs w:val="16"/>
        </w:rPr>
        <w:br/>
      </w:r>
      <w:r w:rsidRPr="00781112">
        <w:rPr>
          <w:rFonts w:cs="Arial"/>
          <w:color w:val="000000" w:themeColor="text1"/>
          <w:szCs w:val="16"/>
        </w:rPr>
        <w:br/>
        <w:t>Numerator:</w:t>
      </w:r>
      <w:r w:rsidRPr="00781112">
        <w:rPr>
          <w:rFonts w:cs="Arial"/>
          <w:color w:val="000000" w:themeColor="text1"/>
          <w:szCs w:val="16"/>
        </w:rPr>
        <w:br/>
        <w:t># of students in X ethnic/racial group in Y disability category</w:t>
      </w:r>
      <w:r w:rsidRPr="00781112">
        <w:rPr>
          <w:rFonts w:cs="Arial"/>
          <w:color w:val="000000" w:themeColor="text1"/>
          <w:szCs w:val="16"/>
        </w:rPr>
        <w:br/>
        <w:t>--------------------------------------------------------------------------------</w:t>
      </w:r>
      <w:r w:rsidRPr="00781112">
        <w:rPr>
          <w:rFonts w:cs="Arial"/>
          <w:color w:val="000000" w:themeColor="text1"/>
          <w:szCs w:val="16"/>
        </w:rPr>
        <w:br/>
        <w:t>Total # of students in X ethnic/racial group in the school</w:t>
      </w:r>
      <w:r w:rsidRPr="00781112">
        <w:rPr>
          <w:rFonts w:cs="Arial"/>
          <w:color w:val="000000" w:themeColor="text1"/>
          <w:szCs w:val="16"/>
        </w:rPr>
        <w:br/>
        <w:t>__________________________________________________________________</w:t>
      </w:r>
      <w:r w:rsidRPr="00781112">
        <w:rPr>
          <w:rFonts w:cs="Arial"/>
          <w:color w:val="000000" w:themeColor="text1"/>
          <w:szCs w:val="16"/>
        </w:rPr>
        <w:br/>
        <w:t>Denominator:</w:t>
      </w:r>
      <w:r w:rsidRPr="00781112">
        <w:rPr>
          <w:rFonts w:cs="Arial"/>
          <w:color w:val="000000" w:themeColor="text1"/>
          <w:szCs w:val="16"/>
        </w:rPr>
        <w:br/>
        <w:t># of Other students in Y disability category</w:t>
      </w:r>
      <w:r w:rsidRPr="00781112">
        <w:rPr>
          <w:rFonts w:cs="Arial"/>
          <w:color w:val="000000" w:themeColor="text1"/>
          <w:szCs w:val="16"/>
        </w:rPr>
        <w:br/>
        <w:t>-----------------------------------------------------------------</w:t>
      </w:r>
      <w:r w:rsidRPr="00781112">
        <w:rPr>
          <w:rFonts w:cs="Arial"/>
          <w:color w:val="000000" w:themeColor="text1"/>
          <w:szCs w:val="16"/>
        </w:rPr>
        <w:br/>
        <w:t>Total # of Other students in the school population</w:t>
      </w:r>
      <w:r w:rsidRPr="00781112">
        <w:rPr>
          <w:rFonts w:cs="Arial"/>
          <w:color w:val="000000" w:themeColor="text1"/>
          <w:szCs w:val="16"/>
        </w:rPr>
        <w:br/>
        <w:t xml:space="preserve"> </w:t>
      </w:r>
      <w:r w:rsidRPr="00781112">
        <w:rPr>
          <w:rFonts w:cs="Arial"/>
          <w:color w:val="000000" w:themeColor="text1"/>
          <w:szCs w:val="16"/>
        </w:rPr>
        <w:br/>
        <w:t xml:space="preserve">After the relative risk ratio is calculated, the ratio is compared to the State “bar,” and if the LEA’s risk ratio is greater than or equal to the State “bar,” the LEA is identified as having disproportionate representation. For FFY 2020, the State “bar” was set at a relative risk ratio of 1.50.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FFY 2020, 23 LEAs exceeded the relative risk ratio and were required to complete a state developed self-assessment of their policies, procedures, and practices relating to the identification of students with disabilities specifically around child find and evaluation and eligibility determination. Once they conduct a self-assessment in those areas, the DDOE assesses for compliance and reviews a sampling an individual student records for compliance with federal and DDOE regulation.</w:t>
      </w:r>
    </w:p>
    <w:p w14:paraId="1FCF1BF3" w14:textId="77777777" w:rsidR="00DF1529" w:rsidRPr="00781112" w:rsidRDefault="00DF1529" w:rsidP="00DF1529">
      <w:pPr>
        <w:rPr>
          <w:rFonts w:cs="Arial"/>
          <w:b/>
          <w:color w:val="000000" w:themeColor="text1"/>
          <w:szCs w:val="16"/>
        </w:rPr>
      </w:pPr>
      <w:bookmarkStart w:id="52" w:name="_Toc381956338"/>
      <w:bookmarkStart w:id="53" w:name="_Toc384383352"/>
      <w:bookmarkStart w:id="54"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DDOE ensures that this data is complete, accurate, reliable, and valid for Indicator 10. DDOE mitigated the impact of COVID-19 by providing guidance documents and technical assistance. This includes professional learning, training and coaching in Multi-Tiered Systems of Behavioral and Academic Supports (MTSS), Universal Design for Learning, Delaware Early Literacy Initiative and the DE-PBS Project. DDOE also provided professional learning at special education director leadership meetings and meets individually with LEAs to engage in problem solving, review/analyze data and support the LEA’s implementation of MTSS. COVID-19 did not have any impact on the data collection since the SEA and LEA utilize a state data system which is available electronically from any location. DDOE provided the LEA with the data from the state system which the LEA utilized to conduct a self- assessment. DDOE reviewed the self-assessment, individual student records, and verified the data.</w:t>
      </w:r>
      <w:r w:rsidRPr="00781112">
        <w:rPr>
          <w:rFonts w:cs="Arial"/>
          <w:color w:val="000000" w:themeColor="text1"/>
          <w:szCs w:val="16"/>
        </w:rPr>
        <w:br/>
      </w:r>
      <w:r w:rsidRPr="00781112">
        <w:rPr>
          <w:rFonts w:cs="Arial"/>
          <w:color w:val="000000" w:themeColor="text1"/>
          <w:szCs w:val="16"/>
        </w:rPr>
        <w:br/>
        <w:t>The DDOE brought stakeholders together to engage in rich discussion around Disproportionate Representation and to provide input/feedback on how to improve this indicator. After lengthy discussion and data analysis, stakeholders agreed to increase the state bar from 1.50 to 2.0 with a cell size of 10 beginning in FFY 2021.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w:t>
      </w:r>
      <w:r w:rsidRPr="00781112">
        <w:rPr>
          <w:rFonts w:cs="Arial"/>
          <w:color w:val="000000" w:themeColor="text1"/>
          <w:szCs w:val="16"/>
        </w:rPr>
        <w:lastRenderedPageBreak/>
        <w:t xml:space="preserve">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(GACEC),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GACEC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stakeholder meetings were held which include LEA Parent Advisory Councils, Lunch &amp; Learn sessions in collaboration with PIC, GACEC (IDEA State Advisory Panel), LEA Special Education Directors, and the Equity in IDEA Stakeholder Group. </w:t>
      </w:r>
      <w:r w:rsidRPr="00781112">
        <w:rPr>
          <w:rFonts w:cs="Arial"/>
          <w:color w:val="000000" w:themeColor="text1"/>
          <w:szCs w:val="16"/>
        </w:rPr>
        <w:br/>
        <w:t>Summary of stakeholder input/feedback regarding target setting and improvement activities can be found at: https://www.doe.k12.de.us/Page/4541</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Utilizing updated data, the DDOE verified correction of the individual instance of non-compliance. The DDOE then utilized updated data to randomly select student records from the 1 LEA and verified that the LEA was compliant and correctly implementing the regulatory requirements under IDEA within the one-year time frame.</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For FFY 2019, the DDOE identified 1 LEA with noncompliance relating to disproportionate representation. The LEA was directed to make individual student corrections, develop a Corrective Action Plan including a Root Cause Analysis. Based on the root causes identified, the LEA corrected the individual student file as well as provided professional development to staff addressing the areas of non-compliance. Technical assistance was provided by the DDOE to the LEA to assist in this process. Utilizing updated data, DDOE verified through a review of the student’s file, that the area of non-compliance was corrected in the LEA within the one-year timeframe. </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district identified in FFY 2019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For FFY 2019, the DDOE identified 1 LEA with noncompliance relating to disproportionate representation. The LEA was directed to make individual student corrections, develop a Corrective Action Plan including a Root Cause Analysis. Based on the root causes identified, the LEA corrected the individual student file as well as provided professional development to staff addressing the areas of non- compliance. Technical assistance was provided by the DDOE to the LEA to assist in this process. Utilizing updated data, DDOE verified each instance of non-compliance was corrected in the LEA within the one-year timeframe. </w:t>
      </w:r>
      <w:r w:rsidRPr="00781112">
        <w:rPr>
          <w:rFonts w:cs="Arial"/>
          <w:color w:val="000000" w:themeColor="text1"/>
          <w:szCs w:val="16"/>
        </w:rPr>
        <w:br/>
        <w:t>After verifying all individual instances of non-compliance were corrected, utilizing updated data, the DDOE reviewed randomly selected student records from the 1 LEA and verified that the LEA was compliant and correctly implementing the regulatory requirements under IDEA within the one-year time frame.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2"/>
      <w:bookmarkEnd w:id="53"/>
      <w:bookmarkEnd w:id="54"/>
    </w:p>
    <w:p w14:paraId="4F5D642D" w14:textId="77777777" w:rsidR="00E119B0" w:rsidRPr="00781112" w:rsidRDefault="00E119B0" w:rsidP="00A018D4">
      <w:pPr>
        <w:rPr>
          <w:color w:val="000000" w:themeColor="text1"/>
          <w:szCs w:val="20"/>
        </w:rPr>
      </w:pPr>
      <w:bookmarkStart w:id="55" w:name="_Toc384383353"/>
      <w:bookmarkStart w:id="5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7" w:name="_Toc384383354"/>
      <w:bookmarkStart w:id="58" w:name="_Toc392159322"/>
      <w:bookmarkEnd w:id="55"/>
      <w:bookmarkEnd w:id="5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98.26%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97.01%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98.97%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99.24%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98.47%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2,878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2,828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98.47%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98.26%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Delaware Department of Education (DDOE) reviewed data regarding timeline of initial evaluations and found 50 students in 13 LEAs that were noncompliant. Delaware's timeline for initial evaluations is forty-five (45) school days or ninety (90) calendar days, whichever is less, of receiving written parental consent for initial evaluation. The time frame described does not apply to a public agency if: a) the parent of a child repeatedly fails or refuses to produce the child for the evaluation or b) a child enrolls in a school of another public agency after the relevant time frame has begun, and prior to a determination by the child’s previous public agency as to whether the child is a child with a disability. The latter exemption applies only if the subsequent public agency is making sufficient progress to ensure a prompt completion of the evaluation, and the parent and subsequent public agency agree to a specific time when the evaluation will be completed. See 14 DE Admin Code § 925.2.3-2.5. The number of days that exceeded the state timeline of 45 school days or 90 calendar days, whichever is less, of receiving written parental consent for initial evaluations ranged from 1 to 195 days over the state timeline (25 students fell within 1-10 days, 16 students fell within 10-50 days, 9 students fell within 50 plus days)Root causes that contributed to the noncompliance were identified as availability and scheduling of bilingual evaluators, scheduling difficulties, difficulty getting in touch with parents, miscounting the timeline, and student’s withdrawing from an LEA after written consent was provided and the LEA did not follow up with the student’s new LEA. Scheduling difficulties due to some students receiving remote instruction and not being available for face to face assessment due to COVID-19 were also identified as reasons for delay.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Delaware's timeline for initial evaluations is detailed in 14 DE Admin Code § 925.2.3-2.5: Within forty-five (45) school days or ninety (90) calendar days, whichever is less, of receiving written parental consent, the initial evaluation shall be conducted; and the child's eligibility for special education and related services must be determined at a meeting convened for that purpose. </w:t>
      </w:r>
      <w:r w:rsidRPr="00781112">
        <w:rPr>
          <w:rFonts w:cs="Arial"/>
          <w:color w:val="000000" w:themeColor="text1"/>
          <w:szCs w:val="16"/>
        </w:rPr>
        <w:br/>
      </w:r>
      <w:r w:rsidRPr="00781112">
        <w:rPr>
          <w:rFonts w:cs="Arial"/>
          <w:color w:val="000000" w:themeColor="text1"/>
          <w:szCs w:val="16"/>
        </w:rPr>
        <w:br/>
        <w:t>The time frame described does not apply to a public agency if: a) the parent of a child repeatedly fails or refuses to produce the child for the evaluation or b) a child enrolls in a school of another public agency after the relevant time frame has begun, and prior to a determination by the child’s previous public agency as to whether the child is a child with a disability. The latter exemption applies only if the subsequent public agency is making sufficient progress to ensure a prompt completion of the evaluation, and the parent and subsequent public agency agree to a specific time when the evaluation will be completed.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LEAs are required to enter and maintain data within Delaware's electronic statewide pupil accounting system. LEAs enter the date on which the parent's informed written consent for initial evaluation is received and the date on which eligibility is determined. The eligibility date is the end date used in the calculation to determine whether initial evaluations are conducted within the State established timeline. By requiring all LEAs to enter information into the electronic state-wide pupil accounting system, DDOE monitors the timeliness of initial evaluations.</w:t>
      </w:r>
      <w:r w:rsidRPr="00781112">
        <w:rPr>
          <w:rFonts w:cs="Arial"/>
          <w:color w:val="000000" w:themeColor="text1"/>
          <w:szCs w:val="16"/>
        </w:rPr>
        <w:br/>
      </w:r>
      <w:r w:rsidRPr="00781112">
        <w:rPr>
          <w:rFonts w:cs="Arial"/>
          <w:color w:val="000000" w:themeColor="text1"/>
          <w:szCs w:val="16"/>
        </w:rPr>
        <w:br/>
        <w:t xml:space="preserve">The DDOE has received technical assistance from the IDEA Data Center for the development of the data protocol for Indicator 11. In turn, DDOE has developed guidance documents and provides technical assistance to LEAs on the accuracy of data entry procedures. In addition, the Exceptional Children Resources Workgroup works collaboratively with DDOE’s Technology Operations Workgroup and Data Management Workgroup to ensure the validity and accuracy of the data. </w:t>
      </w:r>
      <w:r w:rsidRPr="00781112">
        <w:rPr>
          <w:rFonts w:cs="Arial"/>
          <w:color w:val="000000" w:themeColor="text1"/>
          <w:szCs w:val="16"/>
        </w:rPr>
        <w:br/>
      </w:r>
      <w:r w:rsidRPr="00781112">
        <w:rPr>
          <w:rFonts w:cs="Arial"/>
          <w:color w:val="000000" w:themeColor="text1"/>
          <w:szCs w:val="16"/>
        </w:rPr>
        <w:br/>
        <w:t>DDOE ensures that this data is complete, accurate, reliable, and valid for Indicator 11. DDOE mitigated the impact of COVID-19 by providing guidance and technical assistance for LEAs. Technical assistance includes professional learning and training at statewide Special Education Leadership meetings and meeting individually with LEAs to problem solve, review/analyze data and support with implementation of timelines and best practices relating to Child Find and initial evaluations.</w:t>
      </w:r>
    </w:p>
    <w:p w14:paraId="4F981BFF" w14:textId="77777777" w:rsidR="00C86164" w:rsidRPr="00781112" w:rsidRDefault="00C86164" w:rsidP="00C86164">
      <w:pPr>
        <w:rPr>
          <w:rFonts w:cs="Arial"/>
          <w:b/>
          <w:color w:val="000000" w:themeColor="text1"/>
          <w:szCs w:val="16"/>
        </w:rPr>
      </w:pPr>
      <w:bookmarkStart w:id="59" w:name="_Toc381956339"/>
      <w:bookmarkStart w:id="60" w:name="_Toc384383357"/>
      <w:bookmarkStart w:id="61"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The stakeholders agreed that the previous baseline set in 2006 is not reflective of current circumstances.  After considering historical data, stakeholders agreed to revise baseline to FFY 2020.</w:t>
      </w:r>
      <w:r w:rsidRPr="00781112">
        <w:rPr>
          <w:rFonts w:cs="Arial"/>
          <w:color w:val="000000" w:themeColor="text1"/>
          <w:szCs w:val="16"/>
        </w:rPr>
        <w:br/>
        <w:t xml:space="preserve">  </w:t>
      </w:r>
      <w:r w:rsidRPr="00781112">
        <w:rPr>
          <w:rFonts w:cs="Arial"/>
          <w:color w:val="000000" w:themeColor="text1"/>
          <w:szCs w:val="16"/>
        </w:rPr>
        <w:br/>
        <w:t xml:space="preserve">COVID-19 did not have any impact on the data collection since the SEA and LEA utilize a state data system which is available electronically from any location. DDOE provided the LEAs with the data from the state system which the LEAs utilized to conduct a self-assessment. DDOE reviewed the self-assessments from the LEAs and verified the date the LEA received informed parent consent for initial evaluation and the date eligibility was determined was within the State timeline (45 school days or 90 calendar days, whichever is less).  Additional evidence is gathered through staff interviews, contact logs, meeting invitations and emails.  </w:t>
      </w:r>
      <w:r w:rsidRPr="00781112">
        <w:rPr>
          <w:rFonts w:cs="Arial"/>
          <w:color w:val="000000" w:themeColor="text1"/>
          <w:szCs w:val="16"/>
        </w:rPr>
        <w:br/>
      </w:r>
      <w:r w:rsidRPr="00781112">
        <w:rPr>
          <w:rFonts w:cs="Arial"/>
          <w:color w:val="000000" w:themeColor="text1"/>
          <w:szCs w:val="16"/>
        </w:rPr>
        <w:b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w:t>
      </w:r>
      <w:r w:rsidRPr="00781112">
        <w:rPr>
          <w:rFonts w:cs="Arial"/>
          <w:color w:val="000000" w:themeColor="text1"/>
          <w:szCs w:val="16"/>
        </w:rPr>
        <w:lastRenderedPageBreak/>
        <w:t xml:space="preserve">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(GACEC),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GACEC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meetings were held with stakeholder groups which include Autism Delaware, Indicator 11 Stakeholder Group, Lunch &amp; Learn sessions in collaboration with PIC, GACEC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DDOE provided technical assistance to all LEAs regarding processes for timely evaluations. Targeted technical assistance regarding the timeline for initial evaluations was provided directly to the 8 identified LEAs. DDOE convened an internal committee to review the LEAs’ root cause analysis and corrective action plans, which includes professional development activities. Utilizing updated data collected through the state’s data system, DDOE reviewed additional student records to verify that the LEAs are correctly implementing the regulatory requirements regarding timely evaluations.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After LEAs corrected their noncompliance, utilizing updated data collected through the State data system, DDOE conducted a review of the 40 individual student records which contributed to the noncompliance. DDOE verified that each instance of noncompliance was 100% corrected. Evidence of correction included verification of Evaluation Summary Report documents, as well as staff interviews, review of communication to parents, contact logs, meeting invitations and emails. DDOE instructed the identified LEAs to conduct a root cause analysis and develop a corrective action plan. The DDOE provides the LEAs with a Corrective Action Plan template to complete and submit to the DDOE. The template includes a section where the LEA is to detail their root cause analysis, action steps, baseline data, method of progress monitoring, and report to DDOE on their progress with implementation.</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DDOE provided technical assistance to all LEAs regarding processes for timely evaluations. Targeted technical assistance regarding the timeline for initial evaluations was provided directly to the 8 identified LEAs. DDOE convened an internal committee to review the LEAs’ root cause analysis and corrective action plans, which includes professional development activities. Utilizing updated data collected through the state’s data system, DDOE reviewed additional student records to verify that the LEAs are correctly implementing the regulatory requirements regarding timely evaluations.</w:t>
      </w:r>
      <w:r w:rsidRPr="00781112">
        <w:rPr>
          <w:rFonts w:cs="Arial"/>
          <w:color w:val="000000" w:themeColor="text1"/>
          <w:szCs w:val="16"/>
        </w:rPr>
        <w:br/>
      </w:r>
      <w:r w:rsidRPr="00781112">
        <w:rPr>
          <w:rFonts w:cs="Arial"/>
          <w:color w:val="000000" w:themeColor="text1"/>
          <w:szCs w:val="16"/>
        </w:rPr>
        <w:br/>
        <w:t>Utilizing updated data collected through the State data system, DDOE conducted a review of the 40 individual student records which contributed to the noncompliance. DDOE verified that each instance of noncompliance was 100% corrected. Evidence of correction included verification of Evaluation Summary Report documents, as well as staff interviews and review of communication to parents. DDOE instructed the identified LEAs to conduct a root cause analysis and develop a corrective action plan. Utilizing updated data collected through the State data system, DDOE conducted a review of the 40 individual student records which contributed to the noncompliance. DDOE verified that each instance of noncompliance was 100% corrected by verifying that the date the LEA received informed parent consent for initial evaluation and the date eligibility was determined met the State timeline (45 school days or 90 calendar days, whichever is less).  Additional evidence was gathered through staff interviews, contact logs, meeting invitations and emails.  In addition, the DDOE directed the identified LEAs to conduct a root cause analysis and develop a corrective action plan to address root causes. The DDOE provides the LEAs with a Corrective Action Plan template to complete and submit to the DDOE. The template includes a section where the LEA is to detail their root cause analysis, action steps, baseline data, method of progress monitoring, and report to DDOE on their progress with implementation.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59"/>
      <w:bookmarkEnd w:id="60"/>
      <w:bookmarkEnd w:id="61"/>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2" w:name="_Toc384383358"/>
      <w:bookmarkStart w:id="63"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4" w:name="_Toc384383359"/>
      <w:bookmarkStart w:id="65" w:name="_Toc392159327"/>
      <w:bookmarkEnd w:id="62"/>
      <w:bookmarkEnd w:id="63"/>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81.60%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4"/>
          <w:bookmarkEnd w:id="65"/>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98.86%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98.55%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89.11%</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93.68%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91.56%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894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73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541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243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541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565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91.56%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95.75%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range of days beyond the third birthday went from 2 days up to 113 days. Reasons provided by the LEAs included a lack of sufficient numbers of</w:t>
      </w:r>
      <w:r w:rsidRPr="00781112">
        <w:rPr>
          <w:bCs/>
          <w:color w:val="000000" w:themeColor="text1"/>
        </w:rPr>
        <w:br/>
        <w:t>evaluators, meetings being scheduled very close to third birthday and parent cancelled or “no-showed” at the meeting and next available dates to meet were past third birthday. In addition, a few LEAs cited lack of bilingual evaluators as reason for delays. The SEA has provided information from the ECTA Center related to completion of initial evaluations and has recommended various strategies to LEAs such as forming partnerships to share</w:t>
      </w:r>
      <w:r w:rsidRPr="00781112">
        <w:rPr>
          <w:bCs/>
          <w:color w:val="000000" w:themeColor="text1"/>
        </w:rPr>
        <w:br/>
        <w:t>evaluators or using video conferencing platforms to increase capacity of evaluation slots. LEAs did not report COVID-19 as the reason for delays.  The SEA has and will continue to provide general and targeted technical assistance to the LEAs to assure smooth, timely and compliant transitions from Part C to Part B. Two SEA staff are now dedicated as Early Childhood Transition Coordinators whose primary focus is to support moving Delaware forward with compliance on this indicator.</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6" w:name="_Hlk20318414"/>
      <w:bookmarkEnd w:id="66"/>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are collected in a state created data collection report and include data for the entire reporting year. LEAs enter child level data throughout the year in the state data system (eSchoolPlus) which includes referral date to Part B, parent consent to evaluate, initial evaluation date, IEP eligibility meeting date and IEP implementation date. At the end of the school year, LEAs generate an Indicator 12 report and import that data into the DDOE developed B12 data collection worksheet. This worksheet also includes data from the state generated transition notification report (TNR) sent from Part C, which is sent to LEAs monthly. LEAs submit their completed data worksheet to the SEA for review. The SEA completes an in-depth analysis of the LEA submitted data. The SEA assures that the indicator 12 data submitted in this SPP/APR is valid for completeness, timeliness, accuracy, and compliance status.</w:t>
      </w:r>
      <w:r w:rsidRPr="00781112">
        <w:rPr>
          <w:rFonts w:cs="Arial"/>
          <w:color w:val="000000" w:themeColor="text1"/>
          <w:szCs w:val="16"/>
        </w:rPr>
        <w:br/>
        <w:t xml:space="preserve">SEA staff follow up with the LEAs for additional documentation of their data submission as needed. This process for Delaware is detailed in the IDC Part B IDEA Data Processes Toolkit Protocol for Indicator 12 Early Childhood Transition.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12. DDOE provides technical assistance through professional learning and training in the Early Childhood Special Education monthly meetings, Early Childhood Transition Collaborative quarterly meetings, and Special Education Director Leadership meetings. In addition, DDOE has developed guidance documents and resources focused on early childhood transition. DDOE also works closely with the LEA 619 staff and meets individually with LEAs to engage in problem solving, review/analyze data and support the timely and smooth transition for children to Part B. COVID-19 did not have any impact on the data collection since Part C and Part B each utilize an electronic data file that can be accessed from any location. </w:t>
      </w:r>
      <w:r w:rsidRPr="00781112">
        <w:rPr>
          <w:rFonts w:cs="Arial"/>
          <w:color w:val="000000" w:themeColor="text1"/>
          <w:szCs w:val="16"/>
        </w:rPr>
        <w:b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r>
      <w:r w:rsidRPr="00781112">
        <w:rPr>
          <w:rFonts w:cs="Arial"/>
          <w:color w:val="000000" w:themeColor="text1"/>
          <w:szCs w:val="16"/>
        </w:rPr>
        <w:lastRenderedPageBreak/>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14 meetings were held with stakeholder groups which include Early Childhood State and Local Education Agency meetings,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After the verification of correction of all cases of individual child noncompliance and at the conclusion of professional development around noncompliant areas, utilizing updated data, the DDOE subsequently reviewed new randomly selected child records and verified that the LEA was compliant and correctly implementing the regulatory requirements under IDEA within the one-year time frame.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Each LEA was required to develop a Corrective Action Plan including a Root Cause Analysis, correct individual child noncompliance, and provide professional development in all regulatory areas of noncompliance.  Utilizing updated data, DDOE reviewed and verified all corrections by reviewing individual child documents including parental consent to evaluate, Evaluation Summary Reports, the IEP and date of service initiation.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lastRenderedPageBreak/>
        <w:t>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Each LEA was required to develop a Corrective Action Plan including a Root Cause Analysis, correct individual child noncompliance, and provide professional development in all regulatory areas of noncompliance.  Utilizing updated data, DDOE reviewed and verified all corrections by reviewing individual child documents including parental consent to evaluate, Evaluation Summary Reports, the IEP and date of service initiation.   </w:t>
      </w:r>
      <w:r w:rsidRPr="00781112">
        <w:rPr>
          <w:rFonts w:cs="Arial"/>
          <w:color w:val="000000" w:themeColor="text1"/>
          <w:szCs w:val="16"/>
        </w:rPr>
        <w:br/>
      </w:r>
      <w:r w:rsidRPr="00781112">
        <w:rPr>
          <w:rFonts w:cs="Arial"/>
          <w:color w:val="000000" w:themeColor="text1"/>
          <w:szCs w:val="16"/>
        </w:rPr>
        <w:br/>
        <w:t>After the verification of correction of all cases of individual child noncompliance and at the conclusion of professional development around noncompliant areas, utilizing updated data, the DDOE subsequently reviewed new randomly selected child records and verified that the LEA was compliant and correctly implementing the regulatory requirements under IDEA within the one-year time frame.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7" w:name="_Toc384383363"/>
      <w:bookmarkStart w:id="68"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69" w:name="_Toc384383364"/>
      <w:bookmarkStart w:id="70" w:name="_Toc392159332"/>
      <w:bookmarkEnd w:id="67"/>
      <w:bookmarkEnd w:id="68"/>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98.85%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99.23%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96.50%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9,692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9,805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Describe the method used to collect these data were required to conduct a self-assessment of all student records for students age 14 or in the 8th grade and above.</w:t>
      </w:r>
      <w:r w:rsidRPr="00781112">
        <w:rPr>
          <w:rFonts w:cs="Arial"/>
          <w:color w:val="000000" w:themeColor="text1"/>
          <w:szCs w:val="16"/>
        </w:rPr>
        <w:br/>
      </w:r>
      <w:r w:rsidRPr="00781112">
        <w:rPr>
          <w:rFonts w:cs="Arial"/>
          <w:color w:val="000000" w:themeColor="text1"/>
          <w:szCs w:val="16"/>
        </w:rPr>
        <w:br/>
        <w:t>Through analysis of the historical data after the 2013-2014 SY, with input provided by stakeholder groups, the DDOE determined that the representative sample used in previous years did not provide a true representation of transition planning state-wide.  In addition, the DDOE had moved to a cyclical monitoring process, thus our sample size decreased.  After discussions internally at DDOE and with stakeholder groups, it was determined the DDOE needed to increase the data pool to provide a true state-wide representation.  The decision was made that beginning with the 2014-2015 SY, the DDOE would begin implementing a new monitoring process for Indicator 13. Through this process, all districts and charters having transition age (age 14 or in the 8th grade) students are monitored for Indicator 13 each year. This process has been implemented in a two-phase process:</w:t>
      </w:r>
      <w:r w:rsidRPr="00781112">
        <w:rPr>
          <w:rFonts w:cs="Arial"/>
          <w:color w:val="000000" w:themeColor="text1"/>
          <w:szCs w:val="16"/>
        </w:rPr>
        <w:br/>
      </w:r>
      <w:r w:rsidRPr="00781112">
        <w:rPr>
          <w:rFonts w:cs="Arial"/>
          <w:color w:val="000000" w:themeColor="text1"/>
          <w:szCs w:val="16"/>
        </w:rPr>
        <w:br/>
        <w:t>Phase 1 – LEA Self-Assessment</w:t>
      </w:r>
      <w:r w:rsidRPr="00781112">
        <w:rPr>
          <w:rFonts w:cs="Arial"/>
          <w:color w:val="000000" w:themeColor="text1"/>
          <w:szCs w:val="16"/>
        </w:rPr>
        <w:br/>
      </w:r>
      <w:r w:rsidRPr="00781112">
        <w:rPr>
          <w:rFonts w:cs="Arial"/>
          <w:color w:val="000000" w:themeColor="text1"/>
          <w:szCs w:val="16"/>
        </w:rPr>
        <w:br/>
        <w:t>LEAs  were required to conduct a self-assessment of all student records for students age 14 or in the 8th grade and above.</w:t>
      </w:r>
      <w:r w:rsidRPr="00781112">
        <w:rPr>
          <w:rFonts w:cs="Arial"/>
          <w:color w:val="000000" w:themeColor="text1"/>
          <w:szCs w:val="16"/>
        </w:rPr>
        <w:br/>
        <w:t>DDOE utilizes the data from the December 1 count and provides LEAs with an electronic spreadsheet to capture all data requirements for Indicator 13.  Self-Assessment was sent to DDOE.</w:t>
      </w:r>
      <w:r w:rsidRPr="00781112">
        <w:rPr>
          <w:rFonts w:cs="Arial"/>
          <w:color w:val="000000" w:themeColor="text1"/>
          <w:szCs w:val="16"/>
        </w:rPr>
        <w:br/>
      </w:r>
      <w:r w:rsidRPr="00781112">
        <w:rPr>
          <w:rFonts w:cs="Arial"/>
          <w:color w:val="000000" w:themeColor="text1"/>
          <w:szCs w:val="16"/>
        </w:rPr>
        <w:br/>
        <w:t>Phase 2 – DDOE validation of LEA submitted data</w:t>
      </w:r>
      <w:r w:rsidRPr="00781112">
        <w:rPr>
          <w:rFonts w:cs="Arial"/>
          <w:color w:val="000000" w:themeColor="text1"/>
          <w:szCs w:val="16"/>
        </w:rPr>
        <w:br/>
      </w:r>
      <w:r w:rsidRPr="00781112">
        <w:rPr>
          <w:rFonts w:cs="Arial"/>
          <w:color w:val="000000" w:themeColor="text1"/>
          <w:szCs w:val="16"/>
        </w:rPr>
        <w:br/>
        <w:t>After the completion of the LEA Self-Assessments, DDOE  reviewed a randomly selected sample of the submitted data for verification.  The data reviewed represented all schools within the LEA.</w:t>
      </w:r>
      <w:r w:rsidRPr="00781112">
        <w:rPr>
          <w:rFonts w:cs="Arial"/>
          <w:color w:val="000000" w:themeColor="text1"/>
          <w:szCs w:val="16"/>
        </w:rPr>
        <w:br/>
        <w:t>All disability categories were proportionately represented.</w:t>
      </w:r>
      <w:r w:rsidRPr="00781112">
        <w:rPr>
          <w:rFonts w:cs="Arial"/>
          <w:color w:val="000000" w:themeColor="text1"/>
          <w:szCs w:val="16"/>
        </w:rPr>
        <w:br/>
      </w:r>
      <w:r w:rsidRPr="00781112">
        <w:rPr>
          <w:rFonts w:cs="Arial"/>
          <w:color w:val="000000" w:themeColor="text1"/>
          <w:szCs w:val="16"/>
        </w:rPr>
        <w:br/>
        <w:t xml:space="preserve">Where individual non-compliance was found, the LEA  was directed to correct the individual student records and complete all areas of Corrective Action.  Utilizing the updated data, DDOE  verified the correction of individual student records. Furthermore, DDOE  reviewed additional individual student records to confirm systemic changes and that the LEA is implementing these regulatory requirements.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1"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Youth who are 14 or 8th grade and older are included in the data for this indicator.</w:t>
      </w:r>
      <w:r w:rsidRPr="00781112">
        <w:rPr>
          <w:rFonts w:cs="Arial"/>
          <w:color w:val="000000" w:themeColor="text1"/>
          <w:szCs w:val="16"/>
        </w:rPr>
        <w:br/>
        <w:t xml:space="preserve">DDOE ensures that this data is complete, accurate, reliable, and valid for Indicator 13. DDOE mitigated the impact of COVID-19 by providing guidance and technical assistance for LEAs. This included professional learning and training in monthly statewide Transition Cadre meetings and special education director leadership meetings.  DDOE also provides technical assistance and support to individual LEAs through Standards-Based IEP Training, the Pipeline Initiative, Developing and Supporting Authentic Customized Work-Based Learning Experiences and Jobs for Students and Adults with Disabilities: A Bootcamp for Educators and Employment Professionals and guidance and resource documents to support transition planning. COVID-19 did not have any impact on the data collection since the SEA and LEA utilize a state data system which is available electronically from any location. </w:t>
      </w:r>
      <w:r w:rsidRPr="00781112">
        <w:rPr>
          <w:rFonts w:cs="Arial"/>
          <w:color w:val="000000" w:themeColor="text1"/>
          <w:szCs w:val="16"/>
        </w:rPr>
        <w:b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t>
      </w:r>
      <w:r w:rsidRPr="00781112">
        <w:rPr>
          <w:rFonts w:cs="Arial"/>
          <w:color w:val="000000" w:themeColor="text1"/>
          <w:szCs w:val="16"/>
        </w:rPr>
        <w:lastRenderedPageBreak/>
        <w:t>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 Collaborating and Transforming through completing surveys and participating in meetings:  1,191</w:t>
      </w:r>
      <w:r w:rsidRPr="00781112">
        <w:rPr>
          <w:rFonts w:cs="Arial"/>
          <w:color w:val="000000" w:themeColor="text1"/>
          <w:szCs w:val="16"/>
        </w:rPr>
        <w:br/>
        <w:t xml:space="preserve">For this indicator, 15 stakeholder meetings were held which include Statewide Transition Cadre, Lunch &amp; Learn sessions in collaboration with Parent Information Center of Delaware, Division for Visual Impairments Vocational Rehab Advisory Council, Developmental Disabilities Council, Employment First Commission,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After the verification of correction of all 10 cases of individual noncompliance and at the conclusion of professional development around noncompliant areas, utilizing updated data, the DDOE subsequently reviewed new randomly selected student records and verified that the LEA was compliant and correctly implementing the regulatory requirements under IDEA within the one-year time frame.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Each LEA was required to develop a Corrective Action Plan including a Root Cause Analysis, correct individual student noncompliance, and provide professional development in all regulatory areas of noncompliance.  Once the LEAs reported all corrective action had been completed, utilizing this updated data, the DDOE verified correction of 10 individual student noncompliance and documentation of professional development to ensure compliance.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For any identified noncompliance, the LEA  was required to develop a Corrective Action Plan including a Root Cause Analysis, correct individual student noncompliance, and provide professional development in all regulatory areas of noncompliance.  Once the LEAs reported all corrective action had been completed, utilizing this updated data, the DDOE verified correction of 10 individual student records and documentation of professional development to ensure compliance.  </w:t>
      </w:r>
      <w:r w:rsidRPr="00781112">
        <w:rPr>
          <w:rFonts w:cs="Arial"/>
          <w:color w:val="000000" w:themeColor="text1"/>
          <w:szCs w:val="16"/>
        </w:rPr>
        <w:br/>
        <w:t xml:space="preserve">After the verification of correction of all 10 cases of individual noncompliance and at the conclusion of professional development around noncompliant </w:t>
      </w:r>
      <w:r w:rsidRPr="00781112">
        <w:rPr>
          <w:rFonts w:cs="Arial"/>
          <w:color w:val="000000" w:themeColor="text1"/>
          <w:szCs w:val="16"/>
        </w:rPr>
        <w:lastRenderedPageBreak/>
        <w:t>areas, utilizing updated data, the DDOE subsequently reviewed new randomly selected student records to and verified that the LEA was compliant and correctly implementing the regulatory requirements under IDEA within the one-year time frame.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1"/>
    </w:p>
    <w:p w14:paraId="22761492" w14:textId="77777777" w:rsidR="005C50DB" w:rsidRPr="00781112" w:rsidRDefault="005C50DB" w:rsidP="00A018D4">
      <w:pPr>
        <w:rPr>
          <w:szCs w:val="20"/>
        </w:rPr>
      </w:pPr>
      <w:bookmarkStart w:id="72"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2"/>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44.14%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49.47%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41.39%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45.62%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53.41%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64.82%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81.27%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82.59%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62.16%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73.54%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73.44%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87.69%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85.88%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81.56%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81.01%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87.69%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44.14%</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46.14%</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48.14%</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50.14%</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52.14%</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54.14%</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64.82%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66.82%</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68.82%</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70.82%</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72.82%</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74.82%</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87.69%</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100.00%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100.00%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100.00%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100.00%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100.00%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w:t>
      </w:r>
      <w:r w:rsidRPr="00781112">
        <w:rPr>
          <w:rFonts w:cs="Arial"/>
          <w:color w:val="000000" w:themeColor="text1"/>
          <w:szCs w:val="16"/>
        </w:rPr>
        <w:lastRenderedPageBreak/>
        <w:t xml:space="preserve">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15 stakeholder meetings were held which include Statewide Transition Cadre, Lunch &amp; Learn sessions in collaboration with Parent Information Center of Delaware, Division for Visual Impairments Vocational Rehab Advisory Council, Developmental Disabilities Council, Employment First Commission, Governor’s Advisory Council for Exceptional Citizens (IDEA State Advisory Panel) and LEA Special Education Directors. </w:t>
      </w:r>
      <w:r w:rsidRPr="00781112">
        <w:rPr>
          <w:rFonts w:cs="Arial"/>
          <w:color w:val="000000" w:themeColor="text1"/>
          <w:szCs w:val="16"/>
        </w:rPr>
        <w:br/>
      </w:r>
      <w:r w:rsidRPr="00781112">
        <w:rPr>
          <w:rFonts w:cs="Arial"/>
          <w:color w:val="000000" w:themeColor="text1"/>
          <w:szCs w:val="16"/>
        </w:rPr>
        <w:br/>
        <w:t xml:space="preserve">After engaging in rich discussions with stakeholders, DDOE elected to change the baseline year to 2020 due to the impact COVID-19 has had on post-school outcomes. While COVID-19 did not impact the response rate, the data collected indicated that families and students reported students not wanting to enter higher education/training or employment due to virtual environments/business closures and/or fear of exposure to the virus. Additionally, Stakeholders expressed concern with the long-term impact COVID-19 may have on students pursuing higher education and employment as we continue to emerge from the pandemic.  Stakeholders will continue to problem solve around this concern.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4522ADD4" w14:textId="77777777" w:rsidR="00E448E9" w:rsidRPr="00781112" w:rsidRDefault="00E448E9" w:rsidP="004369B2">
      <w:pPr>
        <w:rPr>
          <w:color w:val="000000" w:themeColor="text1"/>
        </w:rPr>
      </w:pPr>
      <w:bookmarkStart w:id="73"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1,424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759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53.30%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335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157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335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759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53.41%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44.14%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44.14%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492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759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73.44%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64.82%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64.82%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610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759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87.69%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87.69%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80.37%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52.00%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53.30%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SEA will continue to engage stakeholders and agencies in discussions and analysis of data collection methods to ensure opportunities to reach all exiters.   </w:t>
      </w:r>
      <w:r w:rsidRPr="00B551F2">
        <w:br/>
      </w:r>
      <w:r w:rsidRPr="00B551F2">
        <w:br/>
        <w:t>Focused attention will be placed on those under-represented categories.  The SEA will continue discussion with sister agencies (Division of Vocational Rehabilitation, Division on Developmental Disabilities Services, Division for Visual Impairments) to examine respective data systems in an effort to better align systems and track individuals for post school outcomes data collection.  DDOE will also partner with the Parent Information Center of Delaware to identify strategies to reach underrepresented groups.  In addition, the SEA is investigating the potential of using social media, email, and text messaging as additional methods to raise response rates and to ensure representativeness of exiters.</w:t>
      </w:r>
      <w:r w:rsidRPr="00B551F2">
        <w:br/>
      </w:r>
      <w:r w:rsidRPr="00B551F2">
        <w:br/>
        <w:t>The SEA will also work with LEAs to ensure student contact information is correct/updated in Delaware’s state-wide pupil accounting system before students exit the LEA.</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SEA uses multiple data collection processes in an effort to enhance the response rate of youth who are no longer in secondary school and had IEPs in effect at the time they left school.  This includes DDOE’s statewide pupil accounting system and data systems utilized by sister agencies. Through the analysis of responses and nonresponses, the data show nonrespondents who were attempted to be contacted had contact information where numbers were disconnected, there was no answer/returned called, or wrong number.   In efforts to reduce any bias in the reporting data the SEA continues working with sister agencies (Division of Vocation Rehabilitation, Division on Developmental Disabilities Services, Division for Visual Impairments) through data sharing agreements to collect post school outcomes data.  The data sharing agreements allow DDOE to gather additional post-school outcomes data on exiters not reached through phone calls and/or surveys.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lastRenderedPageBreak/>
        <w:t>Disability Category</w:t>
      </w:r>
      <w:r w:rsidRPr="008D51F2">
        <w:tab/>
        <w:t xml:space="preserve"> </w:t>
      </w:r>
      <w:r w:rsidRPr="008D51F2">
        <w:br/>
      </w:r>
      <w:r w:rsidRPr="008D51F2">
        <w:br/>
        <w:t>Learning Disability: Representation of SY 19-20 Exiters/56.42%, Representation of SY 19-20 Respondents/43.61%</w:t>
      </w:r>
      <w:r w:rsidRPr="008D51F2">
        <w:br/>
        <w:t>Mild Intellectual Disability: Representation of SY 19-20 Exiters/6.74%, Representation of SY 19-20 Respondents/12.65%</w:t>
      </w:r>
      <w:r w:rsidRPr="008D51F2">
        <w:br/>
        <w:t>Moderate Intellectual Disability: Representation of SY 19-20 Exiters/2.88%, Representation of SY 19-20 Respondents/5.40%</w:t>
      </w:r>
      <w:r w:rsidRPr="008D51F2">
        <w:br/>
        <w:t>Severe Intellectual Disability: Representation of SY 19-20 Exiters/&lt; 1%, Representation of SY 19-20 Respondents/&lt; 1%</w:t>
      </w:r>
      <w:r w:rsidRPr="008D51F2">
        <w:br/>
        <w:t>Emotional Disability: Representation of SY 19-20 Exiters/8.02%, Representation of SY 19-20 Respondents/2.90%</w:t>
      </w:r>
      <w:r w:rsidRPr="008D51F2">
        <w:br/>
        <w:t>Other Health Impairment: Representation of SY 19-20 Exiters/15.37%, Representation of SY 19-20 Respondents/14.36%</w:t>
      </w:r>
      <w:r w:rsidRPr="008D51F2">
        <w:br/>
        <w:t>Orthopedic Impairment: Representation of SY 19-20 Exiters/1.40%, Representation of SY 19-20 Respondents/2.50%</w:t>
      </w:r>
      <w:r w:rsidRPr="008D51F2">
        <w:br/>
        <w:t>Hearing Impairment: Representation of SY 19-20 Exiters/&lt; 1%, Representation of SY 19-20 Respondents/&lt;1%</w:t>
      </w:r>
      <w:r w:rsidRPr="008D51F2">
        <w:br/>
        <w:t>Autism: Representation of SY 19-20 Exiters/7.37%, Representation of SY 19-20 Respondents/14.23%</w:t>
      </w:r>
      <w:r w:rsidRPr="008D51F2">
        <w:br/>
        <w:t>Deaf/Blind: Representation of SY 19-20 Exiters/&lt;1%, Representation of SY 19-20 Respondents/&lt;1%</w:t>
      </w:r>
      <w:r w:rsidRPr="008D51F2">
        <w:br/>
        <w:t>Blind/Visual Impairment: Representation of SY 19-20 Exiters/&lt; 1%, Representation of SY 19-20 Respondents/&lt; 1%</w:t>
      </w:r>
      <w:r w:rsidRPr="008D51F2">
        <w:br/>
        <w:t>Speech/Language Impairment: Representation of SY 19-20 Exiters/&lt;1% , Representation of SY 19-20 Respondents/&lt;1%</w:t>
      </w:r>
      <w:r w:rsidRPr="008D51F2">
        <w:br/>
        <w:t>Traumatic Brain Injury: Representation of SY 19-20 Exiters/&lt; 1%, Representation of SY 19-20 Respondents/1.05%</w:t>
      </w:r>
      <w:r w:rsidRPr="008D51F2">
        <w:br/>
      </w:r>
      <w:r w:rsidRPr="008D51F2">
        <w:br/>
        <w:t xml:space="preserve">For disability category, the response data were not consistent/within consistent range (+/- 3%) of statewide exiter representation of disability categories. There was an overrepresentation in the categories of mild intellectual disability and autism. There was an underrepresentation in the category of emotional disability and learning disability. </w:t>
      </w:r>
      <w:r w:rsidRPr="008D51F2">
        <w:br/>
      </w:r>
      <w:r w:rsidRPr="008D51F2">
        <w:br/>
        <w:t>Race/Ethnicity</w:t>
      </w:r>
      <w:r w:rsidRPr="008D51F2">
        <w:br/>
      </w:r>
      <w:r w:rsidRPr="008D51F2">
        <w:br/>
        <w:t>Hispanic/Latino: Representation of SY 19-20 Exiters/26.74%, Representation of SY 19-20 Respondents/25.03%</w:t>
      </w:r>
      <w:r w:rsidRPr="008D51F2">
        <w:br/>
        <w:t>American Indian/Alaskan Native: Representation of SY 19-20 Exiters/&lt; 1%, Representation of SY 19-20 Respondents/&lt; 1%</w:t>
      </w:r>
      <w:r w:rsidRPr="008D51F2">
        <w:br/>
        <w:t>Black/African American: Representation of SY 19-20 Exiters/35.93%, Representation of SY 19-20 Respondents/33.20%</w:t>
      </w:r>
      <w:r w:rsidRPr="008D51F2">
        <w:br/>
        <w:t>White/Caucasian: Representation of SY 19-20 Exiters/32.84%, Representation of SY 19-20 Respondents/37.29%</w:t>
      </w:r>
      <w:r w:rsidRPr="008D51F2">
        <w:br/>
        <w:t>Asian American: Representation of SY 19-20 Exiters/&lt;1%, Representation of SY 19-20 Respondents/&lt;1%</w:t>
      </w:r>
      <w:r w:rsidRPr="008D51F2">
        <w:br/>
        <w:t>Native Hawaiin Hawaiian/Other Pacific Islander: Representation of SY 19-20 Exiters/0%, Representation of SY 19-20 Respondents/0%</w:t>
      </w:r>
      <w:r w:rsidRPr="008D51F2">
        <w:br/>
        <w:t>Multi-Racial: Representation of SY 19-20 Exiters/3.23%, Representation of SY 19-20 Respondents/3.03%</w:t>
      </w:r>
      <w:r w:rsidRPr="008D51F2">
        <w:br/>
      </w:r>
      <w:r w:rsidRPr="008D51F2">
        <w:br/>
        <w:t>For race/ethnicity, the response data were not consistent/within consistent range (+/- 3%) of statewide exiter representation of race/ethnicity. There was an overrepresentation in White/Caucasian.</w:t>
      </w:r>
      <w:r w:rsidRPr="008D51F2">
        <w:br/>
      </w:r>
      <w:r w:rsidRPr="008D51F2">
        <w:br/>
        <w:t>Gender</w:t>
      </w:r>
      <w:r w:rsidRPr="008D51F2">
        <w:br/>
      </w:r>
      <w:r w:rsidRPr="008D51F2">
        <w:br/>
        <w:t xml:space="preserve">Male: Representation of SY 19-20 Exiters/64.98%, Representation of SY 19-20 Respondents/61.53% </w:t>
      </w:r>
      <w:r w:rsidRPr="008D51F2">
        <w:br/>
        <w:t>Female: Representation of SY 19-20 Exiters/35.02%, Representation of SY 19-20 Respondents/38.47%</w:t>
      </w:r>
      <w:r w:rsidRPr="008D51F2">
        <w:br/>
      </w:r>
      <w:r w:rsidRPr="008D51F2">
        <w:br/>
        <w:t>For gender, the response data were not consistent/within consistent range (+/- 3%) of statewide exiter representation of gender. There was an underrepresentation of male and an overrepresentation of female.</w:t>
      </w:r>
      <w:r w:rsidRPr="008D51F2">
        <w:br/>
      </w:r>
      <w:r w:rsidRPr="008D51F2">
        <w:br/>
        <w:t xml:space="preserve"> </w:t>
      </w:r>
      <w:r w:rsidRPr="008D51F2">
        <w:br/>
        <w:t>Exit Type</w:t>
      </w:r>
      <w:r w:rsidRPr="008D51F2">
        <w:br/>
      </w:r>
      <w:r w:rsidRPr="008D51F2">
        <w:br/>
        <w:t xml:space="preserve">Regular High School Diploma: Representation of SY 19-20 Exiters/80.35%, Representation of SY 19-20 Respondents/75.36% </w:t>
      </w:r>
      <w:r w:rsidRPr="008D51F2">
        <w:br/>
        <w:t>Certificate/Alternate Diploma: Representation of SY 19-20 Exiters/8.77%, Representation of SY 19-20 Respondents/15.42%</w:t>
      </w:r>
      <w:r w:rsidRPr="008D51F2">
        <w:br/>
        <w:t>Age Out: Representation of SY 19-20 Exiters/2.32%, Representation of SY 19-20 Respondents/4.35%</w:t>
      </w:r>
      <w:r w:rsidRPr="008D51F2">
        <w:br/>
        <w:t>Drop Out: Representation of SY 19-20 Exiters/8.56%, Representation of SY 19-20 Respondents/4.35%</w:t>
      </w:r>
      <w:r w:rsidRPr="008D51F2">
        <w:br/>
      </w:r>
      <w:r w:rsidRPr="008D51F2">
        <w:br/>
        <w:t>For exit type, the response data were not consistent/within consistent range (+/- 3%) of statewide exiter representation of exit type. There was an underrepresentation of regular high school diploma and dropout and overrepresentation of certificate/alternate diploma.</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SEA will continue to engage stakeholders and agencies in discussions and analysis of data collection methods to ensure the possibility all response data will be consistent/within consistent range (+/- 3%) of statewide exiter representation. Focused attention will be placed on those under-represented categories.  The SEA will continue discussion with sister agencies (Division of Vocational Rehabilitation, Division on Developmental Disabilities Services, Division for Visual Impairments) to examine respective data systems in an effort to better align systems and track individuals for post school outcomes data collection.  DDOE will also partner with the Parent Information Center of Delaware to identify strategies to reach underrepresented groups.  In addition, the SEA is investigating the potential of using social media, email, and text messaging as an additional methods to raise response rates and to ensure representativeness of exiters.</w:t>
      </w:r>
      <w:r w:rsidRPr="008D51F2">
        <w:rPr>
          <w:b w:val="0"/>
        </w:rPr>
        <w:br/>
      </w:r>
      <w:r w:rsidRPr="008D51F2">
        <w:rPr>
          <w:b w:val="0"/>
        </w:rPr>
        <w:br/>
        <w:t>The SEA will also work with LEAs to ensure student contact information is correct/updated in Delaware’s state-wide pupil accounting system before students exit the LEA.</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SEA uses a +/- 3% discrepancy in the proportion of responders compared to target groups.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lastRenderedPageBreak/>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4" w:name="_Toc382082390"/>
      <w:bookmarkStart w:id="75"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DDOE ensures that this data is complete, accurate, valid, and reliable for Indicator 14.  COVID-19 did not have any impact on the response rate (data collection) since the SEA mitigated the impact by continuing to partner with sister agencies through data sharing agreements. </w:t>
      </w:r>
      <w:r w:rsidRPr="00781112">
        <w:rPr>
          <w:rFonts w:cs="Arial"/>
          <w:color w:val="000000" w:themeColor="text1"/>
          <w:szCs w:val="16"/>
        </w:rPr>
        <w:br/>
        <w:t xml:space="preserve">After engaging in rich discussions with stakeholders, DDOE elected to change the baseline year to 2020 due to the impact COVID-19 has had on post-school outcomes.  While COVID-19 did not impact the response rate, the data collected indicated that families and students reported students not wanting to enter higher education/training or employment due to virtual environments/business closures and/or fear of exposure to the virus.  </w:t>
      </w:r>
      <w:r w:rsidRPr="00781112">
        <w:rPr>
          <w:rFonts w:cs="Arial"/>
          <w:color w:val="000000" w:themeColor="text1"/>
          <w:szCs w:val="16"/>
        </w:rPr>
        <w:br/>
      </w:r>
      <w:r w:rsidRPr="00781112">
        <w:rPr>
          <w:rFonts w:cs="Arial"/>
          <w:color w:val="000000" w:themeColor="text1"/>
          <w:szCs w:val="16"/>
        </w:rPr>
        <w:br/>
        <w:t>DDOE presented historical data (previous data and targets) to County Special Education Director Meetings, as well as, Charter Special Education Director meetings.  LEA special education directors, coordinators and state program representatives were in attendance.</w:t>
      </w:r>
      <w:r w:rsidRPr="00781112">
        <w:rPr>
          <w:rFonts w:cs="Arial"/>
          <w:color w:val="000000" w:themeColor="text1"/>
          <w:szCs w:val="16"/>
        </w:rPr>
        <w:br/>
        <w:t>? DDOE scheduled community conversations in collaboration with Parent Information Center.  These meetings were open to the public and held as lunchtime learning and evening opportunities.  Historical data (previous data and targets) were presented during each opportunity.  Parents, state councils and state advocacy members were invited.</w:t>
      </w:r>
      <w:r w:rsidRPr="00781112">
        <w:rPr>
          <w:rFonts w:cs="Arial"/>
          <w:color w:val="000000" w:themeColor="text1"/>
          <w:szCs w:val="16"/>
        </w:rPr>
        <w:br/>
        <w:t xml:space="preserve">?DDOE presented historical data (previous data and targets) during monthly Transition Cadre meetings.  Parents, teachers, transition specialists/coordinators, special education directors/coordinators, state agency representatives, community service providers, and other community members are invited.   </w:t>
      </w:r>
      <w:r w:rsidRPr="00781112">
        <w:rPr>
          <w:rFonts w:cs="Arial"/>
          <w:color w:val="000000" w:themeColor="text1"/>
          <w:szCs w:val="16"/>
        </w:rPr>
        <w:br/>
        <w:t>*DDOE invited members of the Governor’s Advisory Council for Exceptional Citizens, State Special Education Advisory Council, Employment First Oversight Commission, State Developmental Disabilities Council, Division for Individuals with Visual Impairments Vocational Rehabilitation Advisory Council to be members of stakeholder groups to be part of the consultation process and provide input into the state plan.</w:t>
      </w:r>
      <w:r w:rsidRPr="00781112">
        <w:rPr>
          <w:rFonts w:cs="Arial"/>
          <w:color w:val="000000" w:themeColor="text1"/>
          <w:szCs w:val="16"/>
        </w:rPr>
        <w:br/>
        <w:t>One-pagers were designed to provide information for each indicator including indicator definition, measurement/calculation, historical data (previous 7 years) and targets for each of those years.  Each of the aforementioned groups were provided the one-pagers along with links to surveys to provide information around each indicator.  Each survey asked for stakeholders to provide information around current strategies positively effecting the indicator data, potential new strategies to implement, feedback for setting new targets, and other information the stakeholder felt important to include for the indicator.</w:t>
      </w:r>
      <w:r w:rsidRPr="00781112">
        <w:rPr>
          <w:rFonts w:cs="Arial"/>
          <w:color w:val="000000" w:themeColor="text1"/>
          <w:szCs w:val="16"/>
        </w:rPr>
        <w:br/>
        <w:t>In addition to group stakeholder meetings, DDOE staff offered individual and small group opportunities to discuss the indicator and gather feedback/input.</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The SEA has continued to engage stakeholders and agencies in discussions and analysis of data collection methods to ensure opportunities to reach all exiters.   </w:t>
      </w:r>
      <w:r w:rsidRPr="00781112">
        <w:rPr>
          <w:rFonts w:cs="Arial"/>
          <w:color w:val="000000" w:themeColor="text1"/>
          <w:szCs w:val="16"/>
        </w:rPr>
        <w:br/>
      </w:r>
      <w:r w:rsidRPr="00781112">
        <w:rPr>
          <w:rFonts w:cs="Arial"/>
          <w:color w:val="000000" w:themeColor="text1"/>
          <w:szCs w:val="16"/>
        </w:rPr>
        <w:br/>
        <w:t xml:space="preserve">  Focused attention has been on those under-represented categories.  The SEA has continued discussion with sister agencies (Division of Vocation Rehabilitation, Division on Developmental Disabilities Services, Division for Visual Impairments) to examine respective data systems in an effort to better align systems and track individuals for post school outcomes data collection.  DDOE has partnered with the Parent Information Center of Delaware to identify strategies to reach underrepresented groups.  In addition, the SEA is investigating the potential of using social media, email, and text messaging as an additional methods to raise response rates and to ensure representativeness of exiters.</w:t>
      </w:r>
      <w:r w:rsidRPr="00781112">
        <w:rPr>
          <w:rFonts w:cs="Arial"/>
          <w:color w:val="000000" w:themeColor="text1"/>
          <w:szCs w:val="16"/>
        </w:rPr>
        <w:br/>
      </w:r>
      <w:r w:rsidRPr="00781112">
        <w:rPr>
          <w:rFonts w:cs="Arial"/>
          <w:color w:val="000000" w:themeColor="text1"/>
          <w:szCs w:val="16"/>
        </w:rPr>
        <w:br/>
        <w:t>The SEA has also worked with LEAs to ensure student contact information is correct/updated in Delaware’s state-wide pupil accounting system before students exit the LEA.</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4"/>
      <w:bookmarkEnd w:id="75"/>
    </w:p>
    <w:p w14:paraId="7EA31497" w14:textId="77777777" w:rsidR="005B0B58" w:rsidRPr="00781112" w:rsidRDefault="005B0B58" w:rsidP="00A018D4">
      <w:pPr>
        <w:rPr>
          <w:color w:val="000000" w:themeColor="text1"/>
          <w:szCs w:val="20"/>
        </w:rPr>
      </w:pPr>
      <w:bookmarkStart w:id="76" w:name="_Toc381786822"/>
      <w:bookmarkStart w:id="77" w:name="_Toc382731911"/>
      <w:bookmarkStart w:id="78" w:name="_Toc382731912"/>
      <w:bookmarkStart w:id="79" w:name="_Toc392159340"/>
      <w:bookmarkEnd w:id="76"/>
      <w:bookmarkEnd w:id="7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78"/>
    <w:bookmarkEnd w:id="7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0" w:name="_Toc382731913"/>
      <w:bookmarkStart w:id="81"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t>
      </w:r>
      <w:r w:rsidRPr="00781112">
        <w:rPr>
          <w:rFonts w:cs="Arial"/>
          <w:color w:val="000000" w:themeColor="text1"/>
          <w:szCs w:val="16"/>
        </w:rPr>
        <w:lastRenderedPageBreak/>
        <w:t>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meetings were held with stakeholder groups which include Indicator 15/16 Stakeholder Group, Lunch &amp; Learn sessions in collaboration with Parent Information Center of Delaware, Governor’s Advisory Council for Exceptional Citizens (IDEA State Advisory Panel) and local education agency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bookmarkEnd w:id="80"/>
    <w:bookmarkEnd w:id="8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50.00%-60.00%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 - 60.00%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 - 60.00%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50.00%-60.00%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55.00%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55.00%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55.00%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55.00%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55.00%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55.00%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According to the Part B State Performance Plan and Annual Performance Report Part B Indicator Measurement Table, states are not required to establish baseline or targets if the number of resolution sessions is less than 10.  While Delaware stakeholders have chosen to set targets, the State had less than 10 resolution sessions, therefore there was no slippage.</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Delaware Department of Education (DDOE) ensures that this data is complete, accurate, valid, and reliable for Indicator 15. COVID-19 did not impact DDOE’s ability to collect the data as the DDOE remains in close communication with the hearing officers as to the status of the resolution meetings and their outcome for each due process case that is filed.</w:t>
      </w:r>
      <w:r w:rsidRPr="00781112">
        <w:rPr>
          <w:rFonts w:cs="Arial"/>
          <w:color w:val="000000" w:themeColor="text1"/>
          <w:szCs w:val="16"/>
        </w:rPr>
        <w:br/>
        <w:t xml:space="preserve">Although Delaware has established targets for this indicator, the state is not required to establish a target for FFY 2020 because the number of resolution sessions is less than 10. Delaware submitted an application and later engaged in an interview process to become members of the Center for Appropriate Dispute Resolution in Special Education’s (CADRE) Written State Complaint Intensive Technical Assistance Work Group. Delaware was one of nine states selected to participate in this intensive technical assistance work group. Delaware completed a self-assessment and created an action </w:t>
      </w:r>
      <w:r w:rsidRPr="00781112">
        <w:rPr>
          <w:rFonts w:cs="Arial"/>
          <w:color w:val="000000" w:themeColor="text1"/>
          <w:szCs w:val="16"/>
        </w:rPr>
        <w:lastRenderedPageBreak/>
        <w:t>plan with goals. Delaware will continue to submit progress reports on the established goals, engage in quarterly work group calls, participate in networking resource sharing, and access individual state technical assistance as needed.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 The State provided targets for FFYs 2020 through 2025 for this indicator and OSEP accepts those targets. </w:t>
      </w:r>
      <w:r w:rsidRPr="00781112">
        <w:rPr>
          <w:rFonts w:cs="Arial"/>
          <w:color w:val="000000" w:themeColor="text1"/>
          <w:szCs w:val="16"/>
        </w:rPr>
        <w:br/>
      </w:r>
      <w:r w:rsidRPr="00781112">
        <w:rPr>
          <w:rFonts w:cs="Arial"/>
          <w:color w:val="000000" w:themeColor="text1"/>
          <w:szCs w:val="16"/>
        </w:rPr>
        <w:br/>
        <w:t>The State reported fewer than ten resolution sessions held in FFY 2020.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2" w:name="_Toc382731916"/>
      <w:bookmarkStart w:id="8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2"/>
    <w:bookmarkEnd w:id="8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w:t>
      </w:r>
      <w:r w:rsidRPr="00781112">
        <w:rPr>
          <w:rFonts w:cs="Arial"/>
          <w:color w:val="000000" w:themeColor="text1"/>
          <w:szCs w:val="16"/>
        </w:rPr>
        <w:lastRenderedPageBreak/>
        <w:t>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color w:val="000000" w:themeColor="text1"/>
          <w:szCs w:val="16"/>
        </w:rPr>
        <w:br/>
      </w:r>
      <w:r w:rsidRPr="00781112">
        <w:rPr>
          <w:rFonts w:cs="Arial"/>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color w:val="000000" w:themeColor="text1"/>
          <w:szCs w:val="16"/>
        </w:rPr>
        <w:br/>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r>
      <w:r w:rsidRPr="00781112">
        <w:rPr>
          <w:rFonts w:cs="Arial"/>
          <w:color w:val="000000" w:themeColor="text1"/>
          <w:szCs w:val="16"/>
        </w:rPr>
        <w:br/>
        <w:t xml:space="preserve">For this indicator, 10 meetings were held with stakeholder groups which include Indicator 15/16 Stakeholder Group, Lunch &amp; Learn sessions in collaboration with Parent Information Center of Delaware, Governor’s Advisory Council for Exceptional Citizens (IDEA State Advisory Panel) and local education agency (LEA) Special Education Directors. </w:t>
      </w:r>
      <w:r w:rsidRPr="00781112">
        <w:rPr>
          <w:rFonts w:cs="Arial"/>
          <w:color w:val="000000" w:themeColor="text1"/>
          <w:szCs w:val="16"/>
        </w:rPr>
        <w:br/>
      </w:r>
      <w:r w:rsidRPr="00781112">
        <w:rPr>
          <w:rFonts w:cs="Arial"/>
          <w:color w:val="000000" w:themeColor="text1"/>
          <w:szCs w:val="16"/>
        </w:rPr>
        <w:br/>
        <w:t>Summary of stakeholder input/feedback regarding target setting and improvement activities can be found at: https://www.doe.k12.de.us/Page/4541</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76.92%</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76.92%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77.78%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80.00%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80.00%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80.00%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80.00%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80.00%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According to the Part B State Performance Plan and Annual Performance Report Part B Indicator Measurement Table, states are not required to establish baseline or targets if the number of mediations is less than 10. While Delaware stakeholders have chosen to set targets, the State had less than 10 mediations therefore there was no slippage.</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Delaware Department of Education (DDOE) ensures that this data is complete, accurate, valid, and reliable for Indicator 16. COVID-19 prevented in-person mediation. The Office of Conflict Resolution Program (CRP) at the University of Delaware (contracted vendor that provides Delaware’s special education mediation services) swiftly moved to a remote platform by continuing to offer and provide mediation services virtually. In addition, steps were taken to mitigate the logistical impacts of COVID-19 by developing guidance documents and technical assistance which focused on technology use and best practices while engaging with others in a virtual realm. Data collection for this indicator was not impacted by COVID-19. The CRP and the Education Associate at DDOE that manages the dispute resolution system remained in close communication via email and phone to record the data and then conducted interrater reliability checks in completing Table 7.</w:t>
      </w:r>
      <w:r w:rsidRPr="00781112">
        <w:rPr>
          <w:rFonts w:cs="Arial"/>
          <w:color w:val="000000" w:themeColor="text1"/>
          <w:szCs w:val="16"/>
        </w:rPr>
        <w:br/>
      </w:r>
      <w:r w:rsidRPr="00781112">
        <w:rPr>
          <w:rFonts w:cs="Arial"/>
          <w:color w:val="000000" w:themeColor="text1"/>
          <w:szCs w:val="16"/>
        </w:rPr>
        <w:lastRenderedPageBreak/>
        <w:t xml:space="preserve">Although Delaware has established targets for this indicator, the state is not required to establish a target for FFY 2020 because the number of mediations is less than 10. Delaware submitted an application and later engaged in an interview process to become members of the Center for Appropriate Dispute Resolution in Special Education’s (CADRE) Written State Complaint Intensive Technical Assistance Work Group. Delaware was one of nine states selected to participate in this intensive technical assistance work group. Delaware completed a self-assessment and created an action plan with goals. Delaware will continue to submit progress reports on the established goals, engage in quarterly work group calls, participate in networking resource sharing, and access individual state technical assistance as needed. DDOE is actively partnering with our mediation contractors and the Parent Information Center Inc. to collaborate in promoting mediation services to parents.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To increase the literacy proficiency of students with disabilities in K-3rd grade, as measured by a decrease in the percentage of third grade students with disabilities scoring below proficiency on Delaware’s statewide assessments.</w:t>
      </w:r>
    </w:p>
    <w:p w14:paraId="43CABCA3" w14:textId="77777777" w:rsidR="00AE1972" w:rsidRPr="00781112" w:rsidRDefault="00AE1972" w:rsidP="00AE1972">
      <w:pPr>
        <w:rPr>
          <w:b/>
          <w:bCs/>
        </w:rPr>
      </w:pPr>
      <w:bookmarkStart w:id="84"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https://www.doe.k12.de.us/cms/lib/DE01922744/Centricity/Domain/78/SSIP%20Phase%20I%20TOA%201.24.22.pdf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5" w:name="_Hlk88409365"/>
      <w:r w:rsidRPr="00730C62">
        <w:rPr>
          <w:b/>
          <w:bCs/>
          <w:szCs w:val="16"/>
        </w:rPr>
        <w:t>just</w:t>
      </w:r>
      <w:r w:rsidR="006457D1">
        <w:rPr>
          <w:b/>
          <w:bCs/>
          <w:szCs w:val="16"/>
        </w:rPr>
        <w:t>i</w:t>
      </w:r>
      <w:r w:rsidRPr="00730C62">
        <w:rPr>
          <w:b/>
          <w:bCs/>
          <w:szCs w:val="16"/>
        </w:rPr>
        <w:t>fication</w:t>
      </w:r>
      <w:bookmarkEnd w:id="85"/>
      <w:r w:rsidRPr="00730C62">
        <w:rPr>
          <w:b/>
          <w:bCs/>
          <w:szCs w:val="16"/>
        </w:rPr>
        <w:t xml:space="preserve"> for the changes.</w:t>
      </w:r>
    </w:p>
    <w:p w14:paraId="168D53FB" w14:textId="164A8367" w:rsidR="00CF0910" w:rsidRDefault="00CF0910" w:rsidP="00CF0910">
      <w:r w:rsidRPr="00781112">
        <w:t>As will be discussed in greater detail further in the report, the only significant change in DE SSIP activities, strategies or timelines is a positive unintended consequence of COVID-19, the addition of multiple types of professional learning that are more aligned with the Delaware Literacy Plan. This alignment allows the SSIP practices to be scaled up to a wider audience, in more varied approaches and greater opportunities for sustainability.</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87.72%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85.72%</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83.72%</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81.72%</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79.72%</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77.72%</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75.72%</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Students Not Proficient on SBAC or DeSSA-ALT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Tested on SBAC or DeSSA-ALT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1,215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1,439</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85.72%</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84.43%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DDOE utilizies the Smarter Balanced Assessment Consortium (SBAC) data and the Delaware System of Student Assessment Alternative (DeSSA - Alt) data.</w:t>
      </w:r>
    </w:p>
    <w:p w14:paraId="17AAB1A6" w14:textId="2D1007DB" w:rsidR="00AE1972" w:rsidRPr="00781112" w:rsidRDefault="00AE1972" w:rsidP="00AE1972">
      <w:r w:rsidRPr="00781112">
        <w:rPr>
          <w:b/>
          <w:bCs/>
        </w:rPr>
        <w:lastRenderedPageBreak/>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DE DOE Office of Assessment is responsible for collecting, analyzing, and reporting on the SBAC and DeSSA - Alt results. While the DE SiMR addresses all the ELA proficiency of all third-grade students with disabilities in the state, the assessment data are disaggregated so that further analyses can be conducted for the one participating SSIP district and seven SSIP schools that implemented key elements of MTSS, related to reading, during the 2020-21 school year. The assessment results from the SSIP sites are compared to the average state assessment results. The data are then reviewed by the DE SSIP Core Team to interpret the results for SSIP reporting.</w:t>
      </w:r>
      <w:r w:rsidRPr="00781112">
        <w:rPr>
          <w:color w:val="000000" w:themeColor="text1"/>
        </w:rPr>
        <w:br/>
      </w:r>
      <w:r w:rsidRPr="00781112">
        <w:rPr>
          <w:color w:val="000000" w:themeColor="text1"/>
        </w:rPr>
        <w:br/>
        <w:t xml:space="preserve">NOTE:  As indicated in the SiMR, the percentage of students not scoring within the proficient range needs to be at or below the target, thus showing a decrease in students not meeting proficiency.  The FFY 2020 data of 84.43% is less than the FFY 2020 target of 85.72%.  Therefore, Delaware met the target for FFY 2020.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Data regarding the impact of DE SSIP professional learning were collected from participants after most training events and at two points during the school year. The surveys gathered data on participants’ knowledge and skills to provide evidence-based early literacy instruction and to support MTSS implementation. The results provide insight to determine if participants’ have sufficient knowledge to develop MTSS structures and early literacy instructional practices that will increase student performance on the SBAC and the DeSSA - Alt.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participation rate in the 2020-21 state assessment decreased significantly due to COVID-19. Due to changes in reporting requiirements we have data for 4th grade participation. Approximately 96% of fourth grade students participated in the ELA component of the 2018-19 SBAC and DeSSA - Alt, while only 67% participated in 2020-21. It’s possible that fewer students participating in the assessment system could decrease the reliability of the results, but we are not in a position to test that hypothesis. </w:t>
      </w:r>
      <w:r w:rsidRPr="00781112">
        <w:rPr>
          <w:color w:val="000000" w:themeColor="text1"/>
        </w:rPr>
        <w:br/>
        <w:t>COVID-19 has also impacted our ability to directly assess the second wave of teacher early literacy fidelity of implementation data. Plans are underway to identify and implement tools and processes to use a self-assessment to indirectly assess the fidelity of early literacy implementation.</w:t>
      </w:r>
      <w:r w:rsidRPr="00781112">
        <w:rPr>
          <w:color w:val="000000" w:themeColor="text1"/>
        </w:rPr>
        <w:br/>
        <w:t xml:space="preserve">District and school-level MTSS fidelity of intervention data were collected, although the method of administration has been virtual, with varied involvement of SSIP coaches to facilitate the process, impacting the reliability of the results.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https://www.doe.k12.de.us/Page/2343</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Three teams were used to support the implementation of the DE SSIP infrastructure improvement strategies. This included a focus on governance, standards, accountability, and monitoring through collaborative teaming; professional learning; and family engagement. </w:t>
      </w:r>
      <w:r w:rsidRPr="00781112">
        <w:rPr>
          <w:color w:val="000000" w:themeColor="text1"/>
        </w:rPr>
        <w:br/>
      </w:r>
      <w:r w:rsidRPr="00781112">
        <w:rPr>
          <w:color w:val="000000" w:themeColor="text1"/>
        </w:rPr>
        <w:br/>
        <w:t>MTSS Core Team</w:t>
      </w:r>
      <w:r w:rsidRPr="00781112">
        <w:rPr>
          <w:color w:val="000000" w:themeColor="text1"/>
        </w:rPr>
        <w:br/>
        <w:t>The DE MTSS Core Team consists of three members of the DE DOE Exceptional Childrens Resources (ECR) Workgroup, led by Jalee Pernol; and three members of the Academic Support Team, led by Pam Alfaro; Zach Weingarten, lead staff for the American Institutes for Research (AIR); Meedra Surratte, the DE Parent Information Center (PIC) Director; and Brent Garrett, the SSIP external evaluator. This group is responsible for direct oversight and support of MTSS and early literacy professional learning. The Core Team met nine times during the 2020-21 school year.</w:t>
      </w:r>
      <w:r w:rsidRPr="00781112">
        <w:rPr>
          <w:color w:val="000000" w:themeColor="text1"/>
        </w:rPr>
        <w:br/>
      </w:r>
      <w:r w:rsidRPr="00781112">
        <w:rPr>
          <w:color w:val="000000" w:themeColor="text1"/>
        </w:rPr>
        <w:br/>
        <w:t>MTSS Leadership Team:</w:t>
      </w:r>
      <w:r w:rsidRPr="00781112">
        <w:rPr>
          <w:color w:val="000000" w:themeColor="text1"/>
        </w:rPr>
        <w:br/>
        <w:t xml:space="preserve">The MTSS Leadership Team (LT) consists of the Core Team members, plus representatives from the DE DOE Offices of Assessment, School Leadership, Equity and Innovation, Early Learning, and English Language Learners. Representatives from the DE PBS Project and ACCESS Project from the University of Delaware who focus on Positive Behavior Supports, Social Emotional Learning, and Universal Design for Learning also participate on the MTSS Leadership Team. The Leadership Team provides the coordination and leadership to build the capacity of state, district, charter, and school personnel to implement an integrated MTSS framework. This includes (1) a focus on multidirectional communication with stakeholders, including families, to increase capacity for MTSS implementation and (2) supporting the alignment of initiatives to improve whole child outcomes and use data to continuously improve supports for districts, charters, schools, and families. The Leadership Team met three times during the 2020-21 school year. </w:t>
      </w:r>
      <w:r w:rsidRPr="00781112">
        <w:rPr>
          <w:color w:val="000000" w:themeColor="text1"/>
        </w:rPr>
        <w:br/>
      </w:r>
      <w:r w:rsidRPr="00781112">
        <w:rPr>
          <w:color w:val="000000" w:themeColor="text1"/>
        </w:rPr>
        <w:br/>
        <w:t>MTSS Advisory Council</w:t>
      </w:r>
      <w:r w:rsidRPr="00781112">
        <w:rPr>
          <w:color w:val="000000" w:themeColor="text1"/>
        </w:rPr>
        <w:br/>
        <w:t xml:space="preserve">The MTSS Advisory Council provides advice on SSIP work related to governance, standards, accountability, and monitoring. The MTSS AC (with 65 stakeholders) met three times this reporting period, averaging 31 participants at each meeting. The MTSS Advisory Council includes personnel from the DE DOE, districts and schools, community agencies, SSIP staff, and family representatives. The three Advisory Council meetings held in 2020-21 included (1) a review and feedback on the DE-MTSS Implementation Guide, (2) MTSS updates and available MTSS resources, and (3) a Leading by Convening event facilitated by Mary Watson of IDC to further the DE SSIP stakeholder engagement work. </w:t>
      </w:r>
      <w:r w:rsidRPr="00781112">
        <w:rPr>
          <w:color w:val="000000" w:themeColor="text1"/>
        </w:rPr>
        <w:br/>
      </w:r>
      <w:r w:rsidRPr="00781112">
        <w:rPr>
          <w:color w:val="000000" w:themeColor="text1"/>
        </w:rPr>
        <w:br/>
        <w:t>Professional learning Strategies (MTSS and the Delaware Early Literacy Initiative DELI Training and Job-Embedded Coaching)</w:t>
      </w:r>
      <w:r w:rsidRPr="00781112">
        <w:rPr>
          <w:color w:val="000000" w:themeColor="text1"/>
        </w:rPr>
        <w:br/>
      </w:r>
      <w:r w:rsidRPr="00781112">
        <w:rPr>
          <w:color w:val="000000" w:themeColor="text1"/>
        </w:rPr>
        <w:lastRenderedPageBreak/>
        <w:t>DELI is the name given for the SSIP professional learning initiative. DE SSIP staff facilitated professional learning through the use of training and job-embedded coaching. During 2020-21, the types of training, as well as the audience for training evolved due to challenges brought on by COVID-19. Face-to-face training for only DE SSIP Cohort schools changed to virtual professional learning options, including virtual courses and book studies, that were delivered to all interested Delaware educators. Eight literacy trainings (most of which were multi-day trainings with coaching embedded) were conducted in 2020-21, impacting approximately 350 Delaware educators.</w:t>
      </w:r>
      <w:r w:rsidRPr="00781112">
        <w:rPr>
          <w:color w:val="000000" w:themeColor="text1"/>
        </w:rPr>
        <w:br/>
        <w:t>Participants in the book studies read and discussed Integrated Multi-Tiered Systems of Support: Blending RTI and PBIS (by Kent McIntosh and Steve Goodman) and Leading Equity-Based MTSS for All Students (by Amy McCart and Dawn Miller). Staff from the Lead for Literacy initiative facilitated six sessions on improving teacher implementation of evidence-based literacy practices within an effective, schoolwide multi-tiered system of support. Two trainings were held for DE SSIP Cohort charter schools, addressing literacy and MTSS needs specific to their schools. A two-month online early literacy course addressed: (1) the elements of explicit instruction and how to use explicit instruction to support students who struggle with reading, (2) how to use data to identify students’ reading needs and make instructional decisions, and (3) effective instructional practices to help students gain proficiency in the essential components of reading.</w:t>
      </w:r>
      <w:r w:rsidRPr="00781112">
        <w:rPr>
          <w:color w:val="000000" w:themeColor="text1"/>
        </w:rPr>
        <w:br/>
        <w:t xml:space="preserve">AIR staff provided sustained, job embedded coaching to support early literacy and/or MTSS implementation in three DE SSIP charter schools and two DE SSIP school districts. In 2020-21, there were 35 early literacy coaching contacts and 58 MTSS coaching contacts. Coaching content was specific to each school or district, driven by the results of their MTSS fidelity of implementation data collection and subsequent action plan. </w:t>
      </w:r>
      <w:r w:rsidRPr="00781112">
        <w:rPr>
          <w:color w:val="000000" w:themeColor="text1"/>
        </w:rPr>
        <w:br/>
      </w:r>
      <w:r w:rsidRPr="00781112">
        <w:rPr>
          <w:color w:val="000000" w:themeColor="text1"/>
        </w:rPr>
        <w:br/>
        <w:t>Family Engagement</w:t>
      </w:r>
      <w:r w:rsidRPr="00781112">
        <w:rPr>
          <w:color w:val="000000" w:themeColor="text1"/>
        </w:rPr>
        <w:br/>
        <w:t>The DE SSIP engaged stakeholders with the assistance of the DE PIC, and meetings with the Governor’s Advisory Council for Exceptional Citizens (GACEC). The DE PIC supported the SSIP family engagement activities to increase parents understanding of MTSS and early literacy. This included the development and dissemination of two webinars, two videos, and the 20 family resources during the 2020-21 school year. Two SSIP presentations were presented to the GACEC. More detailed information about family engagement is presented in Section C of this report.</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Teaming</w:t>
      </w:r>
      <w:r w:rsidRPr="00781112">
        <w:rPr>
          <w:color w:val="000000" w:themeColor="text1"/>
        </w:rPr>
        <w:br/>
        <w:t>Evaluation data were collected at the three DE MTSS Advisory Council meetings held in 2020-21. On average, 92% of Advisory Council members were in strong agreement that the MTSS AC meetings were of high quality, their views were listened to and honored, and there were opportunities for collaboration. The average results ranged from 99% agreement at the first meeting to 88% agreement at the third meeting. These results support the impact the DE SSIP teaming structure has had on efforts to support system change. Continuation of this improvement strategy is critical to our sustainability and scale-up efforts.</w:t>
      </w:r>
      <w:r w:rsidRPr="00781112">
        <w:rPr>
          <w:color w:val="000000" w:themeColor="text1"/>
        </w:rPr>
        <w:br/>
      </w:r>
      <w:r w:rsidRPr="00781112">
        <w:rPr>
          <w:color w:val="000000" w:themeColor="text1"/>
        </w:rPr>
        <w:br/>
        <w:t>Professional Learning Strategies (MTSS and DELI Training and Job-Embedded Coaching)</w:t>
      </w:r>
      <w:r w:rsidRPr="00781112">
        <w:rPr>
          <w:color w:val="000000" w:themeColor="text1"/>
        </w:rPr>
        <w:br/>
        <w:t>Training and job-embedded coaching output data were collected via a Google Form, allowing real time analyses. Data were analyzed continually to inform the MTSS Core Team of the type and frequency of professional learning provided. Evaluation data have been useful in determining changes to the training process. As a result, trainings are shorter in duration, with more varied training forums.</w:t>
      </w:r>
      <w:r w:rsidRPr="00781112">
        <w:rPr>
          <w:color w:val="000000" w:themeColor="text1"/>
        </w:rPr>
        <w:br/>
        <w:t xml:space="preserve">A total of approximately 350 educators participated in the eight DE SSIP trainings, with an average of 44 people at each training. The number of participants at the DELI trainings ranging from 13 to 65. Training evaluation data were collected at four of the trainings, with evaluation questions varying by training. When asked, 86% of participants thought the purposes of the trainings were well defined, communications were clear, and the training platforms were easy to use. 84% of the participants at the Integrated Multi-Tiered Systems of Support: Blending RTI and PBIS book study and 92% of the Leading Equity-Based MTSS for All Students book study participants reported they were more knowledgeable of the content after the book study. 90% of the Lead for Literacy participants felt the training topics were useful. On the pre/post-test for the DELI Virtual Course, the average results increased by 17%, from 79% at pre-test to 96% at post-test. </w:t>
      </w:r>
      <w:r w:rsidRPr="00781112">
        <w:rPr>
          <w:color w:val="000000" w:themeColor="text1"/>
        </w:rPr>
        <w:br/>
        <w:t>Further feedback on the impact and effectiveness of SSIP professional learning (including training and coaching) was gathered in May 2021 on the Participating Personnel Survey. Respondents agreed that the professional learning was high quality, relevant, useful, and impacted their knowledge of early literacy and MTSS. 76% of participants were in agreement they were more knowledgeable about early literacy practices, with 77% reporting they were more knowledgeable about MTSS. 75% of the respondents felt the professional learning increased their knowledge of using data to inform instruction.</w:t>
      </w:r>
      <w:r w:rsidRPr="00781112">
        <w:rPr>
          <w:color w:val="000000" w:themeColor="text1"/>
        </w:rPr>
        <w:br/>
        <w:t xml:space="preserve">A retrospective pre/post-test was used to gauge the impact on participants’ knowledge of early literacy practices across the school year. Participants were asked to rate their knowledge of (1) writing, (2) vocabulary, (3) phonemic awareness, (4) fluency, (5) comprehension, and (6) phonics prior to, and at the end of the school year. 81% of respondents felt moderate to very knowledgeable about the literacy topics prior to their involvement with DELI, increasing to 89% at the end of the school year. </w:t>
      </w:r>
      <w:r w:rsidRPr="00781112">
        <w:rPr>
          <w:color w:val="000000" w:themeColor="text1"/>
        </w:rPr>
        <w:br/>
        <w:t>A similar question was asked about participants’ knowledge related to literacy instructional practices including (1) family literacy strategies, (2) using informal diagnostic assessments to identify students’ areas of need, strategies to support English Language Learners’ access to the core curriculum, (3) problem solving process when data indicate that a student is not making adequate progress, (4) culturally responsive literacy instruction, (5) explicit instruction, (6) differentiating literacy instruction across various groups of students, and (7) progress monitoring. On average, 70% of respondents perceived they were moderate to very knowledgeable prior to the school year, increasing to 79% at the end of the year. These results support the impact the DE SSIP professional learnin activities has had on efforts to improve teachers’ instructional practices, which are essential to improving student performance. Continuation of this improvement strategy is essential to achieving the DE SSIP SiMR.</w:t>
      </w:r>
      <w:r w:rsidRPr="00781112">
        <w:rPr>
          <w:color w:val="000000" w:themeColor="text1"/>
        </w:rPr>
        <w:br/>
      </w:r>
      <w:r w:rsidRPr="00781112">
        <w:rPr>
          <w:color w:val="000000" w:themeColor="text1"/>
        </w:rPr>
        <w:br/>
        <w:t>Family Engagement</w:t>
      </w:r>
      <w:r w:rsidRPr="00781112">
        <w:rPr>
          <w:color w:val="000000" w:themeColor="text1"/>
        </w:rPr>
        <w:br/>
        <w:t>The DE Core Team monitored and tracked the DE PIC deliverables related to MTSS and early literacy resources, webinars, and videos. All resources were vetted by the DE DOE to ensure they were of high quality, relevant, and useful before being disseminated across the state. The detailed list of resources developed by the DE PIC during 2020-21 is shared in Section C of this report. The quality of the DE PIC resources supports the continued use of this improvement strategy. These results support the reach and impact of the DE SSIP family engagement activities, which are critical to informing parents and families of early literacy practices that can be implemented in the home. Continuation of this improvement strategy is an important part of the DE SSIP sustainability efforts.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lastRenderedPageBreak/>
        <w:t>Teaming</w:t>
      </w:r>
      <w:r w:rsidRPr="00781112">
        <w:rPr>
          <w:color w:val="000000" w:themeColor="text1"/>
        </w:rPr>
        <w:br/>
        <w:t>The MTSS Core Team, MTSS Leadership Team, and the MTSS Advisory Council will continue to meet and support SSIP implementation efforts. The Leadership Team began meeting monthly at the end of the 2020-21 school year and has continued doing so, with an emphasis on aligning initiatives and departments within DDOE and establishing a communication plan Feedback from the MTSS Advisory Council meetings indicates that the MTSS Core and Leadership Teams are functioning well and keeping stakeholders informed and engaged.</w:t>
      </w:r>
      <w:r w:rsidRPr="00781112">
        <w:rPr>
          <w:color w:val="000000" w:themeColor="text1"/>
        </w:rPr>
        <w:br/>
      </w:r>
      <w:r w:rsidRPr="00781112">
        <w:rPr>
          <w:color w:val="000000" w:themeColor="text1"/>
        </w:rPr>
        <w:br/>
        <w:t>Professional Learning Strategies (MTSS and DELI Training and Job-Embedded Coaching)</w:t>
      </w:r>
      <w:r w:rsidRPr="00781112">
        <w:rPr>
          <w:color w:val="000000" w:themeColor="text1"/>
        </w:rPr>
        <w:br/>
        <w:t>Next steps for MTSS professional learning include the implementation of a virtual MTSS Institute and Coach training, continued use of book studies, scaling MTSS implementation in additional sites receiving intensive supports, dissemination of self-paced modules. The DELI professional learning activities will continue to merge with the Delaware Literacy Plan activities, providing expertise in supporting students with disabilities. A large focus will be on supporting the Reading Interventionists identified and trained to provide job-embedded coaching within their own districts and schools. This method of professional learning is more sustainable and allows for scale-up activities within impacted districts. Participating districts and schools are required to submit data from formative assessments, progress monitoring, and the use of interventions. These data must be disaggregated so that the impact on students with disabilities can be determined. DELI will also collaborate the DE PIC and one to two DELI schools participating to support efforts around promoting literacy within the home. Specific activities are listed below in the Family Engagement section.</w:t>
      </w:r>
      <w:r w:rsidRPr="00781112">
        <w:rPr>
          <w:color w:val="000000" w:themeColor="text1"/>
        </w:rPr>
        <w:br/>
      </w:r>
      <w:r w:rsidRPr="00781112">
        <w:rPr>
          <w:color w:val="000000" w:themeColor="text1"/>
        </w:rPr>
        <w:br/>
        <w:t>Family Engagement</w:t>
      </w:r>
      <w:r w:rsidRPr="00781112">
        <w:rPr>
          <w:color w:val="000000" w:themeColor="text1"/>
        </w:rPr>
        <w:br/>
        <w:t xml:space="preserve">The DE PIC family engagement activities will continue as in the previous two years. The DE PIC executive director will continue to serve on the DE MTSS Leadership Team and Advisory Council. Primary PIC activities for the 2021-22 school year are listed below. </w:t>
      </w:r>
      <w:r w:rsidRPr="00781112">
        <w:rPr>
          <w:color w:val="000000" w:themeColor="text1"/>
        </w:rPr>
        <w:br/>
        <w:t>The DE PIC will collaborate with one to two schools participating in the Delaware Early Literacy Initiative to support efforts around promoting literacy within the home including, but not limited to, coordinating a book drive. They will also assist the DDOE in promoting literacy within the home by researching/developing the following resources and posting them on the PIC website: (1) communication tools relating to the importance of literacy in the home, (2) videos that model how to read to a child and engage in discussion about the text, (3) evidenced-based strategies for increasing decoding, fluency, and comprehension, (4) collaborate with the DDOE to develop communication tools to support families in the transition from RTI to MTSS including but not limited to webinars, brochures/one pagers, (5) support districts participating in the MTSS initiative to address whole child needs, as identified through the needs assessment process, and (6) conduct workshops (in-person or virtual) to promote literacy within the home.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MTSS Implementation</w:t>
      </w:r>
      <w:r w:rsidRPr="00781112">
        <w:rPr>
          <w:color w:val="000000" w:themeColor="text1"/>
        </w:rPr>
        <w:br/>
        <w:t>2. Evidence-Based Early Literacy Instruction</w:t>
      </w:r>
      <w:r w:rsidRPr="00781112">
        <w:rPr>
          <w:color w:val="000000" w:themeColor="text1"/>
        </w:rPr>
        <w:br/>
        <w:t>3. Evidence-Based Professional Learning Practices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MTSS Implementation</w:t>
      </w:r>
      <w:r w:rsidRPr="00781112">
        <w:rPr>
          <w:color w:val="000000" w:themeColor="text1"/>
        </w:rPr>
        <w:br/>
        <w:t xml:space="preserve">The DE-MTSS framework is designed to meet the needs of the whole child through an integrated, multilevel prevention system that optimizes team-based leadership and data-driven decision making to meet the academic and nonacademic needs of all students. Educators provide high-quality, core academic instruction and nonacademic practices as universal supports to all children. School teams use a universal screening process to identify students who need additional help, and they deliver evidence-based interventions and supports that match student needs and are informed by ongoing progress monitoring and additional formative assessments. During this reporting period, a significant portion of DE SSIP activities focused the development of professional learning offerings and resources to support MTSS implementation, in preparation for the new MTSS regulations that went into effect in July 2021. Initial professional learning offerings included the development of two MTSS book studies and a series of MTSS modules that became available through the DE DOE-sponsored Schoology platform in fall 2021. More information on the implementation of the book studies was addressed in the previous sections of this report, addressing the DE SSIP professional learning improvement strategies. </w:t>
      </w:r>
      <w:r w:rsidRPr="00781112">
        <w:rPr>
          <w:color w:val="000000" w:themeColor="text1"/>
        </w:rPr>
        <w:br/>
        <w:t xml:space="preserve">Initial drafts of the resources listed below were developed by SSIP partners at AIR, who vetted the resources with national MTSS experts at AIR, before being reviewed by DE DOE staff. Resources were then shared with the DE MTSS Advisory Council. At the June 2021 Advisory Council meeting, members were given guidance and direction in sharing these resources with their colleagues and/or stakeholders. The resources were finalized after receiving feedback from Advisory Council members. The resources listed below can be accessed at https://www.doe.k12.de.us/Page/4413 and corresponding web pages. </w:t>
      </w:r>
      <w:r w:rsidRPr="00781112">
        <w:rPr>
          <w:color w:val="000000" w:themeColor="text1"/>
        </w:rPr>
        <w:br/>
      </w:r>
      <w:r w:rsidRPr="00781112">
        <w:rPr>
          <w:color w:val="000000" w:themeColor="text1"/>
        </w:rPr>
        <w:br/>
        <w:t>-The DE-MTSS Professional Learning Plan</w:t>
      </w:r>
      <w:r w:rsidRPr="00781112">
        <w:rPr>
          <w:color w:val="000000" w:themeColor="text1"/>
        </w:rPr>
        <w:br/>
        <w:t>-A DE-MTSS Professional Learning one-pager</w:t>
      </w:r>
      <w:r w:rsidRPr="00781112">
        <w:rPr>
          <w:color w:val="000000" w:themeColor="text1"/>
        </w:rPr>
        <w:br/>
        <w:t>-DE-MTSS Overview Video</w:t>
      </w:r>
      <w:r w:rsidRPr="00781112">
        <w:rPr>
          <w:color w:val="000000" w:themeColor="text1"/>
        </w:rPr>
        <w:br/>
        <w:t>-DE-MTSS Overview Infographic</w:t>
      </w:r>
      <w:r w:rsidRPr="00781112">
        <w:rPr>
          <w:color w:val="000000" w:themeColor="text1"/>
        </w:rPr>
        <w:br/>
        <w:t>-DE-MTSS Implementation Guide</w:t>
      </w:r>
      <w:r w:rsidRPr="00781112">
        <w:rPr>
          <w:color w:val="000000" w:themeColor="text1"/>
        </w:rPr>
        <w:br/>
        <w:t>-District/Charter Quick Reference Guide</w:t>
      </w:r>
      <w:r w:rsidRPr="00781112">
        <w:rPr>
          <w:color w:val="000000" w:themeColor="text1"/>
        </w:rPr>
        <w:br/>
        <w:t>-School Quick Reference Guide</w:t>
      </w:r>
      <w:r w:rsidRPr="00781112">
        <w:rPr>
          <w:color w:val="000000" w:themeColor="text1"/>
        </w:rPr>
        <w:br/>
      </w:r>
      <w:r w:rsidRPr="00781112">
        <w:rPr>
          <w:color w:val="000000" w:themeColor="text1"/>
        </w:rPr>
        <w:br/>
        <w:t>Evidence-Based Early Literacy Instruction</w:t>
      </w:r>
      <w:r w:rsidRPr="00781112">
        <w:rPr>
          <w:color w:val="000000" w:themeColor="text1"/>
        </w:rPr>
        <w:br/>
        <w:t>DE SSIP early literacy instruction was based on reading research provided by the National Reading Panel (2000), National Literacy Panel (2006), and various What Works Clearinghouse practice guides (i.e., Baker et al., 2014; Gersten et al., 2007) that indicated the importance of explicit instruction in phonemic awareness, phonics, reading fluency, vocabulary, and reading comprehension. Additionally, the findings of Snow, Burns, &amp; Griffin (1998) highlight the benefit of interactive literacy activities and oral language skills.</w:t>
      </w:r>
      <w:r w:rsidRPr="00781112">
        <w:rPr>
          <w:color w:val="000000" w:themeColor="text1"/>
        </w:rPr>
        <w:br/>
      </w:r>
      <w:r w:rsidRPr="00781112">
        <w:rPr>
          <w:color w:val="000000" w:themeColor="text1"/>
        </w:rPr>
        <w:br/>
        <w:t>Evidence-Based Professional Learning Practices</w:t>
      </w:r>
      <w:r w:rsidRPr="00781112">
        <w:rPr>
          <w:color w:val="000000" w:themeColor="text1"/>
        </w:rPr>
        <w:br/>
        <w:t xml:space="preserve">The AIR professional learning staff has extensive experience providing targeted, intensive technical support in MTSS and literacy for states and LEAs through several projects, including the Center on MTSS at AIR, the National Center on Intensive Intervention (NCII), the National Center for Systemic Improvement (NCSI); and multiple other federal, state, and LEA projects. </w:t>
      </w:r>
      <w:r w:rsidRPr="00781112">
        <w:rPr>
          <w:color w:val="000000" w:themeColor="text1"/>
        </w:rPr>
        <w:br/>
        <w:t>The DELI training and follow-up coaching were informed by evidence-based practices for professional learning and adult learning practices (Dunst &amp; Trivette, 2012 and Guskey, 2000). At the DELI trainings, participants had opportunities to reflect on evidence-based instructional practices and consider ways that these practices could be adapted to fit their classroom context. Survey data from face-to-face and virtual trainings indicate that participants were more knowledgeable about early literacy practices and felt the trainings used adult learning practices to facilitate learning.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6"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6"/>
    <w:p w14:paraId="3E043DB7" w14:textId="7C3B2CD4" w:rsidR="00AE1972" w:rsidRPr="00781112" w:rsidRDefault="00AE1972" w:rsidP="00AE1972">
      <w:pPr>
        <w:rPr>
          <w:b/>
          <w:bCs/>
        </w:rPr>
      </w:pPr>
      <w:r w:rsidRPr="00781112">
        <w:rPr>
          <w:color w:val="000000" w:themeColor="text1"/>
        </w:rPr>
        <w:lastRenderedPageBreak/>
        <w:t>MTSS Implementation</w:t>
      </w:r>
      <w:r w:rsidRPr="00781112">
        <w:rPr>
          <w:color w:val="000000" w:themeColor="text1"/>
        </w:rPr>
        <w:br/>
        <w:t xml:space="preserve">The one participating SSIP district and seven SSIP schools implemented key elements of MTSS, related to reading, during the 2020-21 school year. All SSIP sites used MTSS teams to review student data and make decisions about intervention and instruction. Ensuring that schools had a well-developed screening process, strong progress monitoring practices, the capacity to use data to inform decision-making, quality core instruction and the use of interventions at Tiers 2 and 3, and the necessary infrastructure (including the use of fidelity tools to evaluate progress) are essential components to ensuring that schools are able to improve students’ early literacy outcomes. Similarly, the participating districts and schools used the results of the MTSS fidelity tool to review and strengthen their MTSS policy, procedures, and practices. MTSS screening and intervention will impact the SiMR by identifying students in need of extra reading support and providing targeted interventions to address their needs. </w:t>
      </w:r>
      <w:r w:rsidRPr="00781112">
        <w:rPr>
          <w:color w:val="000000" w:themeColor="text1"/>
        </w:rPr>
        <w:br/>
      </w:r>
      <w:r w:rsidRPr="00781112">
        <w:rPr>
          <w:color w:val="000000" w:themeColor="text1"/>
        </w:rPr>
        <w:br/>
        <w:t>Evidence-Based Early Literacy Instruction</w:t>
      </w:r>
      <w:r w:rsidRPr="00781112">
        <w:rPr>
          <w:color w:val="000000" w:themeColor="text1"/>
        </w:rPr>
        <w:br/>
        <w:t xml:space="preserve">As classroom observations have not been conducted since prior to the COVID-19, we have not been able to directly observe the use of evidence-based practices for early literacy instruction. The 2019-20 data indicated that teachers were beginning to implement literacy practices with fidelity. For example, in the Teacher Instruction domain, 66% of second grade teachers observed implemented the practices with fidelity. As discussed previously in the improvement strategy section, participating teachers have reported increased knowledge and skills to implement evidence-based literacy practices and feel that student outcomes are improving as a result. Evidence-based literacy instruction will impact child outcomes by improving students' ability to decode and comprehend text.  </w:t>
      </w:r>
      <w:r w:rsidRPr="00781112">
        <w:rPr>
          <w:color w:val="000000" w:themeColor="text1"/>
        </w:rPr>
        <w:br/>
        <w:t>Evidence-Based Professional Learning Practices</w:t>
      </w:r>
      <w:r w:rsidRPr="00781112">
        <w:rPr>
          <w:color w:val="000000" w:themeColor="text1"/>
        </w:rPr>
        <w:br/>
        <w:t>SSIP training and follow-up coaching were informed by evidence-based practices for professional learning and the use of adult learning practices (Dunst &amp; Trivette, 2012 and Guskey, 2000). At the DELI trainings, participants had opportunities to ask questions, interact, and reflect on evidence-based instructional practices and consider ways that these practices could be adapted to fit their classroom context. Similarly, after MTSS trainings, participants were able to interact with peers, ask questions, and reflect on what they learned and plan for further implementation. Survey data from face-to-face and virtual trainings indicated that participants were more knowledgeable about MTSS and early literacy practices and felt the trainings used adult learning practices to facilitate learning. This feedback suggests that the improved systems and teachers’ instructional practices should impact the DE SSIP SiMR.</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results from the MTSS fidelity of implementation data collection helped DE SSIP staff to determine if the SSIP training and coaching resulted in the implementation of MTSS and early literacy evidence-based practices with fidelity by participating schools. A quality MTSS system and strong early literacy instruction are essential to achieving our SiMR. </w:t>
      </w:r>
      <w:r w:rsidRPr="00781112">
        <w:rPr>
          <w:color w:val="000000" w:themeColor="text1"/>
        </w:rPr>
        <w:br/>
        <w:t xml:space="preserve">AIR’s District MTSS Capacity and Implementation Rubric was used to assess fidelity. The tool was modified slightly to fit Delaware’s context. The results of the fidelity tool administration were used to develop action plans to guide MTSS implementation and inform the SSIP professional learning provided. Baseline fidelity data were collected as schools began participation in the DE SSIP, then in the spring or summer of each following year. SSIP coaches facilitated the MTSS fidelity data collection with school leadership teams, then used the fidelity results for action plan development. </w:t>
      </w:r>
      <w:r w:rsidRPr="00781112">
        <w:rPr>
          <w:color w:val="000000" w:themeColor="text1"/>
        </w:rPr>
        <w:br/>
        <w:t xml:space="preserve">No other fidelity of implementation data were collected during the 2020-21 school year after our submission of the 2021 SSIP Phase III report. At the time of that report, MTSS fidelity data had been collected virtually from three schools in the one SSIP district participating at that time and from four charter schools. </w:t>
      </w:r>
      <w:r w:rsidRPr="00781112">
        <w:rPr>
          <w:color w:val="000000" w:themeColor="text1"/>
        </w:rPr>
        <w:br/>
        <w:t>For the four schools with two years of data, two reported a higher rating on the second administration, while the other two perceived lower fidelity on the second administration. While we can’t provide empirical evidence, it is likely the initial ratings were too high for these two schools based on the coaches' experiences with those schools. On average, the three schools from the one participating district were slightly above the mid-point of the fidelity scale (3.5 on a 5-point scale). The charter school's second rating was 2.8, below the mid-point.</w:t>
      </w:r>
      <w:r w:rsidRPr="00781112">
        <w:rPr>
          <w:color w:val="000000" w:themeColor="text1"/>
        </w:rPr>
        <w:br/>
        <w:t xml:space="preserve">During the 2021-22 school year, MTSS fidelity data were (or are scheduled to be) collected from the three schools in the original participating districts and four participating charter schools. Two additional school districts, with four participating schools have provided baseline data during 2021-22. These data will be reported in the 2023 SSIP Phase III report. </w:t>
      </w:r>
      <w:r w:rsidRPr="00781112">
        <w:rPr>
          <w:color w:val="000000" w:themeColor="text1"/>
        </w:rPr>
        <w:br/>
        <w:t>Fidelity of implementation data collection related to teachers' use of evidence-based early literacy practices has been more of a challenge in a virtual environment. No data has been collected since prior to COVID-19, although we continue to explore methods to facilitate this process.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Not applicable. All data collected has been discussed previously.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MTSS Implementation</w:t>
      </w:r>
      <w:r w:rsidRPr="00781112">
        <w:rPr>
          <w:color w:val="000000" w:themeColor="text1"/>
        </w:rPr>
        <w:br/>
        <w:t xml:space="preserve">Two districts began initial planning to participate in the intensive professional learning offered by the DE SSIP near the end of the 2021 school year. Support will be provided to district and school leadership teams, including the facilitation of the MTSS fidelity of implementation process. Four additional schools began implementation in fall 2021. Universal strategies such as the MTSS book studies, the MTSS Schoology modules, a MTSS virtual institute, and coach training will be implemented. It is expected that in the districts and schools receiving intensive report, participants will become more knowledgeable about MSS implementation and will begin to implement MTSS with fidelity. </w:t>
      </w:r>
      <w:r w:rsidRPr="00781112">
        <w:rPr>
          <w:color w:val="000000" w:themeColor="text1"/>
        </w:rPr>
        <w:br/>
      </w:r>
      <w:r w:rsidRPr="00781112">
        <w:rPr>
          <w:color w:val="000000" w:themeColor="text1"/>
        </w:rPr>
        <w:br/>
        <w:t>Evidence-Based Early Literacy Instruction</w:t>
      </w:r>
      <w:r w:rsidRPr="00781112">
        <w:rPr>
          <w:color w:val="000000" w:themeColor="text1"/>
        </w:rPr>
        <w:br/>
        <w:t xml:space="preserve">After three years of professional learning, support to the current Cohort schools (one participating SSIP district and seven SSIP schools) will decrease during the 2020-21 school. At the same time, SSIP activities will be more aligned with activities under the Delaware Literacy Plan, allowing for more opportunities to scale up and sustain the evidence-based early literacy practices. This will include the use of 43 approved Reading Interventionists to support early literacy professional learning in their own districts and schools. Similar to the changes in the DE SSIP MTSS professional learning, the changes to how early literacy professional learning is provided should support greater levels of scale-up and sustainability within districts and across the state. </w:t>
      </w:r>
      <w:r w:rsidRPr="00781112">
        <w:rPr>
          <w:color w:val="000000" w:themeColor="text1"/>
        </w:rPr>
        <w:br/>
      </w:r>
      <w:r w:rsidRPr="00781112">
        <w:rPr>
          <w:color w:val="000000" w:themeColor="text1"/>
        </w:rPr>
        <w:br/>
        <w:t>Evidence-Based Professional Learning Practices</w:t>
      </w:r>
      <w:r w:rsidRPr="00781112">
        <w:rPr>
          <w:color w:val="000000" w:themeColor="text1"/>
        </w:rPr>
        <w:br/>
        <w:t xml:space="preserve">The current set of professional learning practices used with SSIP training and coaching will continue. The actual practices will vary depend on the type of professional learning, but a focus on the use of adult learning practices will continue across all activities.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Delaware embraces authentic stakeholder engagement throughout all areas of our work. Members of Exceptional Children Resources (ECR) workgroup have engaged in Leading by Convening training twice in the past 8 years through NCSI and IDC, our national technical assistance centers, to enhance our current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Delaware Department of Education has built a strong relationship with Delaware Parent Information Center,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These connections and collaboration have resulted in positive changes.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b w:val="0"/>
          <w:color w:val="000000" w:themeColor="text1"/>
          <w:szCs w:val="16"/>
        </w:rPr>
        <w:br/>
        <w:t>As members of ECR prepared to engage stakeholders in analyzing Delaware data, setting targets for the new SPP/APR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b w:val="0"/>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During monthly meetings, ECR engages with the council in data analysis and discussion of improvement activities around individual indicators. In addition, individual members represented GACEC on each specific indicator stakeholder committees.  ECR also presented to and engaged all stakeholders/parents from the Governor’s Advisory Council for Exceptional Citizens at a general meeting for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b w:val="0"/>
          <w:color w:val="000000" w:themeColor="text1"/>
          <w:szCs w:val="16"/>
        </w:rPr>
        <w:br/>
        <w:t>ECR staff, in cooperation with Parent Information Center, developed one-page, parent friendly fact sheets for each SPP/APR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w:t>
      </w:r>
      <w:r w:rsidRPr="00781112">
        <w:rPr>
          <w:rFonts w:cs="Arial"/>
          <w:b w:val="0"/>
          <w:color w:val="000000" w:themeColor="text1"/>
          <w:szCs w:val="16"/>
        </w:rPr>
        <w:br/>
      </w:r>
      <w:r w:rsidRPr="00781112">
        <w:rPr>
          <w:rFonts w:cs="Arial"/>
          <w:b w:val="0"/>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rFonts w:cs="Arial"/>
          <w:b w:val="0"/>
          <w:color w:val="000000" w:themeColor="text1"/>
          <w:szCs w:val="16"/>
        </w:rPr>
        <w:br/>
      </w:r>
      <w:r w:rsidRPr="00781112">
        <w:rPr>
          <w:rFonts w:cs="Arial"/>
          <w:b w:val="0"/>
          <w:color w:val="000000" w:themeColor="text1"/>
          <w:szCs w:val="16"/>
        </w:rPr>
        <w:br/>
        <w:t>Number of stakeholders who were reached by DDOE/PIC through Informing on social media and websites:  30,902</w:t>
      </w:r>
      <w:r w:rsidRPr="00781112">
        <w:rPr>
          <w:rFonts w:cs="Arial"/>
          <w:b w:val="0"/>
          <w:color w:val="000000" w:themeColor="text1"/>
          <w:szCs w:val="16"/>
        </w:rPr>
        <w:br/>
      </w:r>
      <w:r w:rsidRPr="00781112">
        <w:rPr>
          <w:rFonts w:cs="Arial"/>
          <w:b w:val="0"/>
          <w:color w:val="000000" w:themeColor="text1"/>
          <w:szCs w:val="16"/>
        </w:rPr>
        <w:br/>
        <w:t>Number of stakeholders who were engaged by DDOE/PIC by Informing on social media and websites:  1,035</w:t>
      </w:r>
      <w:r w:rsidRPr="00781112">
        <w:rPr>
          <w:rFonts w:cs="Arial"/>
          <w:b w:val="0"/>
          <w:color w:val="000000" w:themeColor="text1"/>
          <w:szCs w:val="16"/>
        </w:rPr>
        <w:br/>
      </w:r>
      <w:r w:rsidRPr="00781112">
        <w:rPr>
          <w:rFonts w:cs="Arial"/>
          <w:b w:val="0"/>
          <w:color w:val="000000" w:themeColor="text1"/>
          <w:szCs w:val="16"/>
        </w:rPr>
        <w:br/>
        <w:t>Number of stakeholders who were engaged with DDOE/PIC by Networking , Collaborating and Transforming through completing surveys and participating in meetings:  1,191</w:t>
      </w:r>
      <w:r w:rsidRPr="00781112">
        <w:rPr>
          <w:rFonts w:cs="Arial"/>
          <w:b w:val="0"/>
          <w:color w:val="000000" w:themeColor="text1"/>
          <w:szCs w:val="16"/>
        </w:rPr>
        <w:br/>
      </w:r>
      <w:r w:rsidRPr="00781112">
        <w:rPr>
          <w:rFonts w:cs="Arial"/>
          <w:b w:val="0"/>
          <w:color w:val="000000" w:themeColor="text1"/>
          <w:szCs w:val="16"/>
        </w:rPr>
        <w:br/>
        <w:t xml:space="preserve">For this indicator, 10 stakeholder meetings were held which include MTSS Advisory Council, Access to the General Education Curriculum Committee, Lunch &amp; Learn sessions in collaboration with Parent Information Center of Delaware, Governor’s Advisory Council for Exceptional Citizens (IDEA State Advisory Panel) and LEA Special Education Directors.  </w:t>
      </w:r>
      <w:r w:rsidRPr="00781112">
        <w:rPr>
          <w:rFonts w:cs="Arial"/>
          <w:b w:val="0"/>
          <w:color w:val="000000" w:themeColor="text1"/>
          <w:szCs w:val="16"/>
        </w:rPr>
        <w:br/>
      </w:r>
      <w:r w:rsidRPr="00781112">
        <w:rPr>
          <w:rFonts w:cs="Arial"/>
          <w:b w:val="0"/>
          <w:color w:val="000000" w:themeColor="text1"/>
          <w:szCs w:val="16"/>
        </w:rPr>
        <w:br/>
        <w:t>Summary of stakeholder input/feedback regarding target setting and improvement activities can be found at: https://www.doe.k12.de.us/Page/4541</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MTSS Advisory Council</w:t>
      </w:r>
      <w:r w:rsidRPr="00781112">
        <w:rPr>
          <w:color w:val="000000" w:themeColor="text1"/>
        </w:rPr>
        <w:br/>
        <w:t>The DE MTSS Advisory Council is the most engaged group of stakeholders providing insight and feedback on SSIP implementation activities. The specific Advisory Council strategies and outcomes were discussed in detail in the teaming improvement strategy discussed previously in this report.</w:t>
      </w:r>
      <w:r w:rsidRPr="00781112">
        <w:rPr>
          <w:color w:val="000000" w:themeColor="text1"/>
        </w:rPr>
        <w:br/>
      </w:r>
      <w:r w:rsidRPr="00781112">
        <w:rPr>
          <w:color w:val="000000" w:themeColor="text1"/>
        </w:rPr>
        <w:br/>
        <w:t>The Parent Information Center of Delaware Activities</w:t>
      </w:r>
      <w:r w:rsidRPr="00781112">
        <w:rPr>
          <w:color w:val="000000" w:themeColor="text1"/>
        </w:rPr>
        <w:br/>
        <w:t xml:space="preserve">The DE PIC is an essential partner in the SSIP family engagement activities, as they are for other focus areas within the DE DOE. The DE PIC Director is a member of the DE MTSS Leadership Team and MTSS AC. This allows both groups to consistently hear and learn from the parent/family perspective. The DE PIC’s role is to disseminate information and resources necessary to increase parents’ awareness and understanding of MTSS and early literacy practices. </w:t>
      </w:r>
      <w:r w:rsidRPr="00781112">
        <w:rPr>
          <w:color w:val="000000" w:themeColor="text1"/>
        </w:rPr>
        <w:br/>
        <w:t>During the 2020-21 school year, the DE PIC has increased the number of family engagement resources from previous years. Resources are developed on an ongoing basis, including videos and webinars on parent/child shared reading, dialogic reading, social-emotional learning, phonics, and MTSS. During the 2020-21 school year, the PIC developed and disseminated two webinars, two videos, and the 20 family resources listed below. These resources can be accessed at https://picofdel.org/resources/.</w:t>
      </w:r>
      <w:r w:rsidRPr="00781112">
        <w:rPr>
          <w:color w:val="000000" w:themeColor="text1"/>
        </w:rPr>
        <w:br/>
        <w:t>• MTSS Parent Guide</w:t>
      </w:r>
      <w:r w:rsidRPr="00781112">
        <w:rPr>
          <w:color w:val="000000" w:themeColor="text1"/>
        </w:rPr>
        <w:br/>
        <w:t>• Read Anything &amp; Everything with your child - Featured article in enews (7/2/2020)</w:t>
      </w:r>
      <w:r w:rsidRPr="00781112">
        <w:rPr>
          <w:color w:val="000000" w:themeColor="text1"/>
        </w:rPr>
        <w:br/>
        <w:t>• Let’s Read Together - Featured article in enews (8/6/2020)</w:t>
      </w:r>
      <w:r w:rsidRPr="00781112">
        <w:rPr>
          <w:color w:val="000000" w:themeColor="text1"/>
        </w:rPr>
        <w:br/>
        <w:t>• Learning to Read the World: Literacy in the first 3 years - Featured article in enews (8/26/2020)</w:t>
      </w:r>
      <w:r w:rsidRPr="00781112">
        <w:rPr>
          <w:color w:val="000000" w:themeColor="text1"/>
        </w:rPr>
        <w:br/>
        <w:t>• Early Literacy: Parent’s Play a Key Role - Featured article in enews (9/10/2020)</w:t>
      </w:r>
      <w:r w:rsidRPr="00781112">
        <w:rPr>
          <w:color w:val="000000" w:themeColor="text1"/>
        </w:rPr>
        <w:br/>
      </w:r>
      <w:r w:rsidRPr="00781112">
        <w:rPr>
          <w:color w:val="000000" w:themeColor="text1"/>
        </w:rPr>
        <w:lastRenderedPageBreak/>
        <w:t>• Early Literacy – Getting Ready to Read - Featured in enews (9/17/2020)</w:t>
      </w:r>
      <w:r w:rsidRPr="00781112">
        <w:rPr>
          <w:color w:val="000000" w:themeColor="text1"/>
        </w:rPr>
        <w:br/>
        <w:t>•</w:t>
      </w:r>
      <w:r w:rsidRPr="00781112">
        <w:rPr>
          <w:color w:val="000000" w:themeColor="text1"/>
        </w:rPr>
        <w:tab/>
        <w:t xml:space="preserve">Webinars: 9/24/2020 – ‘SEL and its Role in MTS’S, presented by: Linda Smith, DOE, Debby Boyer (CDS), Brynn Fallah, (CDS) – 10 participants </w:t>
      </w:r>
      <w:r w:rsidRPr="00781112">
        <w:rPr>
          <w:color w:val="000000" w:themeColor="text1"/>
        </w:rPr>
        <w:br/>
        <w:t>• Parent Involvement in Early Literacy (9/24/2020)</w:t>
      </w:r>
      <w:r w:rsidRPr="00781112">
        <w:rPr>
          <w:color w:val="000000" w:themeColor="text1"/>
        </w:rPr>
        <w:br/>
        <w:t>•</w:t>
      </w:r>
      <w:r w:rsidRPr="00781112">
        <w:rPr>
          <w:color w:val="000000" w:themeColor="text1"/>
        </w:rPr>
        <w:tab/>
        <w:t xml:space="preserve">MTSS Parent booklet, one pager, and two videos. https://picofdel.org/type/mtss/ </w:t>
      </w:r>
      <w:r w:rsidRPr="00781112">
        <w:rPr>
          <w:color w:val="000000" w:themeColor="text1"/>
        </w:rPr>
        <w:br/>
        <w:t>• Tips from a Teacher: Supporting Early Literacy Skills during COVID-19 (10/29/2020)</w:t>
      </w:r>
      <w:r w:rsidRPr="00781112">
        <w:rPr>
          <w:color w:val="000000" w:themeColor="text1"/>
        </w:rPr>
        <w:br/>
        <w:t>• 12 Ways Parents can Encourage Literacy &amp; Language Skills (10/1/2020)</w:t>
      </w:r>
      <w:r w:rsidRPr="00781112">
        <w:rPr>
          <w:color w:val="000000" w:themeColor="text1"/>
        </w:rPr>
        <w:br/>
        <w:t>• Learning to Learning to Read the World: Literacy in the first 3 years (10/15/2020)</w:t>
      </w:r>
      <w:r w:rsidRPr="00781112">
        <w:rPr>
          <w:color w:val="000000" w:themeColor="text1"/>
        </w:rPr>
        <w:br/>
        <w:t>• Las 10 cosas que debe saber sobre la lectura (11/10/2020)</w:t>
      </w:r>
      <w:r w:rsidRPr="00781112">
        <w:rPr>
          <w:color w:val="000000" w:themeColor="text1"/>
        </w:rPr>
        <w:br/>
        <w:t>• Read the World Around You (11/19/2020)</w:t>
      </w:r>
      <w:r w:rsidRPr="00781112">
        <w:rPr>
          <w:color w:val="000000" w:themeColor="text1"/>
        </w:rPr>
        <w:br/>
        <w:t>• What Kind of Early Reading Intervention should we Provide? &amp; Language Learning Through the Five Senses (12/3/2020)</w:t>
      </w:r>
      <w:r w:rsidRPr="00781112">
        <w:rPr>
          <w:color w:val="000000" w:themeColor="text1"/>
        </w:rPr>
        <w:br/>
        <w:t>• Schools and Families as Partners in Remote Literacy Learning (12/17/2020)</w:t>
      </w:r>
      <w:r w:rsidRPr="00781112">
        <w:rPr>
          <w:color w:val="000000" w:themeColor="text1"/>
        </w:rPr>
        <w:br/>
        <w:t>• Introducing babies and Toddlers to books (1/21/2021)</w:t>
      </w:r>
      <w:r w:rsidRPr="00781112">
        <w:rPr>
          <w:color w:val="000000" w:themeColor="text1"/>
        </w:rPr>
        <w:br/>
        <w:t>• When do kids learn to read? (1/7/2021)</w:t>
      </w:r>
      <w:r w:rsidRPr="00781112">
        <w:rPr>
          <w:color w:val="000000" w:themeColor="text1"/>
        </w:rPr>
        <w:br/>
        <w:t>• Vocabulary Tips and Hints for English Learners (2/18/2021)</w:t>
      </w:r>
      <w:r w:rsidRPr="00781112">
        <w:rPr>
          <w:color w:val="000000" w:themeColor="text1"/>
        </w:rPr>
        <w:br/>
        <w:t>• Reach out and Read – Resources for families for using reading to engage children in the home (3/25/2021)</w:t>
      </w:r>
      <w:r w:rsidRPr="00781112">
        <w:rPr>
          <w:color w:val="000000" w:themeColor="text1"/>
        </w:rPr>
        <w:br/>
        <w:t>• What is dyslexia? Que es la dyslexia (March 2021 – Spanish Newsletter)</w:t>
      </w:r>
      <w:r w:rsidRPr="00781112">
        <w:rPr>
          <w:color w:val="000000" w:themeColor="text1"/>
        </w:rPr>
        <w:br/>
        <w:t>The DE PIC and the Disabilities Law Program at Community Legal Aid Society, Inc (CLASI) have made plans to implement a Lunch and Learn Series during the 2021-22 school year. The sessions will be held on Thursdays at noon, with a replay of recordings at 6:00 PM. This 3-part series will cover hot topics related to special education including the U.S Department of Education Return to School Roadmap Guidance. More information is provided at: https://picofdel.org/exploring-the-department-of-educations-return-to-school-roadmap-on-idea/.</w:t>
      </w:r>
      <w:r w:rsidRPr="00781112">
        <w:rPr>
          <w:color w:val="000000" w:themeColor="text1"/>
        </w:rPr>
        <w:br/>
      </w:r>
      <w:r w:rsidRPr="00781112">
        <w:rPr>
          <w:color w:val="000000" w:themeColor="text1"/>
        </w:rPr>
        <w:br/>
        <w:t>Governor’s Advisory Council for Exceptional Citizens (GACEC)</w:t>
      </w:r>
      <w:r w:rsidRPr="00781112">
        <w:rPr>
          <w:color w:val="000000" w:themeColor="text1"/>
        </w:rPr>
        <w:br/>
        <w:t xml:space="preserve">DE SSIP staff met twice with the GACEC during the 2020-21 school year to share information related to SSIP implementation and outcomes. The new MTSS regulation was discussed along with related supports and resources. Updates on DELI were also given with ongoing professional learning opportunities. Designated members of GACEC participate in additional committees such as MTSS Advisory Council. </w:t>
      </w:r>
      <w:r w:rsidRPr="00781112">
        <w:rPr>
          <w:color w:val="000000" w:themeColor="text1"/>
        </w:rPr>
        <w:br/>
      </w:r>
      <w:r w:rsidRPr="00781112">
        <w:rPr>
          <w:color w:val="000000" w:themeColor="text1"/>
        </w:rPr>
        <w:br/>
        <w:t>Professional Learning Participants</w:t>
      </w:r>
      <w:r w:rsidRPr="00781112">
        <w:rPr>
          <w:color w:val="000000" w:themeColor="text1"/>
        </w:rPr>
        <w:br/>
        <w:t>District and school personnel participating in the MTSS and DELI professional learning activities were surveyed in March and May 2021 to receive their feedback on the quality and effectiveness of each improvement activity. They also provided qualitative feedback on what could be done to improve the professional learning offerings. Detailed information related to feedback from professional learning participants was discussed in detail previously in the professional learning improvement strategy section of this report.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Feedback from the DE MTSS Advisory Council</w:t>
      </w:r>
      <w:r w:rsidRPr="00781112">
        <w:rPr>
          <w:color w:val="000000" w:themeColor="text1"/>
        </w:rPr>
        <w:br/>
        <w:t>An evaluation survey was completed after each DE MTSS Advisory Council meeting. The results from the quantitative survey items were consistently positive. On average, 99% of respondents reported high levels of agreement regarding the quality and impact of the October 2020 meeting, 91% for the April 2021 meeting, and 88% for the June 2021 meeting.</w:t>
      </w:r>
      <w:r w:rsidRPr="00781112">
        <w:rPr>
          <w:color w:val="000000" w:themeColor="text1"/>
        </w:rPr>
        <w:br/>
        <w:t>The qualitative feedback has been more helpful for identifying areas in need of improvement. Specific stakeholder feedback from each meeting is listed below.</w:t>
      </w:r>
      <w:r w:rsidRPr="00781112">
        <w:rPr>
          <w:color w:val="000000" w:themeColor="text1"/>
        </w:rPr>
        <w:br/>
      </w:r>
      <w:r w:rsidRPr="00781112">
        <w:rPr>
          <w:color w:val="000000" w:themeColor="text1"/>
        </w:rPr>
        <w:br/>
        <w:t>October 2020 Meeting</w:t>
      </w:r>
      <w:r w:rsidRPr="00781112">
        <w:rPr>
          <w:color w:val="000000" w:themeColor="text1"/>
        </w:rPr>
        <w:br/>
        <w:t>-Perhaps a format in the future could be to walk through materials quickly, allow a lot of time to give written feedback before coming back together as a group to discuss questions and make decisions together.</w:t>
      </w:r>
      <w:r w:rsidRPr="00781112">
        <w:rPr>
          <w:color w:val="000000" w:themeColor="text1"/>
        </w:rPr>
        <w:br/>
        <w:t>-Allowing us to review the sections of the guide a week prior to the meeting so that we can come prepared- I personally like to make a hard copy and write notes that way.</w:t>
      </w:r>
      <w:r w:rsidRPr="00781112">
        <w:rPr>
          <w:color w:val="000000" w:themeColor="text1"/>
        </w:rPr>
        <w:br/>
      </w:r>
      <w:r w:rsidRPr="00781112">
        <w:rPr>
          <w:color w:val="000000" w:themeColor="text1"/>
        </w:rPr>
        <w:br/>
        <w:t>April 21 Meeting</w:t>
      </w:r>
      <w:r w:rsidRPr="00781112">
        <w:rPr>
          <w:color w:val="000000" w:themeColor="text1"/>
        </w:rPr>
        <w:br/>
        <w:t xml:space="preserve">-Meetings at 2-hour max when meeting virtually. Designated facilitators w/in rooms are helpful. </w:t>
      </w:r>
      <w:r w:rsidRPr="00781112">
        <w:rPr>
          <w:color w:val="000000" w:themeColor="text1"/>
        </w:rPr>
        <w:br/>
        <w:t>-Have the meetings scheduled well in advance.</w:t>
      </w:r>
      <w:r w:rsidRPr="00781112">
        <w:rPr>
          <w:color w:val="000000" w:themeColor="text1"/>
        </w:rPr>
        <w:br/>
      </w:r>
      <w:r w:rsidRPr="00781112">
        <w:rPr>
          <w:color w:val="000000" w:themeColor="text1"/>
        </w:rPr>
        <w:br/>
        <w:t>June 9, 2021 Meeting</w:t>
      </w:r>
      <w:r w:rsidRPr="00781112">
        <w:rPr>
          <w:color w:val="000000" w:themeColor="text1"/>
        </w:rPr>
        <w:br/>
        <w:t>-Would love some one-pagers or slides that could be shared when we provide other updates and guidance to the groups we work with.</w:t>
      </w:r>
      <w:r w:rsidRPr="00781112">
        <w:rPr>
          <w:color w:val="000000" w:themeColor="text1"/>
        </w:rPr>
        <w:br/>
      </w:r>
      <w:r w:rsidRPr="00781112">
        <w:rPr>
          <w:color w:val="000000" w:themeColor="text1"/>
        </w:rPr>
        <w:br/>
        <w:t>Based on the stakeholder feedback, information was sent far enough in advance of the Advisory Council meetings to allow stakeholders sufficient time for reviewing materials and providing feedback. Advisory Council meetings were limited to two hours and scheduled one to two months in advance when possible. When breakout rooms were used, a DE SSIP staff member was assigned to each group to serve as facilitator and note taker. Requested one-pagers and other accompanying MTSS resources were developed and shared with Advisory Council members. They can be accessed at: https://www.doe.k12.de.us/domain/613. No further concerns were expressed related to evidence based practices or infrastructure improvement strategies.</w:t>
      </w:r>
      <w:r w:rsidRPr="00781112">
        <w:rPr>
          <w:color w:val="000000" w:themeColor="text1"/>
        </w:rPr>
        <w:br/>
      </w:r>
      <w:r w:rsidRPr="00781112">
        <w:rPr>
          <w:color w:val="000000" w:themeColor="text1"/>
        </w:rPr>
        <w:br/>
        <w:t>Feedback from the DE MTSS and DELI Professional Learning Participants</w:t>
      </w:r>
      <w:r w:rsidRPr="00781112">
        <w:rPr>
          <w:color w:val="000000" w:themeColor="text1"/>
        </w:rPr>
        <w:br/>
        <w:t xml:space="preserve">District and school personnel participating in DE MTSS professional learning activities were surveyed in March 2021 and DELI early literacy participants were surveyed in May 2021. </w:t>
      </w:r>
      <w:r w:rsidRPr="00781112">
        <w:rPr>
          <w:color w:val="000000" w:themeColor="text1"/>
        </w:rPr>
        <w:br/>
        <w:t xml:space="preserve">On the DE MTSS stakeholder survey, when asked what could be done better to improve the DE MTSS professional learning, the most frequent was response was that no changes were needed (n=7). Five respondents provided suggestions on how to improve MTSS implementation in districts and schools, while four others stated a need for additional resources and examples to support their MTSS implementation. Three respondents felt their district or school needed additional support on the use of data to inform their MTSS implementation. </w:t>
      </w:r>
      <w:r w:rsidRPr="00781112">
        <w:rPr>
          <w:color w:val="000000" w:themeColor="text1"/>
        </w:rPr>
        <w:br/>
        <w:t>On the DELI early literacy stakeholder survey, nine comments were received related to the improvement of the training and coaching provided. A sample of comments are listed below. Besides the comments below, five respondents listed additional training topics that would be helpful for them and four people thought a greater emphasis needed to be placed on Spanish speaking participants at a participating charter school. AIR, the professional learning provider, used a Spanish speaking coach with this school. Three people felt that more coaching was needed in participating classrooms.</w:t>
      </w:r>
      <w:r w:rsidRPr="00781112">
        <w:rPr>
          <w:color w:val="000000" w:themeColor="text1"/>
        </w:rPr>
        <w:br/>
        <w:t>•</w:t>
      </w:r>
      <w:r w:rsidRPr="00781112">
        <w:rPr>
          <w:color w:val="000000" w:themeColor="text1"/>
        </w:rPr>
        <w:tab/>
        <w:t xml:space="preserve">It would be great to have the opportunity to continue this year's focus of increasing our focus and goals for better phonics instruction. We could also use support in creating a plan in getting families involved in supporting their children's reading at home. As simple school wide goal of "drop everything and read time" might be a simple way of setting reachable goals for our families. Make all the actors who participate in the educational </w:t>
      </w:r>
      <w:r w:rsidRPr="00781112">
        <w:rPr>
          <w:color w:val="000000" w:themeColor="text1"/>
        </w:rPr>
        <w:lastRenderedPageBreak/>
        <w:t xml:space="preserve">process integrate into the objective of the teaching of the students. </w:t>
      </w:r>
      <w:r w:rsidRPr="00781112">
        <w:rPr>
          <w:color w:val="000000" w:themeColor="text1"/>
        </w:rPr>
        <w:br/>
        <w:t>• Practice quizzes; maybe 15 extra minutes in the workshop for more modeling and explanation of expectations in the group activities we participated in with other instructors in the breakout rooms.</w:t>
      </w:r>
      <w:r w:rsidRPr="00781112">
        <w:rPr>
          <w:color w:val="000000" w:themeColor="text1"/>
        </w:rPr>
        <w:br/>
        <w:t>•</w:t>
      </w:r>
      <w:r w:rsidRPr="00781112">
        <w:rPr>
          <w:color w:val="000000" w:themeColor="text1"/>
        </w:rPr>
        <w:tab/>
        <w:t xml:space="preserve">Help with virtual learning if it ever occurs again or continues into next year. </w:t>
      </w:r>
      <w:r w:rsidRPr="00781112">
        <w:rPr>
          <w:color w:val="000000" w:themeColor="text1"/>
        </w:rPr>
        <w:br/>
        <w:t>• It would be helpful to have more dynamic speakers.</w:t>
      </w:r>
      <w:r w:rsidRPr="00781112">
        <w:rPr>
          <w:color w:val="000000" w:themeColor="text1"/>
        </w:rPr>
        <w:br/>
        <w:t>• Making it longer, possibly...</w:t>
      </w:r>
      <w:r w:rsidRPr="00781112">
        <w:rPr>
          <w:color w:val="000000" w:themeColor="text1"/>
        </w:rPr>
        <w:br/>
        <w:t>•</w:t>
      </w:r>
      <w:r w:rsidRPr="00781112">
        <w:rPr>
          <w:color w:val="000000" w:themeColor="text1"/>
        </w:rPr>
        <w:tab/>
        <w:t xml:space="preserve">Earlier in the year. </w:t>
      </w:r>
      <w:r w:rsidRPr="00781112">
        <w:rPr>
          <w:color w:val="000000" w:themeColor="text1"/>
        </w:rPr>
        <w:br/>
        <w:t>• More engaging.</w:t>
      </w:r>
      <w:r w:rsidRPr="00781112">
        <w:rPr>
          <w:color w:val="000000" w:themeColor="text1"/>
        </w:rPr>
        <w:br/>
        <w:t xml:space="preserve">All of the survey results were reviewed with the DE SSIP Core and Leadership Teams. Training and coaching activities were modified, when deemed necessary, to address the stakeholder feedback.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Not applicable. All planned activities have already been discussed.</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Not applicable. All planned activities have already been discussed.</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Not applicable. The primary barriers related to the impact of the COVID-19 are the same as those reported in the 2021 SSIP Phase III report.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DDOE utilizes a third-party vendor to collect state assessment data.  The data is provided to the DDOE after which DDOE engages in a review process. DDOE ensures that this data is complete, accurate, reliable and valid for Indicator 17.</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7"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Mary Ann Mieczkowski</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Exceptional Children Resources, Delaware Department of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maryann.mieczkowski@doe.k12.de.us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302-735-4210</w:t>
      </w:r>
    </w:p>
    <w:bookmarkEnd w:id="87"/>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5:48:18 PM</w:t>
      </w:r>
    </w:p>
    <w:p w14:paraId="596B3C30" w14:textId="6689CEEC" w:rsidR="00755AF7" w:rsidRDefault="00755AF7" w:rsidP="00EE4B59">
      <w:pPr>
        <w:rPr>
          <w:rFonts w:cs="Arial"/>
          <w:color w:val="000000" w:themeColor="text1"/>
          <w:szCs w:val="16"/>
        </w:rPr>
      </w:pPr>
    </w:p>
    <w:p w14:paraId="62A2B2A1" w14:textId="77777777" w:rsidR="009A04DD" w:rsidRDefault="009A04DD">
      <w:pPr>
        <w:spacing w:before="0" w:after="200" w:line="276" w:lineRule="auto"/>
        <w:rPr>
          <w:rFonts w:eastAsiaTheme="majorEastAsia" w:cstheme="majorBidi"/>
          <w:b/>
          <w:bCs/>
          <w:color w:val="000000" w:themeColor="text1"/>
          <w:sz w:val="20"/>
          <w:szCs w:val="28"/>
        </w:rPr>
      </w:pPr>
      <w:r>
        <w:rPr>
          <w:color w:val="000000" w:themeColor="text1"/>
        </w:rPr>
        <w:br w:type="page"/>
      </w:r>
    </w:p>
    <w:p w14:paraId="198BDEDD" w14:textId="7AB3E69B" w:rsidR="00F511C6" w:rsidRDefault="00F511C6" w:rsidP="00F511C6">
      <w:pPr>
        <w:pStyle w:val="Heading1"/>
        <w:rPr>
          <w:color w:val="000000" w:themeColor="text1"/>
        </w:rPr>
      </w:pPr>
      <w:r>
        <w:rPr>
          <w:color w:val="000000" w:themeColor="text1"/>
        </w:rPr>
        <w:lastRenderedPageBreak/>
        <w:t>ED Attachments</w:t>
      </w:r>
    </w:p>
    <w:p w14:paraId="5F895988" w14:textId="77777777" w:rsidR="00F511C6" w:rsidRPr="00F511C6" w:rsidRDefault="00F511C6" w:rsidP="00F511C6"/>
    <w:p w14:paraId="4FD42B3F" w14:textId="3EDA3B08" w:rsidR="00F511C6" w:rsidRPr="00781112" w:rsidRDefault="00F511C6" w:rsidP="00EE4B59">
      <w:pPr>
        <w:rPr>
          <w:rFonts w:cs="Arial"/>
          <w:color w:val="000000" w:themeColor="text1"/>
          <w:szCs w:val="16"/>
        </w:rPr>
      </w:pPr>
      <w:r>
        <w:rPr>
          <w:rFonts w:cs="Arial"/>
          <w:color w:val="000000" w:themeColor="text1"/>
          <w:szCs w:val="16"/>
        </w:rPr>
        <w:object w:dxaOrig="1540" w:dyaOrig="997" w14:anchorId="6E81BC6E">
          <v:shape id="_x0000_i1026" type="#_x0000_t75" alt="DE-B-Dispute-Resolution-2020-21" style="width:76.4pt;height:49.45pt" o:ole="">
            <v:imagedata r:id="rId12" o:title=""/>
          </v:shape>
          <o:OLEObject Type="Embed" ProgID="Acrobat.Document.DC" ShapeID="_x0000_i1026" DrawAspect="Icon" ObjectID="_1726411676" r:id="rId13"/>
        </w:object>
      </w:r>
      <w:r w:rsidR="008A06C4">
        <w:rPr>
          <w:rFonts w:cs="Arial"/>
          <w:color w:val="000000" w:themeColor="text1"/>
          <w:szCs w:val="16"/>
        </w:rPr>
        <w:object w:dxaOrig="1540" w:dyaOrig="997" w14:anchorId="735AD109">
          <v:shape id="_x0000_i1027" type="#_x0000_t75" alt="de-resultsmatrix-2022b&#10;" style="width:77.3pt;height:49.45pt" o:ole="">
            <v:imagedata r:id="rId14" o:title=""/>
          </v:shape>
          <o:OLEObject Type="Embed" ProgID="Acrobat.Document.DC" ShapeID="_x0000_i1027" DrawAspect="Icon" ObjectID="_1726411677" r:id="rId15"/>
        </w:object>
      </w:r>
      <w:r w:rsidR="00EC49C3">
        <w:rPr>
          <w:rFonts w:cs="Arial"/>
          <w:color w:val="000000" w:themeColor="text1"/>
          <w:szCs w:val="16"/>
        </w:rPr>
        <w:object w:dxaOrig="1579" w:dyaOrig="1022" w14:anchorId="345AFB42">
          <v:shape id="_x0000_i1030" type="#_x0000_t75" alt="DE-2022DataRubricPartB&#10;" style="width:79.2pt;height:50.7pt" o:ole="">
            <v:imagedata r:id="rId16" o:title=""/>
          </v:shape>
          <o:OLEObject Type="Embed" ProgID="Excel.Sheet.12" ShapeID="_x0000_i1030" DrawAspect="Icon" ObjectID="_1726411678" r:id="rId17"/>
        </w:object>
      </w:r>
    </w:p>
    <w:sectPr w:rsidR="00F511C6"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8E73" w14:textId="77777777" w:rsidR="008F2C4C" w:rsidRDefault="008F2C4C" w:rsidP="000802F7">
      <w:pPr>
        <w:spacing w:before="0" w:after="0"/>
      </w:pPr>
      <w:r>
        <w:separator/>
      </w:r>
    </w:p>
  </w:endnote>
  <w:endnote w:type="continuationSeparator" w:id="0">
    <w:p w14:paraId="50202816" w14:textId="77777777" w:rsidR="008F2C4C" w:rsidRDefault="008F2C4C" w:rsidP="000802F7">
      <w:pPr>
        <w:spacing w:before="0" w:after="0"/>
      </w:pPr>
      <w:r>
        <w:continuationSeparator/>
      </w:r>
    </w:p>
  </w:endnote>
  <w:endnote w:type="continuationNotice" w:id="1">
    <w:p w14:paraId="55DC4434" w14:textId="77777777" w:rsidR="008F2C4C" w:rsidRDefault="008F2C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7632" w14:textId="77777777" w:rsidR="008F2C4C" w:rsidRDefault="008F2C4C" w:rsidP="000802F7">
      <w:pPr>
        <w:spacing w:before="0" w:after="0"/>
      </w:pPr>
      <w:r>
        <w:separator/>
      </w:r>
    </w:p>
  </w:footnote>
  <w:footnote w:type="continuationSeparator" w:id="0">
    <w:p w14:paraId="30F65BDF" w14:textId="77777777" w:rsidR="008F2C4C" w:rsidRDefault="008F2C4C" w:rsidP="000802F7">
      <w:pPr>
        <w:spacing w:before="0" w:after="0"/>
      </w:pPr>
      <w:r>
        <w:continuationSeparator/>
      </w:r>
    </w:p>
  </w:footnote>
  <w:footnote w:type="continuationNotice" w:id="1">
    <w:p w14:paraId="10AAE421" w14:textId="77777777" w:rsidR="008F2C4C" w:rsidRDefault="008F2C4C">
      <w:pPr>
        <w:spacing w:before="0" w:after="0"/>
      </w:pPr>
    </w:p>
  </w:footnote>
  <w:footnote w:id="2">
    <w:p w14:paraId="08F30FAA" w14:textId="16858DAB" w:rsidR="00F511C6" w:rsidRPr="00F511C6" w:rsidRDefault="00F511C6">
      <w:pPr>
        <w:pStyle w:val="FootnoteText"/>
        <w:rPr>
          <w:sz w:val="16"/>
          <w:szCs w:val="16"/>
        </w:rPr>
      </w:pPr>
      <w:r w:rsidRPr="00F511C6">
        <w:rPr>
          <w:rStyle w:val="FootnoteReference"/>
          <w:sz w:val="16"/>
          <w:szCs w:val="16"/>
        </w:rPr>
        <w:footnoteRef/>
      </w:r>
      <w:r w:rsidRPr="00F511C6">
        <w:rPr>
          <w:sz w:val="16"/>
          <w:szCs w:val="16"/>
        </w:rPr>
        <w:t xml:space="preserve"> Prior to the FFY 2020 submission, the State used a different data source to report data under this indicator.</w:t>
      </w:r>
    </w:p>
  </w:footnote>
  <w:footnote w:id="3">
    <w:p w14:paraId="5622303D" w14:textId="664F22A7" w:rsidR="002C5FB6" w:rsidRPr="002C5FB6" w:rsidRDefault="002C5FB6" w:rsidP="002C5FB6">
      <w:pPr>
        <w:spacing w:before="0" w:after="0"/>
        <w:rPr>
          <w:rFonts w:eastAsia="Times New Roman" w:cs="Arial"/>
          <w:color w:val="000000"/>
          <w:szCs w:val="16"/>
        </w:rPr>
      </w:pPr>
      <w:r>
        <w:rPr>
          <w:rStyle w:val="FootnoteReference"/>
        </w:rPr>
        <w:footnoteRef/>
      </w:r>
      <w:r>
        <w:t xml:space="preserve"> </w:t>
      </w:r>
      <w:r w:rsidRPr="002C5FB6">
        <w:rPr>
          <w:rFonts w:eastAsia="Times New Roman" w:cs="Arial"/>
          <w:color w:val="000000"/>
          <w:szCs w:val="16"/>
        </w:rPr>
        <w:t>Percentage blurred due to privacy protection</w:t>
      </w:r>
    </w:p>
  </w:footnote>
  <w:footnote w:id="4">
    <w:p w14:paraId="71A0F97F" w14:textId="77777777" w:rsidR="002C5FB6" w:rsidRPr="002C5FB6" w:rsidRDefault="002C5FB6" w:rsidP="002C5FB6">
      <w:pPr>
        <w:spacing w:before="0" w:after="0"/>
        <w:rPr>
          <w:rFonts w:eastAsia="Times New Roman" w:cs="Arial"/>
          <w:color w:val="000000"/>
          <w:szCs w:val="16"/>
        </w:rPr>
      </w:pPr>
      <w:r>
        <w:rPr>
          <w:rStyle w:val="FootnoteReference"/>
        </w:rPr>
        <w:footnoteRef/>
      </w:r>
      <w:r>
        <w:t xml:space="preserve"> </w:t>
      </w:r>
      <w:r w:rsidRPr="002C5FB6">
        <w:rPr>
          <w:rFonts w:eastAsia="Times New Roman" w:cs="Arial"/>
          <w:color w:val="000000"/>
          <w:szCs w:val="16"/>
        </w:rPr>
        <w:t>Percentage blurred due to privacy protection</w:t>
      </w:r>
    </w:p>
  </w:footnote>
  <w:footnote w:id="5">
    <w:p w14:paraId="3EF1742D" w14:textId="09A810F8" w:rsidR="00F511C6" w:rsidRPr="00F511C6" w:rsidRDefault="00F511C6">
      <w:pPr>
        <w:pStyle w:val="FootnoteText"/>
        <w:rPr>
          <w:sz w:val="16"/>
          <w:szCs w:val="16"/>
        </w:rPr>
      </w:pPr>
      <w:r w:rsidRPr="00F511C6">
        <w:rPr>
          <w:rStyle w:val="FootnoteReference"/>
          <w:sz w:val="16"/>
          <w:szCs w:val="16"/>
        </w:rPr>
        <w:footnoteRef/>
      </w:r>
      <w:r w:rsidRPr="00F511C6">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963342">
    <w:abstractNumId w:val="23"/>
  </w:num>
  <w:num w:numId="2" w16cid:durableId="368576227">
    <w:abstractNumId w:val="11"/>
  </w:num>
  <w:num w:numId="3" w16cid:durableId="1105080975">
    <w:abstractNumId w:val="21"/>
  </w:num>
  <w:num w:numId="4" w16cid:durableId="1868443786">
    <w:abstractNumId w:val="25"/>
  </w:num>
  <w:num w:numId="5" w16cid:durableId="593898847">
    <w:abstractNumId w:val="0"/>
  </w:num>
  <w:num w:numId="6" w16cid:durableId="991912712">
    <w:abstractNumId w:val="16"/>
  </w:num>
  <w:num w:numId="7" w16cid:durableId="1089696321">
    <w:abstractNumId w:val="8"/>
  </w:num>
  <w:num w:numId="8" w16cid:durableId="1705984411">
    <w:abstractNumId w:val="10"/>
  </w:num>
  <w:num w:numId="9" w16cid:durableId="522592995">
    <w:abstractNumId w:val="12"/>
  </w:num>
  <w:num w:numId="10" w16cid:durableId="258805260">
    <w:abstractNumId w:val="14"/>
  </w:num>
  <w:num w:numId="11" w16cid:durableId="1649746560">
    <w:abstractNumId w:val="18"/>
  </w:num>
  <w:num w:numId="12" w16cid:durableId="1395276174">
    <w:abstractNumId w:val="20"/>
  </w:num>
  <w:num w:numId="13" w16cid:durableId="274218121">
    <w:abstractNumId w:val="9"/>
  </w:num>
  <w:num w:numId="14" w16cid:durableId="1113550164">
    <w:abstractNumId w:val="15"/>
  </w:num>
  <w:num w:numId="15" w16cid:durableId="1070690182">
    <w:abstractNumId w:val="13"/>
  </w:num>
  <w:num w:numId="16" w16cid:durableId="234121448">
    <w:abstractNumId w:val="22"/>
  </w:num>
  <w:num w:numId="17" w16cid:durableId="2077585527">
    <w:abstractNumId w:val="2"/>
  </w:num>
  <w:num w:numId="18" w16cid:durableId="1168211601">
    <w:abstractNumId w:val="7"/>
  </w:num>
  <w:num w:numId="19" w16cid:durableId="1983459930">
    <w:abstractNumId w:val="1"/>
  </w:num>
  <w:num w:numId="20" w16cid:durableId="1828394545">
    <w:abstractNumId w:val="19"/>
  </w:num>
  <w:num w:numId="21" w16cid:durableId="960651895">
    <w:abstractNumId w:val="24"/>
  </w:num>
  <w:num w:numId="22" w16cid:durableId="798767831">
    <w:abstractNumId w:val="6"/>
  </w:num>
  <w:num w:numId="23" w16cid:durableId="848787751">
    <w:abstractNumId w:val="3"/>
  </w:num>
  <w:num w:numId="24" w16cid:durableId="273246543">
    <w:abstractNumId w:val="4"/>
  </w:num>
  <w:num w:numId="25" w16cid:durableId="393698238">
    <w:abstractNumId w:val="5"/>
  </w:num>
  <w:num w:numId="26" w16cid:durableId="165013159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566"/>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5FB6"/>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277A3"/>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1AB5"/>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6C4"/>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2C4C"/>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04DD"/>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6387"/>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9C3"/>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1C6"/>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51995377">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09C172C-B300-47D4-ACEE-E63A13DD5925}"/>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72850</Words>
  <Characters>415248</Characters>
  <Application>Microsoft Office Word</Application>
  <DocSecurity>0</DocSecurity>
  <Lines>3460</Lines>
  <Paragraphs>974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2022-08-05T21:11:00Z</dcterms:created>
  <dcterms:modified xsi:type="dcterms:W3CDTF">2022-10-04T22:01:00Z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f3fd75b5-c223-4830-be5d-ac49bb241136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