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District of Columbia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proofErr w:type="gramStart"/>
      <w:r w:rsidRPr="00ED172B">
        <w:rPr>
          <w:color w:val="000000" w:themeColor="text1"/>
        </w:rPr>
        <w:t>The District of Columbia Office of the State Superintendent of Education (OSSE),</w:t>
      </w:r>
      <w:proofErr w:type="gramEnd"/>
      <w:r w:rsidRPr="00ED172B">
        <w:rPr>
          <w:color w:val="000000" w:themeColor="text1"/>
        </w:rPr>
        <w:t xml:space="preserve"> is the lead agency for administering Part C of the Individuals with Disabilities Education Act (IDEA) of 2004, and its implementation. In the District of Columbia, Strong Start is the only </w:t>
      </w:r>
      <w:proofErr w:type="gramStart"/>
      <w:r w:rsidRPr="00ED172B">
        <w:rPr>
          <w:color w:val="000000" w:themeColor="text1"/>
        </w:rPr>
        <w:t>program</w:t>
      </w:r>
      <w:proofErr w:type="gramEnd"/>
      <w:r w:rsidRPr="00ED172B">
        <w:rPr>
          <w:color w:val="000000" w:themeColor="text1"/>
        </w:rPr>
        <w:t xml:space="preserve"> and it serves all the children in Part C. </w:t>
      </w:r>
      <w:r w:rsidRPr="00ED172B">
        <w:rPr>
          <w:color w:val="000000" w:themeColor="text1"/>
        </w:rPr>
        <w:br/>
      </w:r>
      <w:r w:rsidRPr="00ED172B">
        <w:rPr>
          <w:color w:val="000000" w:themeColor="text1"/>
        </w:rPr>
        <w:br/>
        <w:t xml:space="preserve">As the lead agency for IDEA, Part C, OSSE sets high expectations, provides resources and support, and exercises accountability to ensure a statewide, comprehensive, coordinated, multidisciplinary, interagency system that provides high-quality early intervention services to infants and toddlers with developmental delays and disabilities and their families. As the single point of entry for infants and toddlers with suspected developmental delays and disabilities from birth to the third birthday, Strong Start identifies and evaluates infants and toddlers with suspected developmental delays and provides high-quality, </w:t>
      </w:r>
      <w:proofErr w:type="gramStart"/>
      <w:r w:rsidRPr="00ED172B">
        <w:rPr>
          <w:color w:val="000000" w:themeColor="text1"/>
        </w:rPr>
        <w:t>age appropriate</w:t>
      </w:r>
      <w:proofErr w:type="gramEnd"/>
      <w:r w:rsidRPr="00ED172B">
        <w:rPr>
          <w:color w:val="000000" w:themeColor="text1"/>
        </w:rPr>
        <w:t xml:space="preserve"> early intervention services for eligible children and their families. Strong Start is committed to ensuring that all children who need early intervention services </w:t>
      </w:r>
      <w:proofErr w:type="gramStart"/>
      <w:r w:rsidRPr="00ED172B">
        <w:rPr>
          <w:color w:val="000000" w:themeColor="text1"/>
        </w:rPr>
        <w:t>are able to</w:t>
      </w:r>
      <w:proofErr w:type="gramEnd"/>
      <w:r w:rsidRPr="00ED172B">
        <w:rPr>
          <w:color w:val="000000" w:themeColor="text1"/>
        </w:rPr>
        <w:t xml:space="preserve"> access them. Strong Start Child Find unit conducts outreach to build awareness with referring sources, administers developmental screenings, provides targeted communications, and has well-developed partnerships that ensure all families are aware of Strong Start services and supports. </w:t>
      </w:r>
      <w:r w:rsidRPr="00ED172B">
        <w:rPr>
          <w:color w:val="000000" w:themeColor="text1"/>
        </w:rPr>
        <w:br/>
      </w:r>
      <w:r w:rsidRPr="00ED172B">
        <w:rPr>
          <w:color w:val="000000" w:themeColor="text1"/>
        </w:rPr>
        <w:br/>
        <w:t>The State Performance Plan/Annual Performance Report (SPP/APR) for Federal Fiscal Year 2021 (FFY 2021) details the work of OSSE towards improving outcomes of infants and toddlers with developmental delays and disabilities and their families and covers the period July 1, 2021 - June 30, 2022. The key accomplishments during this reporting period include:</w:t>
      </w:r>
      <w:r w:rsidRPr="00ED172B">
        <w:rPr>
          <w:color w:val="000000" w:themeColor="text1"/>
        </w:rPr>
        <w:br/>
        <w:t>1. Development and implementation of fidelity assessment guidelines, tools and requirements</w:t>
      </w:r>
      <w:r w:rsidRPr="00ED172B">
        <w:rPr>
          <w:color w:val="000000" w:themeColor="text1"/>
        </w:rPr>
        <w:br/>
        <w:t>2. Conducted Ongoing Monthly Teaming Meeting Fidelity Observations</w:t>
      </w:r>
      <w:r w:rsidRPr="00ED172B">
        <w:rPr>
          <w:color w:val="000000" w:themeColor="text1"/>
        </w:rPr>
        <w:br/>
        <w:t>3. Implemented Ongoing Joint Visit and Service Increase Request Clinical Approval Monitoring</w:t>
      </w:r>
      <w:r w:rsidRPr="00ED172B">
        <w:rPr>
          <w:color w:val="000000" w:themeColor="text1"/>
        </w:rPr>
        <w:br/>
        <w:t>4. Conducted monthly topic specific Reflection Groups</w:t>
      </w:r>
      <w:r w:rsidRPr="00ED172B">
        <w:rPr>
          <w:color w:val="000000" w:themeColor="text1"/>
        </w:rPr>
        <w:br/>
        <w:t>5. Completed the design of the New Special Education System (SEDS) that will be launch in FFY22 and will integrate Part C and Part B data</w:t>
      </w:r>
      <w:r w:rsidRPr="00ED172B">
        <w:rPr>
          <w:color w:val="000000" w:themeColor="text1"/>
        </w:rPr>
        <w:br/>
        <w:t>6. Implementation by Strong Start program of the contract performance evaluation tool to monitor the Human Care Agreements established with the vendor agencies that deliver Part C services</w:t>
      </w:r>
      <w:r w:rsidRPr="00ED172B">
        <w:rPr>
          <w:color w:val="000000" w:themeColor="text1"/>
        </w:rPr>
        <w:br/>
        <w:t xml:space="preserve">7. Strong Start clinical team completed the Infant Mental Health (IMH) certificate from </w:t>
      </w:r>
      <w:proofErr w:type="gramStart"/>
      <w:r w:rsidRPr="00ED172B">
        <w:rPr>
          <w:color w:val="000000" w:themeColor="text1"/>
        </w:rPr>
        <w:t>Georgetown</w:t>
      </w:r>
      <w:proofErr w:type="gramEnd"/>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In the District of Columbia, OSSE is the lead agency for purposes of the IDEA Part C. IDEA requires that the lead agency have a system of general supervision that has multiple mechanisms to support and oversee the DC EIP system. The lead agency is responsible for administering the grant and for monitoring the implementation of IDEA Part C. As such, the lead agency conducts monitoring activities and makes annual determinations on compliance about the performance of Strong Start, the local program, to ensure compliance with IDEA Part C. The lead agency also publicly reports annually on the performance of the lead agency. The primary focus of the lead agency’s monitoring activities is to improve outcomes for all infants and toddlers with developmental delays and disabilities and their families while also ensuring that all early intervention programs meet the requirements of IDEA Part C. OSSE’s monitoring approach is </w:t>
      </w:r>
      <w:proofErr w:type="gramStart"/>
      <w:r w:rsidRPr="00ED172B">
        <w:rPr>
          <w:color w:val="000000" w:themeColor="text1"/>
          <w:szCs w:val="16"/>
        </w:rPr>
        <w:t>outcome-oriented</w:t>
      </w:r>
      <w:proofErr w:type="gramEnd"/>
      <w:r w:rsidRPr="00ED172B">
        <w:rPr>
          <w:color w:val="000000" w:themeColor="text1"/>
          <w:szCs w:val="16"/>
        </w:rPr>
        <w:t xml:space="preserve">. To achieve the desired performance results, OSSE works collaboratively with Strong Start administration and early intervention contracted vendor </w:t>
      </w:r>
      <w:proofErr w:type="gramStart"/>
      <w:r w:rsidRPr="00ED172B">
        <w:rPr>
          <w:color w:val="000000" w:themeColor="text1"/>
          <w:szCs w:val="16"/>
        </w:rPr>
        <w:t>agencies, and</w:t>
      </w:r>
      <w:proofErr w:type="gramEnd"/>
      <w:r w:rsidRPr="00ED172B">
        <w:rPr>
          <w:color w:val="000000" w:themeColor="text1"/>
          <w:szCs w:val="16"/>
        </w:rPr>
        <w:t xml:space="preserve"> engages in shared accountability practices that maximize success for all infants and toddlers with developmental delays and disabilities and their families. These accountability practices include database reviews, record reviews, dispute resolution systems (i.e., due process hearings, complaints and mediation), annual review of service provider contract provisions and audit reviews of vendor invoices to ensure services are provided in a manner consistent with Individualized Family Service Plans. OSSE’s monitoring system identifies noncompliance, with the </w:t>
      </w:r>
      <w:proofErr w:type="gramStart"/>
      <w:r w:rsidRPr="00ED172B">
        <w:rPr>
          <w:color w:val="000000" w:themeColor="text1"/>
          <w:szCs w:val="16"/>
        </w:rPr>
        <w:t>ultimate goal</w:t>
      </w:r>
      <w:proofErr w:type="gramEnd"/>
      <w:r w:rsidRPr="00ED172B">
        <w:rPr>
          <w:color w:val="000000" w:themeColor="text1"/>
          <w:szCs w:val="16"/>
        </w:rPr>
        <w:t xml:space="preserve"> of improving outcomes for all infants and toddlers with developmental delays and disabilities and their families. While monitoring activities must, by federal law, examine compliance issues, OSSE has deliberately structured its monitoring approach to address the broader purposes of IDEA, which include delivering services in the natural learning environment, parent support and teamwork. This is emphasized through a review of and response to data in these areas. Strong Start operates a dedicated service coordinator unit model in which all service coordinators are full-time District of Columbia employees, allowing the program to provide families with one service coordinator for the duration of their time in the program. Additionally, OSSE has structured the </w:t>
      </w:r>
      <w:proofErr w:type="gramStart"/>
      <w:r w:rsidRPr="00ED172B">
        <w:rPr>
          <w:color w:val="000000" w:themeColor="text1"/>
          <w:szCs w:val="16"/>
        </w:rPr>
        <w:t>District</w:t>
      </w:r>
      <w:proofErr w:type="gramEnd"/>
      <w:r w:rsidRPr="00ED172B">
        <w:rPr>
          <w:color w:val="000000" w:themeColor="text1"/>
          <w:szCs w:val="16"/>
        </w:rPr>
        <w:t xml:space="preserve"> in three regions and assigned a service coordination supervisor and a team of service coordinators (SC) to each region. This regional approach allows the service coordinators to focus on one region of the city and become more familiar with the community and its </w:t>
      </w:r>
      <w:proofErr w:type="gramStart"/>
      <w:r w:rsidRPr="00ED172B">
        <w:rPr>
          <w:color w:val="000000" w:themeColor="text1"/>
          <w:szCs w:val="16"/>
        </w:rPr>
        <w:t>resources, and</w:t>
      </w:r>
      <w:proofErr w:type="gramEnd"/>
      <w:r w:rsidRPr="00ED172B">
        <w:rPr>
          <w:color w:val="000000" w:themeColor="text1"/>
          <w:szCs w:val="16"/>
        </w:rPr>
        <w:t xml:space="preserve"> increases community engagement and partnerships with key organizations and agencies. Service coordinators in all eight wards provide targeted and consistent support to families from the time they are referred to Strong Start until they exit the program.</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OSSE utilizes technical assistance (TA) centers funded by the Office of Special Education Programs (OSEP). The Early Childhood Technical Assistance (ECTA) center assisted OSSE in reviewing and revising general supervision, and developing the SPP/APR. The Center for IDEA Early Childhood Data Systems (</w:t>
      </w:r>
      <w:proofErr w:type="spellStart"/>
      <w:r w:rsidRPr="00ED172B">
        <w:rPr>
          <w:color w:val="000000" w:themeColor="text1"/>
          <w:szCs w:val="16"/>
        </w:rPr>
        <w:t>DaSy</w:t>
      </w:r>
      <w:proofErr w:type="spellEnd"/>
      <w:r w:rsidRPr="00ED172B">
        <w:rPr>
          <w:color w:val="000000" w:themeColor="text1"/>
          <w:szCs w:val="16"/>
        </w:rPr>
        <w:t xml:space="preserve">) continues to provide guidance on the development of the Part C data system, the review of the data for development of the annual SPP/APR and the Revised Theory of Action and evaluation activities of the SSIP. </w:t>
      </w:r>
      <w:proofErr w:type="gramStart"/>
      <w:r w:rsidRPr="00ED172B">
        <w:rPr>
          <w:color w:val="000000" w:themeColor="text1"/>
          <w:szCs w:val="16"/>
        </w:rPr>
        <w:t>OSSE  will</w:t>
      </w:r>
      <w:proofErr w:type="gramEnd"/>
      <w:r w:rsidRPr="00ED172B">
        <w:rPr>
          <w:color w:val="000000" w:themeColor="text1"/>
          <w:szCs w:val="16"/>
        </w:rPr>
        <w:t xml:space="preserve"> continue to access the TA centers in the upcoming fiscal year as we continue to implement the SSIP. </w:t>
      </w:r>
      <w:r w:rsidRPr="00ED172B">
        <w:rPr>
          <w:color w:val="000000" w:themeColor="text1"/>
          <w:szCs w:val="16"/>
        </w:rPr>
        <w:br/>
        <w:t xml:space="preserve">A key feature of OSSE’s system of general supervision is the direct linkage between monitoring activities, technical assistance and professional development. OSSE also conducts targeted trainings to address gaps and additional needs for providers, service coordinators and intake specialists. OSSE requires all evaluation, direct service and service coordination personnel to complete a series of training modules on working with infants and toddlers with developmental delays and disabilities and their families before they are allowed to work in Strong Start. The training includes an overview of IDEA and its related requirements. Trainings are conducted on an interdisciplinary basis. In addition, targeted technical assistance is provided to evaluation and direct service providers, primary referral sources, paraprofessionals and service coordinators. OSSE ensures that the training provided helps providers improve understanding of the basic components of early intervention services available in the </w:t>
      </w:r>
      <w:proofErr w:type="gramStart"/>
      <w:r w:rsidRPr="00ED172B">
        <w:rPr>
          <w:color w:val="000000" w:themeColor="text1"/>
          <w:szCs w:val="16"/>
        </w:rPr>
        <w:t>District</w:t>
      </w:r>
      <w:proofErr w:type="gramEnd"/>
      <w:r w:rsidRPr="00ED172B">
        <w:rPr>
          <w:color w:val="000000" w:themeColor="text1"/>
          <w:szCs w:val="16"/>
        </w:rPr>
        <w:t xml:space="preserve"> and supports providers to meet the </w:t>
      </w:r>
      <w:r w:rsidRPr="00ED172B">
        <w:rPr>
          <w:color w:val="000000" w:themeColor="text1"/>
          <w:szCs w:val="16"/>
        </w:rPr>
        <w:lastRenderedPageBreak/>
        <w:t xml:space="preserve">interrelated social/emotional, health, developmental and educational needs of eligible children under IDEA, Part C and assist families in enhancing the development of their children and fully participating in the development and implementation of IFSPs. All service provider personnel must complete the series of online training modules and an in-person Strong Start foundation training on early intervention practices prior to receiving a referral for service. Strong Start also conducts monthly training sessions that are mandatory for all service coordination, evaluation and direct services providers. Technical assistance is required for vendors or providers that the system identifies as demonstrating persistent noncompliance in an identified area. Any provider needing assistance can request an individualized onsite or field training to ensure that appropriate procedures or evaluation/assessment protocols are being followed. </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OSSE supports and complies with the federal law and regulations that require early intervention services to be family centered, community-based, and provided in the natural environment, to the maximum extent appropriate.</w:t>
      </w:r>
      <w:r w:rsidRPr="00ED172B">
        <w:rPr>
          <w:color w:val="000000" w:themeColor="text1"/>
          <w:szCs w:val="16"/>
        </w:rPr>
        <w:br/>
        <w:t>Since 2017, DC EIP adopted the Natural Learning Environment Practices (NLEP) framework as its evidence-based approach to early intervention service delivery. In July of 2021, OSSE fully implemented all components including the coaching interaction style, interest-based learning, family routines, and the primary service provider and teaming approach.</w:t>
      </w:r>
      <w:r w:rsidRPr="00ED172B">
        <w:rPr>
          <w:color w:val="000000" w:themeColor="text1"/>
          <w:szCs w:val="16"/>
        </w:rPr>
        <w:br/>
        <w:t xml:space="preserve">Natural environments are more than places. The critical component of early intervention practice is to embed services and supports into naturally occurring learning opportunities. Natural environments are settings where the child, family, and care providers participate in everyday routines and activities that are important to them and serve as important learning opportunities. Using a coaching interaction style, early intervention providers support families to promote functional participation in these activities. Interventions within the context of a naturally occurring learning activity create opportunities for children to learn and practice skills that promote participation, build relationships and get their needs and wants met. In the primary service provider and teaming approach families are matched with a lead early interventionist who serves as the primary provider on the child’s team. A child’s team will include interventionists from all disciplines who can support the family and the primary provider in addressing their child’s specific developmental needs. This approach, as part of the evidence-based natural learning environment practices, will continue to improve outcomes for children with developmental delays or disabilities and their families. </w:t>
      </w:r>
      <w:r w:rsidRPr="00ED172B">
        <w:rPr>
          <w:color w:val="000000" w:themeColor="text1"/>
          <w:szCs w:val="16"/>
        </w:rPr>
        <w:br/>
        <w:t>In FFY 21, OSSE focused on developing the framework in which fidelity will be assessed on the coaching and teaming approach. The guidelines, requirements and tools to evaluate fidelity were developed and the following plan established to be able to evaluate the fidelity in which these concepts are implemented. The timeline is presented below:</w:t>
      </w:r>
      <w:r w:rsidRPr="00ED172B">
        <w:rPr>
          <w:color w:val="000000" w:themeColor="text1"/>
          <w:szCs w:val="16"/>
        </w:rPr>
        <w:br/>
      </w:r>
      <w:r w:rsidRPr="00ED172B">
        <w:rPr>
          <w:color w:val="000000" w:themeColor="text1"/>
          <w:szCs w:val="16"/>
        </w:rPr>
        <w:br/>
        <w:t>Fiscal year 2022 (FY22) (April 1 – Sept. 30, 2022)</w:t>
      </w:r>
      <w:r w:rsidRPr="00ED172B">
        <w:rPr>
          <w:color w:val="000000" w:themeColor="text1"/>
          <w:szCs w:val="16"/>
        </w:rPr>
        <w:br/>
        <w:t>1. Early interventionists complete the Texas ECI Coaching Families modules and upload the practice fidelity observation form and the certificate to the Strong Start Child and Family Data System (SSCFDS)</w:t>
      </w:r>
      <w:r w:rsidRPr="00ED172B">
        <w:rPr>
          <w:color w:val="000000" w:themeColor="text1"/>
          <w:szCs w:val="16"/>
        </w:rPr>
        <w:br/>
        <w:t xml:space="preserve">2. Early interventionists complete one self-assessment using the Natural Learning Environment Practices (NLEP) Coaching Fidelity Self-Assessment </w:t>
      </w:r>
      <w:r w:rsidRPr="00ED172B">
        <w:rPr>
          <w:color w:val="000000" w:themeColor="text1"/>
          <w:szCs w:val="16"/>
        </w:rPr>
        <w:br/>
      </w:r>
      <w:r w:rsidRPr="00ED172B">
        <w:rPr>
          <w:color w:val="000000" w:themeColor="text1"/>
          <w:szCs w:val="16"/>
        </w:rPr>
        <w:br/>
        <w:t>FY23 (Oct. 1, 2022 – Sept. 30, 2023)</w:t>
      </w:r>
      <w:r w:rsidRPr="00ED172B">
        <w:rPr>
          <w:color w:val="000000" w:themeColor="text1"/>
          <w:szCs w:val="16"/>
        </w:rPr>
        <w:br/>
        <w:t xml:space="preserve">1. Early interventionists complete one self-assessment using the NLEP Coaching Fidelity Self-Assessment </w:t>
      </w:r>
      <w:r w:rsidRPr="00ED172B">
        <w:rPr>
          <w:color w:val="000000" w:themeColor="text1"/>
          <w:szCs w:val="16"/>
        </w:rPr>
        <w:br/>
        <w:t>2. Early interventionists complete one Coaching Fidelity Observation with an approved fidelity observer from their agency</w:t>
      </w:r>
      <w:r w:rsidRPr="00ED172B">
        <w:rPr>
          <w:color w:val="000000" w:themeColor="text1"/>
          <w:szCs w:val="16"/>
        </w:rPr>
        <w:br/>
        <w:t>3. Vendor agencies complete one Teaming Fidelity Observation with an approved Fidelity Observer from Strong Start</w:t>
      </w:r>
      <w:r w:rsidRPr="00ED172B">
        <w:rPr>
          <w:color w:val="000000" w:themeColor="text1"/>
          <w:szCs w:val="16"/>
        </w:rPr>
        <w:br/>
      </w:r>
      <w:r w:rsidRPr="00ED172B">
        <w:rPr>
          <w:color w:val="000000" w:themeColor="text1"/>
          <w:szCs w:val="16"/>
        </w:rPr>
        <w:br/>
        <w:t>After Oct. 1, 2023</w:t>
      </w:r>
      <w:r w:rsidRPr="00ED172B">
        <w:rPr>
          <w:color w:val="000000" w:themeColor="text1"/>
          <w:szCs w:val="16"/>
        </w:rPr>
        <w:br/>
        <w:t xml:space="preserve">1. Early interventionists complete one self-assessment using the NLEP Coaching Fidelity Self-Assessment </w:t>
      </w:r>
      <w:r w:rsidRPr="00ED172B">
        <w:rPr>
          <w:color w:val="000000" w:themeColor="text1"/>
          <w:szCs w:val="16"/>
        </w:rPr>
        <w:br/>
        <w:t>2. Early interventionists complete two Coaching Fidelity Observations with an approved fidelity observer from their agency</w:t>
      </w:r>
      <w:r w:rsidRPr="00ED172B">
        <w:rPr>
          <w:color w:val="000000" w:themeColor="text1"/>
          <w:szCs w:val="16"/>
        </w:rPr>
        <w:br/>
        <w:t>3. Vendor agencies complete two Teaming Fidelity Observations with an approved Fidelity Observer from Strong Start</w:t>
      </w:r>
      <w:r w:rsidRPr="00ED172B">
        <w:rPr>
          <w:color w:val="000000" w:themeColor="text1"/>
          <w:szCs w:val="16"/>
        </w:rPr>
        <w:br/>
      </w:r>
      <w:r w:rsidRPr="00ED172B">
        <w:rPr>
          <w:color w:val="000000" w:themeColor="text1"/>
          <w:szCs w:val="16"/>
        </w:rPr>
        <w:br/>
        <w:t xml:space="preserve">The OSSE Comprehensive System of Professional Development (CSPD) Leadership Team consists of the Part C State Director, the Strong Start Program Director, the Clinical Manager and the Child Find and Playgroup Early Intervention Specialist. This year the group focused on developing new provider fidelity requirements that include the completion of the Texas Coaching Modules, an updated Foundations Training, Assessment, Evaluation and Programming System (AEPS) and the AEPS Interrater Reliability (IRR) certificate. OSSE has also hosted online training series for early childhood professionals to learn inclusive practices, made recommendations related to the personnel development information system (PDIS) for all early childhood educators in the </w:t>
      </w:r>
      <w:proofErr w:type="gramStart"/>
      <w:r w:rsidRPr="00ED172B">
        <w:rPr>
          <w:color w:val="000000" w:themeColor="text1"/>
          <w:szCs w:val="16"/>
        </w:rPr>
        <w:t>District</w:t>
      </w:r>
      <w:proofErr w:type="gramEnd"/>
      <w:r w:rsidRPr="00ED172B">
        <w:rPr>
          <w:color w:val="000000" w:themeColor="text1"/>
          <w:szCs w:val="16"/>
        </w:rPr>
        <w:t xml:space="preserve"> and conducted monthly meetings for early interventionists that include in-service training, case discussions and reflection workgroups based on the needs assessment of the focus groups. The CSPD team is also working with Gallaudet University to provide training curricula for early interventionists and service coordinators on working with children with hearing impairment.</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Targets were set in Jan. of 2022 and all stakeholder input was described in FFY20 APR. After presenting and discussing the data for the FFY21 during the meeting in Jan. 2023, the ICC made no recommendations on modifying the targets at this time.  The main mechanisms used to solicit input were via ICC and SECDCC meetings, monthly Strong Start contracted agencies, quarterly meetings with Medicaid agency and guidelines developed. </w:t>
      </w:r>
      <w:r w:rsidRPr="00ED172B">
        <w:rPr>
          <w:color w:val="000000" w:themeColor="text1"/>
          <w:szCs w:val="16"/>
        </w:rPr>
        <w:br/>
      </w:r>
      <w:r w:rsidRPr="00ED172B">
        <w:rPr>
          <w:color w:val="000000" w:themeColor="text1"/>
          <w:szCs w:val="16"/>
        </w:rPr>
        <w:br/>
        <w:t xml:space="preserve">OSSE ensures that stakeholders and the public are constantly engaged in Strong Start activities through regular meetings of the Interagency Coordinating Council (ICC), the State Early Childhood Development Coordinating Council (SECDCC) monthly meetings with providers and partner agencies and regular communications to stakeholders. These opportunities create continuous feedback loops that allow for continuous improvement with stakeholder input. During provider meetings procedural and operational changes are discussed and agreed upon. Documentation and any data system questions are addressed and suggested improvements are offered. During FFY 21, OSSE met regularly with the ICC and DC EIP to discuss ongoing performance. </w:t>
      </w:r>
      <w:r w:rsidRPr="00ED172B">
        <w:rPr>
          <w:color w:val="000000" w:themeColor="text1"/>
          <w:szCs w:val="16"/>
        </w:rPr>
        <w:br/>
      </w:r>
      <w:r w:rsidRPr="00ED172B">
        <w:rPr>
          <w:color w:val="000000" w:themeColor="text1"/>
          <w:szCs w:val="16"/>
        </w:rPr>
        <w:br/>
        <w:t xml:space="preserve">At the ICC meeting in January 2023, the members reviewed results from FFY21 (7/1/21-6/30/22) for each indicator, asked questions and provided feedback included in this Annual Performance Report (APR). National technical assistance (TA) centers staff, including </w:t>
      </w:r>
      <w:proofErr w:type="spellStart"/>
      <w:r w:rsidRPr="00ED172B">
        <w:rPr>
          <w:color w:val="000000" w:themeColor="text1"/>
          <w:szCs w:val="16"/>
        </w:rPr>
        <w:t>DaSy</w:t>
      </w:r>
      <w:proofErr w:type="spellEnd"/>
      <w:r w:rsidRPr="00ED172B">
        <w:rPr>
          <w:color w:val="000000" w:themeColor="text1"/>
          <w:szCs w:val="16"/>
        </w:rPr>
        <w:t xml:space="preserve"> and the ECTA Center, reviewed and provided helpful guidance in the development of this APR. The APR was also sent directly to ICC chairperson who reviewed the file in detail, asked questions, and suggested edits. Leadership from OSSE also reviewed the APR and made suggestions. The ICC chairperson approved the final edits so that this Annual Performance Report (APR) fulfills the State Interagency Coordinating Council's obligations to report to the U.S. Department of Education for FFY21. New targets for the results indicators were developed in FFY 2020 for FFY21-25 by the different workgroups with participants from various stakeholders. The targets were reviewed and approved by the ICC and subsequently submitted and approved by OSEP. No changes are being recommended at this time by the ICC.</w:t>
      </w:r>
      <w:r w:rsidRPr="00ED172B">
        <w:rPr>
          <w:color w:val="000000" w:themeColor="text1"/>
          <w:szCs w:val="16"/>
        </w:rPr>
        <w:br/>
      </w:r>
      <w:r w:rsidRPr="00ED172B">
        <w:rPr>
          <w:color w:val="000000" w:themeColor="text1"/>
          <w:szCs w:val="16"/>
        </w:rPr>
        <w:br/>
        <w:t xml:space="preserve">Throughout the FFY21, OSSE and Strong Start has met with the ICC quarterly, the contracted vendor agencies monthly, the Strong Start team quarterly, the SECDCC quarterly, the Department of Health Care Finance monthly and the Managed Care Organizations (MCO) quarterly to review and solicit </w:t>
      </w:r>
      <w:r w:rsidRPr="00ED172B">
        <w:rPr>
          <w:color w:val="000000" w:themeColor="text1"/>
          <w:szCs w:val="16"/>
        </w:rPr>
        <w:lastRenderedPageBreak/>
        <w:t xml:space="preserve">feedback on the performance of the program, the Theory of Action, accomplishments, and the Evaluation and Activities Plan for Part C in the District of Columbia. </w:t>
      </w:r>
      <w:r w:rsidRPr="00ED172B">
        <w:rPr>
          <w:color w:val="000000" w:themeColor="text1"/>
          <w:szCs w:val="16"/>
        </w:rPr>
        <w:br/>
      </w:r>
      <w:r w:rsidRPr="00ED172B">
        <w:rPr>
          <w:color w:val="000000" w:themeColor="text1"/>
          <w:szCs w:val="16"/>
        </w:rPr>
        <w:br/>
        <w:t xml:space="preserve">The fidelity guidelines and requirements that are Part of the SSIP were developed in February of 2022 and presented to the vendor agencies in March for their review and feedback. The final version was released in April of 2022. </w:t>
      </w:r>
      <w:r w:rsidRPr="00ED172B">
        <w:rPr>
          <w:color w:val="000000" w:themeColor="text1"/>
          <w:szCs w:val="16"/>
        </w:rPr>
        <w:br/>
      </w:r>
      <w:r w:rsidRPr="00ED172B">
        <w:rPr>
          <w:color w:val="000000" w:themeColor="text1"/>
          <w:szCs w:val="16"/>
        </w:rPr>
        <w:br/>
        <w:t xml:space="preserve">OSSE invited stakeholders who use the Part C data system to participate in two sessions to obtain feedback on the new data system. Participants included a group of managers at the vendor agencies, the transition personnel at Early Stages (the program from DC Public Schools that identifies and address developmental delays and disabilities in children over 3 years old), and a group of case managers from the </w:t>
      </w:r>
      <w:proofErr w:type="gramStart"/>
      <w:r w:rsidRPr="00ED172B">
        <w:rPr>
          <w:color w:val="000000" w:themeColor="text1"/>
          <w:szCs w:val="16"/>
        </w:rPr>
        <w:t>MCOs .</w:t>
      </w:r>
      <w:proofErr w:type="gramEnd"/>
      <w:r w:rsidRPr="00ED172B">
        <w:rPr>
          <w:color w:val="000000" w:themeColor="text1"/>
          <w:szCs w:val="16"/>
        </w:rPr>
        <w:t xml:space="preserve"> Their input was valuable to understand different improvements needed to incorporate in the new Special Education System (SEDS) being developed.</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3</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ICC parent members were involved in the workgroups and the ICC meetings to review and recommend targets, develop improvement strategies and evaluate progress. The ICC has been working on filling 3 open vacancies that have been open since Oct. 2022. OSSE launched a quarterly newsletter for Strong Start families in Dec. 2022 as a mechanism to keep parents informed of any events happening in the </w:t>
      </w:r>
      <w:proofErr w:type="gramStart"/>
      <w:r w:rsidRPr="00ED172B">
        <w:rPr>
          <w:color w:val="000000" w:themeColor="text1"/>
          <w:szCs w:val="16"/>
        </w:rPr>
        <w:t>District</w:t>
      </w:r>
      <w:proofErr w:type="gramEnd"/>
      <w:r w:rsidRPr="00ED172B">
        <w:rPr>
          <w:color w:val="000000" w:themeColor="text1"/>
          <w:szCs w:val="16"/>
        </w:rPr>
        <w:t xml:space="preserve"> and to make them aware of the schedule of the ICC meetings and that they are all invited to join. </w:t>
      </w:r>
      <w:r w:rsidRPr="00ED172B">
        <w:rPr>
          <w:color w:val="000000" w:themeColor="text1"/>
          <w:szCs w:val="16"/>
        </w:rPr>
        <w:br/>
      </w:r>
      <w:r w:rsidRPr="00ED172B">
        <w:rPr>
          <w:color w:val="000000" w:themeColor="text1"/>
          <w:szCs w:val="16"/>
        </w:rPr>
        <w:br/>
        <w:t>OSSE acknowledges the difficulties engaging and recruiting parents and for this reason and as part of FFY22 plan, OSSE is increasing its efforts by reaching out via email to parents, working more closely with DC's parent center Advocates for Justice in Education to increase parent engagement activities to include more parent workshops/trainings/informational sessions and other similar activities for parent input and participating at parent-led meetings that occur in OSSE's Division of Early Learning.</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The activities conducted in FFY21 to increase the capacity of diverse groups of parents included the planning to resume the community playgroups, strengthening the partnership with child development facilities to provide online developmental screening for families both in English and Spanish, continuing to use the coaching interaction style to build the capacity of parents to support their children as they develop and the planning of new initiatives to be conducted in FFY22 to increase capacity of parents. These activities are described in detail below.</w:t>
      </w:r>
      <w:r w:rsidRPr="00ED172B">
        <w:rPr>
          <w:color w:val="000000" w:themeColor="text1"/>
          <w:szCs w:val="16"/>
        </w:rPr>
        <w:br/>
      </w:r>
      <w:r w:rsidRPr="00ED172B">
        <w:rPr>
          <w:color w:val="000000" w:themeColor="text1"/>
          <w:szCs w:val="16"/>
        </w:rPr>
        <w:br/>
        <w:t>After a two-year hiatus due to the public health emergency mandates, DC EIP was able to secure a new agreement with DC Public Libraries (DCPL) to bring back community playgroups. In FFY21, planning and communication was completed by partnering with DCPL leadership staff on identifying specific library branches that had a demand for this type of program. In addition to these playgroups being equitably accessible to all families in DC, the new agreement allows for flexibility in scheduling as well as the ability to provide “Pop-Up” playgroups and other various outreach events at local branches. Moving forward, this will strengthen the partnership between two DC Government agencies serving infants/toddlers and allows for more timely scheduling of future events as community needs arise. Rollout of the two community playgroups is slated for January 2023 at Francis A. Gregory Neighborhood Library in SE and Mount Pleasant Neighborhood Library in NW. One of the playgroups is for Spanish speaking families.</w:t>
      </w:r>
      <w:r w:rsidRPr="00ED172B">
        <w:rPr>
          <w:color w:val="000000" w:themeColor="text1"/>
          <w:szCs w:val="16"/>
        </w:rPr>
        <w:br/>
      </w:r>
      <w:r w:rsidRPr="00ED172B">
        <w:rPr>
          <w:color w:val="000000" w:themeColor="text1"/>
          <w:szCs w:val="16"/>
        </w:rPr>
        <w:br/>
        <w:t xml:space="preserve">Strong Start’s implementation of the primary service provider and teaming approach has significantly increased collaboration among all team members. Case managers from the Medicaid Managed Care Organizations (MCOs) and Strong Start service coordinators are working together more closely to follow up with referred families that have an MCO assigned and that have issues with unsuccessful engagement attempts to participate in the program. </w:t>
      </w:r>
      <w:r w:rsidRPr="00ED172B">
        <w:rPr>
          <w:color w:val="000000" w:themeColor="text1"/>
          <w:szCs w:val="16"/>
        </w:rPr>
        <w:br/>
      </w:r>
      <w:r w:rsidRPr="00ED172B">
        <w:rPr>
          <w:color w:val="000000" w:themeColor="text1"/>
          <w:szCs w:val="16"/>
        </w:rPr>
        <w:br/>
        <w:t>Strong Start has emphasized the Ages and Stages Questionnaire (ASQ) and provided additional support to child development facilities to use the ASQ online. This online system is used to complete all developmental screenings and allows screening to be completed by Strong Start’s child find unit, child development facility staff, health providers or the child’s own family</w:t>
      </w:r>
      <w:r w:rsidRPr="00ED172B">
        <w:rPr>
          <w:color w:val="000000" w:themeColor="text1"/>
          <w:szCs w:val="16"/>
        </w:rPr>
        <w:br/>
      </w:r>
      <w:r w:rsidRPr="00ED172B">
        <w:rPr>
          <w:color w:val="000000" w:themeColor="text1"/>
          <w:szCs w:val="16"/>
        </w:rPr>
        <w:br/>
        <w:t>Strong Start’s long effort to have a physical location in Wards 7 or 8 came to fruition and a new location in Ward 7 was delivered in Dec. 2020. Strong Start has now a presence in the community and initial family interviews and evaluations can be conducted at the Penn. Avenue location at parent’s request. In FY23, Strong Start is planning to offer parent workshops and playgroups. These activities will allow the program to engage actively and effectively with the community in Wards 7 and 8 to increase the rate that evaluations are completed in these Wards. Screenings are available in English and Spanish.</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Targets were set in Jan. of 2022 and all stakeholder input was described in FFY21 APR. No recommendations on modifying the targets are being made </w:t>
      </w:r>
      <w:proofErr w:type="gramStart"/>
      <w:r w:rsidRPr="00ED172B">
        <w:rPr>
          <w:color w:val="000000" w:themeColor="text1"/>
          <w:szCs w:val="16"/>
        </w:rPr>
        <w:t>at this time</w:t>
      </w:r>
      <w:proofErr w:type="gramEnd"/>
      <w:r w:rsidRPr="00ED172B">
        <w:rPr>
          <w:color w:val="000000" w:themeColor="text1"/>
          <w:szCs w:val="16"/>
        </w:rPr>
        <w:t>. OSSE collected input during the ICC meetings of Jan. 20, May 17, Sept. 19 and Dec. 9, 2022 about the progress made on the different initiatives set in the SSIP, the performance data from the Strong Start program and the stages of the reopening plan for in-person visits, which includes that effective Jan. 1, 2023 all eligibility and transition evaluations are conducted in-person only and all service delivery is made available for in-person visits to all families in the District.</w:t>
      </w:r>
      <w:r w:rsidRPr="00ED172B">
        <w:rPr>
          <w:color w:val="000000" w:themeColor="text1"/>
          <w:szCs w:val="16"/>
        </w:rPr>
        <w:br/>
      </w:r>
      <w:r w:rsidRPr="00ED172B">
        <w:rPr>
          <w:color w:val="000000" w:themeColor="text1"/>
          <w:szCs w:val="16"/>
        </w:rPr>
        <w:br/>
        <w:t>OSSE also participates regularly in the State Early Childhood Development Coordinating Council (SECDCC) and shares information and obtains feedback from stakeholders.</w:t>
      </w:r>
      <w:r w:rsidRPr="00ED172B">
        <w:rPr>
          <w:color w:val="000000" w:themeColor="text1"/>
          <w:szCs w:val="16"/>
        </w:rPr>
        <w:br/>
      </w:r>
      <w:r w:rsidRPr="00ED172B">
        <w:rPr>
          <w:color w:val="000000" w:themeColor="text1"/>
          <w:szCs w:val="16"/>
        </w:rPr>
        <w:br/>
        <w:t>OSSE also used the family survey and the newsletter to receive input and feedback from families on how the program is performing and to include any comments or suggestions.</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lastRenderedPageBreak/>
        <w:t xml:space="preserve">The final targets, Theory of Action with revised coherent improvement strategies and evaluation plan were sent to all members of the workgroups and the ICC members and were posted on OSSE's website on Jan. 28, </w:t>
      </w:r>
      <w:proofErr w:type="gramStart"/>
      <w:r w:rsidRPr="00ED172B">
        <w:rPr>
          <w:color w:val="000000" w:themeColor="text1"/>
          <w:szCs w:val="16"/>
        </w:rPr>
        <w:t>2022</w:t>
      </w:r>
      <w:proofErr w:type="gramEnd"/>
      <w:r w:rsidRPr="00ED172B">
        <w:rPr>
          <w:color w:val="000000" w:themeColor="text1"/>
          <w:szCs w:val="16"/>
        </w:rPr>
        <w:t xml:space="preserve"> for the general public. The FFY2020 APR was posted on OSSE's website on March 24, 2022</w:t>
      </w:r>
      <w:r w:rsidRPr="00ED172B">
        <w:rPr>
          <w:color w:val="000000" w:themeColor="text1"/>
          <w:szCs w:val="16"/>
        </w:rPr>
        <w:br/>
      </w:r>
      <w:r w:rsidRPr="00ED172B">
        <w:rPr>
          <w:color w:val="000000" w:themeColor="text1"/>
          <w:szCs w:val="16"/>
        </w:rPr>
        <w:br/>
        <w:t>Updated guidelines developed for in-person visits during COVID-19 public health emergency were translated and made available to all stakeholders via email as well as OSSE's website.</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OSSE reported FFY2020 performance on the targets in the SPP/APR on OSSE's website at </w:t>
      </w:r>
      <w:proofErr w:type="gramStart"/>
      <w:r w:rsidRPr="00ED172B">
        <w:rPr>
          <w:color w:val="000000" w:themeColor="text1"/>
          <w:szCs w:val="16"/>
        </w:rPr>
        <w:t>https://osse.dc.gov/page/annual-public-reporting-part-c</w:t>
      </w:r>
      <w:proofErr w:type="gramEnd"/>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DC lead agency's submission of its SPP/APR as its annual report in lieu of submitting a separate report. OSEP accepts the SICC form, which will not be posted publicly with the DC's SPP/APR documents.</w:t>
      </w:r>
      <w:r w:rsidRPr="00ED172B">
        <w:rPr>
          <w:color w:val="000000" w:themeColor="text1"/>
        </w:rPr>
        <w:br/>
      </w:r>
      <w:r w:rsidRPr="00ED172B">
        <w:rPr>
          <w:color w:val="000000" w:themeColor="text1"/>
        </w:rPr>
        <w:br/>
        <w:t>DC did not describe the mechanisms for soliciting broad stakeholder input on its targets in the SPP/APR and subsequent revisions that DC made to those targets. Specifically, DC did not report a description of the activities conducted to increase the capacity of diverse groups of parents.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DC has not provided a description of the activities conducted to increase the capacity of diverse groups of parents. In its FFY 2022 SPP/APR, DC must provide the required information.</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37.00%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99.65%</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87.44%</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94.02%</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91.89%</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93.46%</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269</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362</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93.46%</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85.36%</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 xml:space="preserve">System has been affected by shortage of providers </w:t>
      </w:r>
      <w:proofErr w:type="gramStart"/>
      <w:r w:rsidRPr="00ED172B">
        <w:rPr>
          <w:color w:val="000000" w:themeColor="text1"/>
        </w:rPr>
        <w:t>at the same time that</w:t>
      </w:r>
      <w:proofErr w:type="gramEnd"/>
      <w:r w:rsidRPr="00ED172B">
        <w:rPr>
          <w:color w:val="000000" w:themeColor="text1"/>
        </w:rPr>
        <w:t xml:space="preserve"> number of referrals have increased. Contracted companies that provide services have increased their recruiting efforts and were able to hire new interventionists but unfortunately not on time to start services in a timely manner. The program also observed an increase on delayed authorizations from Managed Care Organizations (MCOs) that impacted the timeline. In order to avoid delays in timely start of services, Strong Start developed a new procedure to authorize the start of services when an MCO is delayed with authorizations.</w:t>
      </w:r>
      <w:r w:rsidRPr="00ED172B">
        <w:rPr>
          <w:color w:val="000000" w:themeColor="text1"/>
        </w:rPr>
        <w:br/>
        <w:t xml:space="preserve">Strong Start had delays due to service coordinators not uploading the IFSP on a timely manner. In the new data system, the IFSP document will be embedded in the data base and after the parent signs it electronically it </w:t>
      </w:r>
      <w:proofErr w:type="gramStart"/>
      <w:r w:rsidRPr="00ED172B">
        <w:rPr>
          <w:color w:val="000000" w:themeColor="text1"/>
        </w:rPr>
        <w:t>will</w:t>
      </w:r>
      <w:proofErr w:type="gramEnd"/>
      <w:r w:rsidRPr="00ED172B">
        <w:rPr>
          <w:color w:val="000000" w:themeColor="text1"/>
        </w:rPr>
        <w:t xml:space="preserve"> available to the provider. Once implemented, this is expected to result in a higher performance for this indicator.</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40</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Reasons for family delays include that family was out of town and provider couldn’t start within 30 days of IFSP, family’s availability to start services, family didn’t show up for session, family unresponsive to attempts made by interventionist to schedule first visit, family did not accept dates and times offered by interventionist prior to 30-day timeline, and interventionist unable to connect with family via phone and text.</w:t>
      </w:r>
      <w:r w:rsidRPr="00ED172B">
        <w:rPr>
          <w:color w:val="000000" w:themeColor="text1"/>
          <w:szCs w:val="16"/>
        </w:rPr>
        <w:br/>
      </w:r>
      <w:r w:rsidRPr="00ED172B">
        <w:rPr>
          <w:color w:val="000000" w:themeColor="text1"/>
          <w:szCs w:val="16"/>
        </w:rPr>
        <w:br/>
        <w:t>For system delays, 13 delays were due to service coordinator (did not upload IFSP on time), provider delay accounted for 22 delays, MCOs were responsible for 13 delays, and program delay (not finding a provider available within 30 days) accounted for 5.</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proofErr w:type="gramStart"/>
      <w:r w:rsidRPr="00ED172B">
        <w:rPr>
          <w:color w:val="000000" w:themeColor="text1"/>
          <w:szCs w:val="16"/>
        </w:rPr>
        <w:t>The  District</w:t>
      </w:r>
      <w:proofErr w:type="gramEnd"/>
      <w:r w:rsidRPr="00ED172B">
        <w:rPr>
          <w:color w:val="000000" w:themeColor="text1"/>
          <w:szCs w:val="16"/>
        </w:rPr>
        <w:t xml:space="preserve"> of Columbia's criteria for timely receipt of services is within 30 days from the time of parent signing the IFSP services are initiated.</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April 1, </w:t>
      </w:r>
      <w:proofErr w:type="gramStart"/>
      <w:r w:rsidRPr="00ED172B">
        <w:rPr>
          <w:color w:val="000000" w:themeColor="text1"/>
        </w:rPr>
        <w:t>2022</w:t>
      </w:r>
      <w:proofErr w:type="gramEnd"/>
      <w:r w:rsidRPr="00ED172B">
        <w:rPr>
          <w:color w:val="000000" w:themeColor="text1"/>
        </w:rPr>
        <w:t xml:space="preserve"> to June 30, 2022</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The 4th quarter reporting period April 1 through June 30 is considered representative of the full reporting year because the same variables are in place for this quarter of the fiscal year, which is the same as in all quarters. The District of Columbia Part C program is confident that the chosen reporting period accurately reflects data for infants and toddlers with IFSP's for the entire FFY 2021.</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A </w:t>
      </w:r>
      <w:proofErr w:type="gramStart"/>
      <w:r w:rsidRPr="00ED172B">
        <w:rPr>
          <w:color w:val="000000" w:themeColor="text1"/>
        </w:rPr>
        <w:t>drop down</w:t>
      </w:r>
      <w:proofErr w:type="gramEnd"/>
      <w:r w:rsidRPr="00ED172B">
        <w:rPr>
          <w:color w:val="000000" w:themeColor="text1"/>
        </w:rPr>
        <w:t xml:space="preserve"> menu captures reason for delay such as exceptional family circumstances, program delay, provider delay, Managed Care Organization (MCO) delay or service coordinator delay. All instances of exceptional family circumstances were reviewed through a record review to verify that documentation was available to support family delay.</w:t>
      </w:r>
      <w:r w:rsidRPr="00ED172B">
        <w:rPr>
          <w:color w:val="000000" w:themeColor="text1"/>
        </w:rPr>
        <w:br/>
      </w:r>
      <w:r w:rsidRPr="00ED172B">
        <w:rPr>
          <w:color w:val="000000" w:themeColor="text1"/>
        </w:rPr>
        <w:br/>
        <w:t>Strong Start program implemented new strategies to provide support to the vendor agencies in the planning of new hires. Since April of 2022 vendor agencies are required to submit a roster monthly indicating the number of hours that an interventionist is available, new hires and candidates in the pipeline. Strong Start is then analyzing the capacity and availability of the system as a whole and during the monthly vendor agencies meeting discussing gaps identified and where they should focus their recruiting efforts. By doing this, a vendor agency can make an informed hiring decision and determine if they can offer part-time, full-time or per-diem job.</w:t>
      </w:r>
      <w:r w:rsidRPr="00ED172B">
        <w:rPr>
          <w:color w:val="000000" w:themeColor="text1"/>
        </w:rPr>
        <w:br/>
      </w:r>
      <w:r w:rsidRPr="00ED172B">
        <w:rPr>
          <w:color w:val="000000" w:themeColor="text1"/>
        </w:rPr>
        <w:br/>
        <w:t>Additionally, Strong Start leadership team meets weekly with all vendor agencies when there are cases not picked up from the assignment list. This is proving to be very helpful in reducing the number of children waiting for an interventionist to be assigned and allowing providers to know where the need is for their recruiting efforts.</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DC reported less than 100% compliance for FFY 2020, DC must report on the status of correction of noncompliance identified in FFY 2020 for this indicator. When reporting on the correction of noncompliance, DC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DC must describe the specific actions that were taken to verify the correction. </w:t>
      </w:r>
      <w:r w:rsidRPr="00ED172B">
        <w:rPr>
          <w:color w:val="000000" w:themeColor="text1"/>
        </w:rPr>
        <w:br/>
      </w:r>
      <w:r w:rsidRPr="00ED172B">
        <w:rPr>
          <w:color w:val="000000" w:themeColor="text1"/>
        </w:rPr>
        <w:br/>
        <w:t>If DC did not identify any findings of noncompliance in FFY 2020, although its FFY 2020 data reflect less than 100% compliance, provide an explanation of why DC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While FFY 20 data reflected less than 100 percent compliance for children with IFSPs to begin services within Part C's 30-day timeline, no findings were issued because correction according to federal requirements was verified before a finding was issued. Upon record reviews conducted for those children it was verified that correction had occurred prior to issuance of findings. All 21 children identified as untimely did receive their IFSP services although late and not within the 30-day timeline.</w:t>
      </w:r>
      <w:r w:rsidRPr="00ED172B">
        <w:rPr>
          <w:color w:val="000000" w:themeColor="text1"/>
        </w:rPr>
        <w:br/>
        <w:t xml:space="preserve">For prong two of verification, the state did another review of subsequent data of 10% of 123 records from a month sample. A total of 12 records were reviewed which verified that all children in the new sample received the services on their IFSP in a timely manner (within 30 days). </w:t>
      </w:r>
      <w:proofErr w:type="gramStart"/>
      <w:r w:rsidRPr="00ED172B">
        <w:rPr>
          <w:color w:val="000000" w:themeColor="text1"/>
        </w:rPr>
        <w:t>Therefore</w:t>
      </w:r>
      <w:proofErr w:type="gramEnd"/>
      <w:r w:rsidRPr="00ED172B">
        <w:rPr>
          <w:color w:val="000000" w:themeColor="text1"/>
        </w:rPr>
        <w:t xml:space="preserve"> no finding was issued due to pre-finding correction. </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DC reported that it used data from a database to report on this indicator. DC further reported that it did not use data for the full reporting period (July 1, 2021- June 30, 2022).</w:t>
      </w:r>
      <w:r w:rsidRPr="00ED172B">
        <w:rPr>
          <w:color w:val="000000" w:themeColor="text1"/>
        </w:rPr>
        <w:br/>
        <w:t>DC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55.00%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95.30%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95.40%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95.50%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97.10%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99.18%</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100.00%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97.20%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97.30%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97.40%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97.50%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97.60%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Targets were set in Jan. of 2022 and all stakeholder input was described in FFY20 APR. After presenting and discussing the data for the FFY21 during the meeting in Jan. 2023, the ICC made no recommendations on modifying the targets at this time.  The main mechanisms used to solicit input were via ICC and SECDCC meetings, monthly Strong Start contracted agencies, quarterly meetings with Medicaid agency and guidelines developed. </w:t>
      </w:r>
      <w:r w:rsidRPr="00ED172B">
        <w:rPr>
          <w:color w:val="000000" w:themeColor="text1"/>
        </w:rPr>
        <w:br/>
      </w:r>
      <w:r w:rsidRPr="00ED172B">
        <w:rPr>
          <w:color w:val="000000" w:themeColor="text1"/>
        </w:rPr>
        <w:br/>
        <w:t xml:space="preserve">OSSE ensures that stakeholders and the public are constantly engaged in Strong Start activities through regular meetings of the Interagency Coordinating Council (ICC), the State Early Childhood Development Coordinating Council (SECDCC) monthly meetings with providers and partner agencies and regular communications to stakeholders. These opportunities create continuous feedback loops that allow for continuous improvement with stakeholder input. During provider meetings procedural and operational changes are discussed and agreed upon. Documentation and any data system questions are addressed and suggested improvements are offered. During FFY 21, OSSE met regularly with the ICC and DC EIP to discuss ongoing performance. </w:t>
      </w:r>
      <w:r w:rsidRPr="00ED172B">
        <w:rPr>
          <w:color w:val="000000" w:themeColor="text1"/>
        </w:rPr>
        <w:br/>
      </w:r>
      <w:r w:rsidRPr="00ED172B">
        <w:rPr>
          <w:color w:val="000000" w:themeColor="text1"/>
        </w:rPr>
        <w:br/>
        <w:t xml:space="preserve">At the ICC meeting in January 2023, the members reviewed results from FFY21 (7/1/21-6/30/22) for each indicator, asked questions and provided feedback included in this Annual Performance Report (APR). National technical assistance (TA) centers staff, including </w:t>
      </w:r>
      <w:proofErr w:type="spellStart"/>
      <w:r w:rsidRPr="00ED172B">
        <w:rPr>
          <w:color w:val="000000" w:themeColor="text1"/>
        </w:rPr>
        <w:t>DaSy</w:t>
      </w:r>
      <w:proofErr w:type="spellEnd"/>
      <w:r w:rsidRPr="00ED172B">
        <w:rPr>
          <w:color w:val="000000" w:themeColor="text1"/>
        </w:rPr>
        <w:t xml:space="preserve"> and the ECTA Center, reviewed and provided helpful guidance in the development of this APR. The APR was also sent directly to ICC chairperson who reviewed the file in detail, asked questions, and suggested edits. Leadership from OSSE also reviewed the APR and made suggestions. The ICC chairperson approved the final edits so that this Annual Performance Report (APR) fulfills the State Interagency Coordinating Council's obligations to report to the U.S. Department of Education for FFY21. New targets for the results indicators were developed in FFY 2020 for FFY21-25 by the different workgroups with participants from various stakeholders. The targets were reviewed and approved by the ICC and subsequently submitted and approved by OSEP. No changes are being recommended at this time by the ICC.</w:t>
      </w:r>
      <w:r w:rsidRPr="00ED172B">
        <w:rPr>
          <w:color w:val="000000" w:themeColor="text1"/>
        </w:rPr>
        <w:br/>
      </w:r>
      <w:r w:rsidRPr="00ED172B">
        <w:rPr>
          <w:color w:val="000000" w:themeColor="text1"/>
        </w:rPr>
        <w:br/>
        <w:t xml:space="preserve">Throughout the FFY21, OSSE and Strong Start has met with the ICC quarterly, the contracted vendor agencies monthly, the Strong Start team quarterly, the SECDCC quarterly, the Department of Health Care Finance monthly and the Managed Care Organizations (MCO) quarterly to review and solicit feedback on the performance of the program, the Theory of Action, accomplishments, and the Evaluation and Activities Plan for Part C in the District of Columbia. </w:t>
      </w:r>
      <w:r w:rsidRPr="00ED172B">
        <w:rPr>
          <w:color w:val="000000" w:themeColor="text1"/>
        </w:rPr>
        <w:br/>
      </w:r>
      <w:r w:rsidRPr="00ED172B">
        <w:rPr>
          <w:color w:val="000000" w:themeColor="text1"/>
        </w:rPr>
        <w:br/>
        <w:t xml:space="preserve">The fidelity guidelines and requirements that are Part of the SSIP were developed in February of 2022 and presented to the vendor agencies in March for their review and feedback. The final version was released in April of 2022. </w:t>
      </w:r>
      <w:r w:rsidRPr="00ED172B">
        <w:rPr>
          <w:color w:val="000000" w:themeColor="text1"/>
        </w:rPr>
        <w:br/>
      </w:r>
      <w:r w:rsidRPr="00ED172B">
        <w:rPr>
          <w:color w:val="000000" w:themeColor="text1"/>
        </w:rPr>
        <w:br/>
        <w:t xml:space="preserve">OSSE invited stakeholders who use the Part C data system to participate in two sessions to obtain feedback on the new data system. Participants included a group of managers at the vendor agencies, the transition personnel at Early Stages (the program from DC Public Schools that identifies and </w:t>
      </w:r>
      <w:r w:rsidRPr="00ED172B">
        <w:rPr>
          <w:color w:val="000000" w:themeColor="text1"/>
        </w:rPr>
        <w:lastRenderedPageBreak/>
        <w:t xml:space="preserve">address developmental delays and disabilities in children over 3 years old), and a group of case managers from the </w:t>
      </w:r>
      <w:proofErr w:type="gramStart"/>
      <w:r w:rsidRPr="00ED172B">
        <w:rPr>
          <w:color w:val="000000" w:themeColor="text1"/>
        </w:rPr>
        <w:t>MCOs .</w:t>
      </w:r>
      <w:proofErr w:type="gramEnd"/>
      <w:r w:rsidRPr="00ED172B">
        <w:rPr>
          <w:color w:val="000000" w:themeColor="text1"/>
        </w:rPr>
        <w:t xml:space="preserve"> Their input was valuable to understand different improvements needed to incorporate in the new Special Education System (SEDS) being developed.</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1,095</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1,095</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1,095</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1,095</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97.20%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Targets were set in Jan. of 2022 and all stakeholder input was described in FFY20 APR. After presenting and discussing the data for the FFY21 during the meeting in Jan. 2023, the ICC made no recommendations on modifying the targets at this time.  The main mechanisms used to solicit input were via ICC and SECDCC meetings, monthly Strong Start contracted agencies, quarterly meetings with Medicaid agency and guidelines developed. </w:t>
      </w:r>
      <w:r w:rsidRPr="00ED172B">
        <w:rPr>
          <w:color w:val="000000" w:themeColor="text1"/>
        </w:rPr>
        <w:br/>
      </w:r>
      <w:r w:rsidRPr="00ED172B">
        <w:rPr>
          <w:color w:val="000000" w:themeColor="text1"/>
        </w:rPr>
        <w:br/>
        <w:t xml:space="preserve">OSSE ensures that stakeholders and the public are constantly engaged in Strong Start activities through regular meetings of the Interagency Coordinating Council (ICC), the State Early Childhood Development Coordinating Council (SECDCC) monthly meetings with providers and partner agencies and regular communications to stakeholders. These opportunities create continuous feedback loops that allow for continuous improvement with stakeholder input. During provider meetings procedural and operational changes are discussed and agreed upon. Documentation and any data system questions are addressed and suggested improvements are offered. During FFY 21, OSSE met regularly with the ICC and DC EIP to discuss ongoing performance. </w:t>
      </w:r>
      <w:r w:rsidRPr="00ED172B">
        <w:rPr>
          <w:color w:val="000000" w:themeColor="text1"/>
        </w:rPr>
        <w:br/>
      </w:r>
      <w:r w:rsidRPr="00ED172B">
        <w:rPr>
          <w:color w:val="000000" w:themeColor="text1"/>
        </w:rPr>
        <w:br/>
        <w:t xml:space="preserve">At the ICC meeting in January 2023, the members reviewed results from FFY21 (7/1/21-6/30/22) for each indicator, asked questions and provided feedback included in this Annual Performance Report (APR). National technical assistance (TA) centers staff, including </w:t>
      </w:r>
      <w:proofErr w:type="spellStart"/>
      <w:r w:rsidRPr="00ED172B">
        <w:rPr>
          <w:color w:val="000000" w:themeColor="text1"/>
        </w:rPr>
        <w:t>DaSy</w:t>
      </w:r>
      <w:proofErr w:type="spellEnd"/>
      <w:r w:rsidRPr="00ED172B">
        <w:rPr>
          <w:color w:val="000000" w:themeColor="text1"/>
        </w:rPr>
        <w:t xml:space="preserve"> and the ECTA Center, reviewed and provided helpful guidance in the development of this APR. The APR was also sent directly to ICC chairperson who reviewed the file in detail, asked questions, and suggested edits. Leadership from OSSE also reviewed the APR and made suggestions. The ICC chairperson approved the final edits so that this Annual Performance Report (APR) fulfills the State Interagency Coordinating Council's obligations to report to the U.S. Department of Education for FFY21. New targets for the results indicators were developed in FFY 2020 for FFY21-25 by the different workgroups with participants from various stakeholders. The targets were reviewed and approved by the ICC and subsequently submitted and approved by OSEP. No changes are being recommended at this time by the ICC.</w:t>
      </w:r>
      <w:r w:rsidRPr="00ED172B">
        <w:rPr>
          <w:color w:val="000000" w:themeColor="text1"/>
        </w:rPr>
        <w:br/>
      </w:r>
      <w:r w:rsidRPr="00ED172B">
        <w:rPr>
          <w:color w:val="000000" w:themeColor="text1"/>
        </w:rPr>
        <w:br/>
        <w:t xml:space="preserve">Throughout the FFY21, OSSE and Strong Start has met with the ICC quarterly, the contracted vendor agencies monthly, the Strong Start team quarterly, the SECDCC quarterly, the Department of Health Care Finance monthly and the Managed Care Organizations (MCO) quarterly to review and solicit feedback on the performance of the program, the Theory of Action, accomplishments, and the Evaluation and Activities Plan for Part C in the District of Columbia. </w:t>
      </w:r>
      <w:r w:rsidRPr="00ED172B">
        <w:rPr>
          <w:color w:val="000000" w:themeColor="text1"/>
        </w:rPr>
        <w:br/>
      </w:r>
      <w:r w:rsidRPr="00ED172B">
        <w:rPr>
          <w:color w:val="000000" w:themeColor="text1"/>
        </w:rPr>
        <w:br/>
        <w:t xml:space="preserve">The fidelity guidelines and requirements that are Part of the SSIP were developed in February of 2022 and presented to the vendor agencies in March for their review and feedback. The final version was released in April of 2022. </w:t>
      </w:r>
      <w:r w:rsidRPr="00ED172B">
        <w:rPr>
          <w:color w:val="000000" w:themeColor="text1"/>
        </w:rPr>
        <w:br/>
      </w:r>
      <w:r w:rsidRPr="00ED172B">
        <w:rPr>
          <w:color w:val="000000" w:themeColor="text1"/>
        </w:rPr>
        <w:br/>
        <w:t xml:space="preserve">OSSE invited stakeholders who use the Part C data system to participate in two sessions to obtain feedback on the new data system. Participants included a group of managers at the vendor agencies, the transition personnel at Early Stages (the program from DC Public Schools that identifies and address developmental delays and disabilities in children over 3 years old), and a group of case managers from the </w:t>
      </w:r>
      <w:proofErr w:type="gramStart"/>
      <w:r w:rsidRPr="00ED172B">
        <w:rPr>
          <w:color w:val="000000" w:themeColor="text1"/>
        </w:rPr>
        <w:t>MCOs .</w:t>
      </w:r>
      <w:proofErr w:type="gramEnd"/>
      <w:r w:rsidRPr="00ED172B">
        <w:rPr>
          <w:color w:val="000000" w:themeColor="text1"/>
        </w:rPr>
        <w:t xml:space="preserve"> Their input was valuable to understand different improvements needed to incorporate in the new Special Education System (SEDS) being developed.</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2015</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69.50%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72.50%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75.50%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83.43%</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86.08%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86.91%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87.34%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85.74%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83.43%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87.57%</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2015</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70.56%</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71.18%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78.90%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77.56%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72.78%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70.56%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73.82%</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71.50%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71.50%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67.60%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69.61%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74.48%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74.29%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69.13%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67.60%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67.50%</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47.00%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49.00%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55.70%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64.35%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63.93%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57.59%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55.84%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58.73%</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80.50%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80.50%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76.40%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81.04%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79.54%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84.96%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80.93%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78.84%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84.34%</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71.00%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76.00%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76.56%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74.68%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80.56%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78.96%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77.69%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80.62%</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83.43%</w:t>
            </w:r>
          </w:p>
        </w:tc>
        <w:tc>
          <w:tcPr>
            <w:tcW w:w="918" w:type="pct"/>
          </w:tcPr>
          <w:p w14:paraId="7A62957C" w14:textId="59554121" w:rsidR="009E2382" w:rsidRPr="00ED172B" w:rsidRDefault="009E2382" w:rsidP="002242B8">
            <w:pPr>
              <w:jc w:val="center"/>
              <w:rPr>
                <w:color w:val="000000" w:themeColor="text1"/>
              </w:rPr>
            </w:pPr>
            <w:r>
              <w:rPr>
                <w:color w:val="000000" w:themeColor="text1"/>
              </w:rPr>
              <w:t>83.43%</w:t>
            </w:r>
          </w:p>
        </w:tc>
        <w:tc>
          <w:tcPr>
            <w:tcW w:w="918" w:type="pct"/>
          </w:tcPr>
          <w:p w14:paraId="330DB307" w14:textId="4DD70DCA" w:rsidR="009E2382" w:rsidRPr="00ED172B" w:rsidRDefault="009E2382" w:rsidP="002242B8">
            <w:pPr>
              <w:jc w:val="center"/>
              <w:rPr>
                <w:color w:val="000000" w:themeColor="text1"/>
              </w:rPr>
            </w:pPr>
            <w:r>
              <w:rPr>
                <w:color w:val="000000" w:themeColor="text1"/>
              </w:rPr>
              <w:t>84.74%</w:t>
            </w:r>
          </w:p>
        </w:tc>
        <w:tc>
          <w:tcPr>
            <w:tcW w:w="917" w:type="pct"/>
          </w:tcPr>
          <w:p w14:paraId="1E535134" w14:textId="174673D1" w:rsidR="009E2382" w:rsidRPr="00ED172B" w:rsidRDefault="009E2382" w:rsidP="002242B8">
            <w:pPr>
              <w:jc w:val="center"/>
              <w:rPr>
                <w:color w:val="000000" w:themeColor="text1"/>
              </w:rPr>
            </w:pPr>
            <w:r>
              <w:rPr>
                <w:color w:val="000000" w:themeColor="text1"/>
              </w:rPr>
              <w:t>85.74%</w:t>
            </w:r>
          </w:p>
        </w:tc>
        <w:tc>
          <w:tcPr>
            <w:tcW w:w="916" w:type="pct"/>
          </w:tcPr>
          <w:p w14:paraId="7D5EFC26" w14:textId="3AFE59A1" w:rsidR="009E2382" w:rsidRPr="00ED172B" w:rsidRDefault="009E2382" w:rsidP="002242B8">
            <w:pPr>
              <w:jc w:val="center"/>
              <w:rPr>
                <w:color w:val="000000" w:themeColor="text1"/>
              </w:rPr>
            </w:pPr>
            <w:r>
              <w:rPr>
                <w:color w:val="000000" w:themeColor="text1"/>
              </w:rPr>
              <w:t>86.10%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71.00%</w:t>
            </w:r>
          </w:p>
        </w:tc>
        <w:tc>
          <w:tcPr>
            <w:tcW w:w="918" w:type="pct"/>
          </w:tcPr>
          <w:p w14:paraId="1DD5AC15" w14:textId="552D0AAC" w:rsidR="009E2382" w:rsidRPr="00ED172B" w:rsidRDefault="009E2382" w:rsidP="002242B8">
            <w:pPr>
              <w:jc w:val="center"/>
              <w:rPr>
                <w:color w:val="000000" w:themeColor="text1"/>
              </w:rPr>
            </w:pPr>
            <w:r>
              <w:rPr>
                <w:color w:val="000000" w:themeColor="text1"/>
              </w:rPr>
              <w:t>71.50%</w:t>
            </w:r>
          </w:p>
        </w:tc>
        <w:tc>
          <w:tcPr>
            <w:tcW w:w="918" w:type="pct"/>
          </w:tcPr>
          <w:p w14:paraId="29377148" w14:textId="76F6C6ED" w:rsidR="009E2382" w:rsidRPr="00ED172B" w:rsidRDefault="009E2382" w:rsidP="002242B8">
            <w:pPr>
              <w:jc w:val="center"/>
              <w:rPr>
                <w:color w:val="000000" w:themeColor="text1"/>
              </w:rPr>
            </w:pPr>
            <w:r>
              <w:rPr>
                <w:color w:val="000000" w:themeColor="text1"/>
              </w:rPr>
              <w:t>72.00%</w:t>
            </w:r>
          </w:p>
        </w:tc>
        <w:tc>
          <w:tcPr>
            <w:tcW w:w="917" w:type="pct"/>
          </w:tcPr>
          <w:p w14:paraId="3F8E8EE0" w14:textId="1AB30A36" w:rsidR="009E2382" w:rsidRPr="00ED172B" w:rsidRDefault="009E2382" w:rsidP="002242B8">
            <w:pPr>
              <w:jc w:val="center"/>
              <w:rPr>
                <w:color w:val="000000" w:themeColor="text1"/>
              </w:rPr>
            </w:pPr>
            <w:r>
              <w:rPr>
                <w:color w:val="000000" w:themeColor="text1"/>
              </w:rPr>
              <w:t>72.00%</w:t>
            </w:r>
          </w:p>
        </w:tc>
        <w:tc>
          <w:tcPr>
            <w:tcW w:w="916" w:type="pct"/>
          </w:tcPr>
          <w:p w14:paraId="5B0C0E7A" w14:textId="73E7E860" w:rsidR="009E2382" w:rsidRPr="00ED172B" w:rsidRDefault="009E2382" w:rsidP="002242B8">
            <w:pPr>
              <w:jc w:val="center"/>
              <w:rPr>
                <w:color w:val="000000" w:themeColor="text1"/>
              </w:rPr>
            </w:pPr>
            <w:r>
              <w:rPr>
                <w:color w:val="000000" w:themeColor="text1"/>
              </w:rPr>
              <w:t>72.50%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lastRenderedPageBreak/>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68.10%</w:t>
            </w:r>
          </w:p>
        </w:tc>
        <w:tc>
          <w:tcPr>
            <w:tcW w:w="918" w:type="pct"/>
          </w:tcPr>
          <w:p w14:paraId="7EDAF97B" w14:textId="4B219601" w:rsidR="009E2382" w:rsidRPr="00ED172B" w:rsidRDefault="009E2382" w:rsidP="002242B8">
            <w:pPr>
              <w:jc w:val="center"/>
              <w:rPr>
                <w:color w:val="000000" w:themeColor="text1"/>
              </w:rPr>
            </w:pPr>
            <w:r>
              <w:rPr>
                <w:color w:val="000000" w:themeColor="text1"/>
              </w:rPr>
              <w:t>68.60%</w:t>
            </w:r>
          </w:p>
        </w:tc>
        <w:tc>
          <w:tcPr>
            <w:tcW w:w="918" w:type="pct"/>
          </w:tcPr>
          <w:p w14:paraId="31A1D7D3" w14:textId="003191E1" w:rsidR="009E2382" w:rsidRPr="00ED172B" w:rsidRDefault="009E2382" w:rsidP="002242B8">
            <w:pPr>
              <w:jc w:val="center"/>
              <w:rPr>
                <w:color w:val="000000" w:themeColor="text1"/>
              </w:rPr>
            </w:pPr>
            <w:r>
              <w:rPr>
                <w:color w:val="000000" w:themeColor="text1"/>
              </w:rPr>
              <w:t>69.10%</w:t>
            </w:r>
          </w:p>
        </w:tc>
        <w:tc>
          <w:tcPr>
            <w:tcW w:w="917" w:type="pct"/>
          </w:tcPr>
          <w:p w14:paraId="493915A7" w14:textId="24756F38" w:rsidR="009E2382" w:rsidRPr="00ED172B" w:rsidRDefault="009E2382" w:rsidP="002242B8">
            <w:pPr>
              <w:jc w:val="center"/>
              <w:rPr>
                <w:color w:val="000000" w:themeColor="text1"/>
              </w:rPr>
            </w:pPr>
            <w:r>
              <w:rPr>
                <w:color w:val="000000" w:themeColor="text1"/>
              </w:rPr>
              <w:t>69.60%</w:t>
            </w:r>
          </w:p>
        </w:tc>
        <w:tc>
          <w:tcPr>
            <w:tcW w:w="916" w:type="pct"/>
          </w:tcPr>
          <w:p w14:paraId="2E008F25" w14:textId="53C173A2" w:rsidR="009E2382" w:rsidRPr="00ED172B" w:rsidRDefault="009E2382" w:rsidP="002242B8">
            <w:pPr>
              <w:jc w:val="center"/>
              <w:rPr>
                <w:color w:val="000000" w:themeColor="text1"/>
              </w:rPr>
            </w:pPr>
            <w:r>
              <w:rPr>
                <w:color w:val="000000" w:themeColor="text1"/>
              </w:rPr>
              <w:t>69.62%</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54.00%</w:t>
            </w:r>
          </w:p>
        </w:tc>
        <w:tc>
          <w:tcPr>
            <w:tcW w:w="918" w:type="pct"/>
          </w:tcPr>
          <w:p w14:paraId="5980DE18" w14:textId="10CD7859" w:rsidR="009E2382" w:rsidRPr="00ED172B" w:rsidRDefault="009E2382" w:rsidP="002242B8">
            <w:pPr>
              <w:jc w:val="center"/>
              <w:rPr>
                <w:color w:val="000000" w:themeColor="text1"/>
              </w:rPr>
            </w:pPr>
            <w:r>
              <w:rPr>
                <w:color w:val="000000" w:themeColor="text1"/>
              </w:rPr>
              <w:t>55.00%</w:t>
            </w:r>
          </w:p>
        </w:tc>
        <w:tc>
          <w:tcPr>
            <w:tcW w:w="918" w:type="pct"/>
          </w:tcPr>
          <w:p w14:paraId="3FD51CD4" w14:textId="4E5875CE" w:rsidR="009E2382" w:rsidRPr="00ED172B" w:rsidRDefault="009E2382" w:rsidP="002242B8">
            <w:pPr>
              <w:jc w:val="center"/>
              <w:rPr>
                <w:color w:val="000000" w:themeColor="text1"/>
              </w:rPr>
            </w:pPr>
            <w:r>
              <w:rPr>
                <w:color w:val="000000" w:themeColor="text1"/>
              </w:rPr>
              <w:t>55.20%</w:t>
            </w:r>
          </w:p>
        </w:tc>
        <w:tc>
          <w:tcPr>
            <w:tcW w:w="917" w:type="pct"/>
          </w:tcPr>
          <w:p w14:paraId="3A7274FD" w14:textId="38B9FCB4" w:rsidR="009E2382" w:rsidRPr="00ED172B" w:rsidRDefault="009E2382" w:rsidP="002242B8">
            <w:pPr>
              <w:jc w:val="center"/>
              <w:rPr>
                <w:color w:val="000000" w:themeColor="text1"/>
              </w:rPr>
            </w:pPr>
            <w:r>
              <w:rPr>
                <w:color w:val="000000" w:themeColor="text1"/>
              </w:rPr>
              <w:t>55.40%</w:t>
            </w:r>
          </w:p>
        </w:tc>
        <w:tc>
          <w:tcPr>
            <w:tcW w:w="916" w:type="pct"/>
          </w:tcPr>
          <w:p w14:paraId="53FEE354" w14:textId="77777777" w:rsidR="009E2382" w:rsidRPr="00ED172B" w:rsidRDefault="009E2382" w:rsidP="002242B8">
            <w:pPr>
              <w:jc w:val="center"/>
              <w:rPr>
                <w:color w:val="000000" w:themeColor="text1"/>
              </w:rPr>
            </w:pPr>
            <w:r>
              <w:rPr>
                <w:color w:val="000000" w:themeColor="text1"/>
              </w:rPr>
              <w:t>55.80%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76.40%</w:t>
            </w:r>
          </w:p>
        </w:tc>
        <w:tc>
          <w:tcPr>
            <w:tcW w:w="918" w:type="pct"/>
          </w:tcPr>
          <w:p w14:paraId="3564984B" w14:textId="08842718" w:rsidR="009E2382" w:rsidRPr="00ED172B" w:rsidRDefault="009E2382" w:rsidP="0012497F">
            <w:pPr>
              <w:jc w:val="center"/>
              <w:rPr>
                <w:color w:val="000000" w:themeColor="text1"/>
              </w:rPr>
            </w:pPr>
            <w:r>
              <w:rPr>
                <w:color w:val="000000" w:themeColor="text1"/>
              </w:rPr>
              <w:t>77.40%</w:t>
            </w:r>
          </w:p>
        </w:tc>
        <w:tc>
          <w:tcPr>
            <w:tcW w:w="918" w:type="pct"/>
          </w:tcPr>
          <w:p w14:paraId="6F334EB5" w14:textId="748BD28E" w:rsidR="009E2382" w:rsidRPr="00ED172B" w:rsidRDefault="009E2382" w:rsidP="0012497F">
            <w:pPr>
              <w:jc w:val="center"/>
              <w:rPr>
                <w:color w:val="000000" w:themeColor="text1"/>
              </w:rPr>
            </w:pPr>
            <w:r>
              <w:rPr>
                <w:color w:val="000000" w:themeColor="text1"/>
              </w:rPr>
              <w:t>78.40%</w:t>
            </w:r>
          </w:p>
        </w:tc>
        <w:tc>
          <w:tcPr>
            <w:tcW w:w="917" w:type="pct"/>
          </w:tcPr>
          <w:p w14:paraId="13A1DF6C" w14:textId="36831C30" w:rsidR="009E2382" w:rsidRPr="00ED172B" w:rsidRDefault="009E2382" w:rsidP="0012497F">
            <w:pPr>
              <w:jc w:val="center"/>
              <w:rPr>
                <w:color w:val="000000" w:themeColor="text1"/>
              </w:rPr>
            </w:pPr>
            <w:r>
              <w:rPr>
                <w:color w:val="000000" w:themeColor="text1"/>
              </w:rPr>
              <w:t>79.40%</w:t>
            </w:r>
          </w:p>
        </w:tc>
        <w:tc>
          <w:tcPr>
            <w:tcW w:w="916" w:type="pct"/>
          </w:tcPr>
          <w:p w14:paraId="4404EA0E" w14:textId="45986E0D" w:rsidR="009E2382" w:rsidRPr="00ED172B" w:rsidRDefault="009E2382" w:rsidP="0012497F">
            <w:pPr>
              <w:jc w:val="center"/>
              <w:rPr>
                <w:color w:val="000000" w:themeColor="text1"/>
              </w:rPr>
            </w:pPr>
            <w:r>
              <w:rPr>
                <w:color w:val="000000" w:themeColor="text1"/>
              </w:rPr>
              <w:t>81.05%</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76.00%</w:t>
            </w:r>
          </w:p>
        </w:tc>
        <w:tc>
          <w:tcPr>
            <w:tcW w:w="918" w:type="pct"/>
          </w:tcPr>
          <w:p w14:paraId="58EBEEB4" w14:textId="68AFCCA1" w:rsidR="009E2382" w:rsidRPr="00ED172B" w:rsidRDefault="009E2382" w:rsidP="0012497F">
            <w:pPr>
              <w:jc w:val="center"/>
              <w:rPr>
                <w:color w:val="000000" w:themeColor="text1"/>
              </w:rPr>
            </w:pPr>
            <w:r>
              <w:rPr>
                <w:color w:val="000000" w:themeColor="text1"/>
              </w:rPr>
              <w:t>76.20%</w:t>
            </w:r>
          </w:p>
        </w:tc>
        <w:tc>
          <w:tcPr>
            <w:tcW w:w="918" w:type="pct"/>
          </w:tcPr>
          <w:p w14:paraId="6E31560A" w14:textId="75F80FC4" w:rsidR="009E2382" w:rsidRPr="00ED172B" w:rsidRDefault="009E2382" w:rsidP="0012497F">
            <w:pPr>
              <w:jc w:val="center"/>
              <w:rPr>
                <w:color w:val="000000" w:themeColor="text1"/>
              </w:rPr>
            </w:pPr>
            <w:r>
              <w:rPr>
                <w:color w:val="000000" w:themeColor="text1"/>
              </w:rPr>
              <w:t>76.40%</w:t>
            </w:r>
          </w:p>
        </w:tc>
        <w:tc>
          <w:tcPr>
            <w:tcW w:w="917" w:type="pct"/>
          </w:tcPr>
          <w:p w14:paraId="42F0DDB0" w14:textId="671196CD" w:rsidR="009E2382" w:rsidRPr="00ED172B" w:rsidRDefault="009E2382" w:rsidP="0012497F">
            <w:pPr>
              <w:jc w:val="center"/>
              <w:rPr>
                <w:color w:val="000000" w:themeColor="text1"/>
              </w:rPr>
            </w:pPr>
            <w:r>
              <w:rPr>
                <w:color w:val="000000" w:themeColor="text1"/>
              </w:rPr>
              <w:t>76.50%</w:t>
            </w:r>
          </w:p>
        </w:tc>
        <w:tc>
          <w:tcPr>
            <w:tcW w:w="916" w:type="pct"/>
          </w:tcPr>
          <w:p w14:paraId="2D756F12" w14:textId="626F7751" w:rsidR="009E2382" w:rsidRPr="00ED172B" w:rsidRDefault="009E2382" w:rsidP="0012497F">
            <w:pPr>
              <w:jc w:val="center"/>
              <w:rPr>
                <w:color w:val="000000" w:themeColor="text1"/>
              </w:rPr>
            </w:pPr>
            <w:r>
              <w:rPr>
                <w:color w:val="000000" w:themeColor="text1"/>
              </w:rPr>
              <w:t>76.70%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710</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7</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0.99%</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86</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12.11%</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127</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17.89%</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340</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47.89%</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150</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21.13%</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467</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560</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87.57%</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83.43%</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83.39%</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490</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710</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73.82%</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71.00%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69.01%</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 xml:space="preserve">The </w:t>
      </w:r>
      <w:proofErr w:type="gramStart"/>
      <w:r w:rsidRPr="00ED172B">
        <w:rPr>
          <w:color w:val="000000" w:themeColor="text1"/>
        </w:rPr>
        <w:t>District</w:t>
      </w:r>
      <w:proofErr w:type="gramEnd"/>
      <w:r w:rsidRPr="00ED172B">
        <w:rPr>
          <w:color w:val="000000" w:themeColor="text1"/>
        </w:rPr>
        <w:t xml:space="preserve"> utilizes the Assessment, Evaluation and Programming System for Infants and Children (</w:t>
      </w:r>
      <w:proofErr w:type="spellStart"/>
      <w:r w:rsidRPr="00ED172B">
        <w:rPr>
          <w:color w:val="000000" w:themeColor="text1"/>
        </w:rPr>
        <w:t>AEPSi</w:t>
      </w:r>
      <w:proofErr w:type="spellEnd"/>
      <w:r w:rsidRPr="00ED172B">
        <w:rPr>
          <w:color w:val="000000" w:themeColor="text1"/>
        </w:rPr>
        <w:t>) to capture the entry and exit data for children participating in early intervention.</w:t>
      </w:r>
      <w:r w:rsidRPr="00ED172B">
        <w:rPr>
          <w:color w:val="000000" w:themeColor="text1"/>
        </w:rPr>
        <w:br/>
      </w:r>
      <w:r w:rsidRPr="00ED172B">
        <w:rPr>
          <w:color w:val="000000" w:themeColor="text1"/>
        </w:rPr>
        <w:br/>
        <w:t>Although it is not expected that the data from year to year to be exactly the same we didn't anticipate that it would drop by 4.18 percentage points. This could be as a result of:</w:t>
      </w:r>
      <w:r w:rsidRPr="00ED172B">
        <w:rPr>
          <w:color w:val="000000" w:themeColor="text1"/>
        </w:rPr>
        <w:br/>
      </w:r>
      <w:r w:rsidRPr="00ED172B">
        <w:rPr>
          <w:color w:val="000000" w:themeColor="text1"/>
        </w:rPr>
        <w:br/>
        <w:t xml:space="preserve">- Every </w:t>
      </w:r>
      <w:proofErr w:type="gramStart"/>
      <w:r w:rsidRPr="00ED172B">
        <w:rPr>
          <w:color w:val="000000" w:themeColor="text1"/>
        </w:rPr>
        <w:t>interventionists</w:t>
      </w:r>
      <w:proofErr w:type="gramEnd"/>
      <w:r w:rsidRPr="00ED172B">
        <w:rPr>
          <w:color w:val="000000" w:themeColor="text1"/>
        </w:rPr>
        <w:t xml:space="preserve"> in the system for more than 9 months are expected to complete the AEPS inter-rater reliability (IRR) certificate. This was included in the contract with the vendor agencies 2 years ago and by now most of the interventionists have completed the IRR. This effort could translate in improved data quality that results in lower scores at entry and exit</w:t>
      </w:r>
      <w:r w:rsidRPr="00ED172B">
        <w:rPr>
          <w:color w:val="000000" w:themeColor="text1"/>
        </w:rPr>
        <w:br/>
        <w:t xml:space="preserve">- The pandemic. Many of the children that are now exiting the program were either born or spent most of their EI time during the pandemic and their development was affected by the lack of access to peers and well as the ongoing stress that families faced during this time. </w:t>
      </w:r>
      <w:r w:rsidRPr="00ED172B">
        <w:rPr>
          <w:color w:val="000000" w:themeColor="text1"/>
        </w:rPr>
        <w:br/>
        <w:t>- OSSE has implemented all components of the Natural Learning Environment Practices (NLEP) framework, which is the evidence-based approach selected for DC's SSIP. OSSE is now moving to evaluate the fidelity of the implementation and expects that as the program moves to fidelity that outcomes of children will also improve as expected for this evidence-based approach.</w:t>
      </w:r>
    </w:p>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 xml:space="preserve">The </w:t>
      </w:r>
      <w:proofErr w:type="gramStart"/>
      <w:r w:rsidRPr="00ED172B">
        <w:rPr>
          <w:color w:val="000000" w:themeColor="text1"/>
        </w:rPr>
        <w:t>District</w:t>
      </w:r>
      <w:proofErr w:type="gramEnd"/>
      <w:r w:rsidRPr="00ED172B">
        <w:rPr>
          <w:color w:val="000000" w:themeColor="text1"/>
        </w:rPr>
        <w:t xml:space="preserve"> utilizes the Assessment, Evaluation and Programming System for Infants and Children (</w:t>
      </w:r>
      <w:proofErr w:type="spellStart"/>
      <w:r w:rsidRPr="00ED172B">
        <w:rPr>
          <w:color w:val="000000" w:themeColor="text1"/>
        </w:rPr>
        <w:t>AEPSi</w:t>
      </w:r>
      <w:proofErr w:type="spellEnd"/>
      <w:r w:rsidRPr="00ED172B">
        <w:rPr>
          <w:color w:val="000000" w:themeColor="text1"/>
        </w:rPr>
        <w:t>) to capture the entry and exit data for children participating in early intervention.</w:t>
      </w:r>
      <w:r w:rsidRPr="00ED172B">
        <w:rPr>
          <w:color w:val="000000" w:themeColor="text1"/>
        </w:rPr>
        <w:br/>
      </w:r>
      <w:r w:rsidRPr="00ED172B">
        <w:rPr>
          <w:color w:val="000000" w:themeColor="text1"/>
        </w:rPr>
        <w:br/>
        <w:t>Although it is not expected that the data from year to year to be exactly the same we didn't anticipate that it would drop by 4 .81 percentage points. This could be as a result of:</w:t>
      </w:r>
      <w:r w:rsidRPr="00ED172B">
        <w:rPr>
          <w:color w:val="000000" w:themeColor="text1"/>
        </w:rPr>
        <w:br/>
      </w:r>
      <w:r w:rsidRPr="00ED172B">
        <w:rPr>
          <w:color w:val="000000" w:themeColor="text1"/>
        </w:rPr>
        <w:br/>
        <w:t xml:space="preserve">- Every </w:t>
      </w:r>
      <w:proofErr w:type="gramStart"/>
      <w:r w:rsidRPr="00ED172B">
        <w:rPr>
          <w:color w:val="000000" w:themeColor="text1"/>
        </w:rPr>
        <w:t>interventionists</w:t>
      </w:r>
      <w:proofErr w:type="gramEnd"/>
      <w:r w:rsidRPr="00ED172B">
        <w:rPr>
          <w:color w:val="000000" w:themeColor="text1"/>
        </w:rPr>
        <w:t xml:space="preserve"> in the system for more than 9 months are expected to complete the AEPS inter-rater reliability (IRR) certificate. This was included in the contract with the vendor agencies 2 years ago and by now most of the interventionists have completed the IRR. This effort could translate in improved data quality that results in lower scores at entry and exit</w:t>
      </w:r>
      <w:r w:rsidRPr="00ED172B">
        <w:rPr>
          <w:color w:val="000000" w:themeColor="text1"/>
        </w:rPr>
        <w:br/>
        <w:t xml:space="preserve">- The pandemic. Many of the children that are now exiting the program were either born or spent most of their EI time during the pandemic and their </w:t>
      </w:r>
      <w:r w:rsidRPr="00ED172B">
        <w:rPr>
          <w:color w:val="000000" w:themeColor="text1"/>
        </w:rPr>
        <w:lastRenderedPageBreak/>
        <w:t xml:space="preserve">development was affected by the lack of access to peers and well as the ongoing stress that families faced during this time. </w:t>
      </w:r>
      <w:r w:rsidRPr="00ED172B">
        <w:rPr>
          <w:color w:val="000000" w:themeColor="text1"/>
        </w:rPr>
        <w:br/>
        <w:t>- OSSE has implemented all components of the Natural Learning Environment Practices (NLEP) framework, which is the evidence-based approach selected for DC's SSIP. OSSE is now moving to evaluate the fidelity of the implementation and expects that as the program moves to fidelity that outcomes of children will also improve as expected for this evidence-based approach.</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10</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1.41%</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213</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30.00%</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85</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11.97%</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310</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43.66%</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92</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12.96%</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395</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618</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67.50%</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68.10%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63.92%</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402</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710</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58.73%</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54.00%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56.62%</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 xml:space="preserve">The </w:t>
      </w:r>
      <w:proofErr w:type="gramStart"/>
      <w:r w:rsidRPr="00ED172B">
        <w:rPr>
          <w:color w:val="000000" w:themeColor="text1"/>
        </w:rPr>
        <w:t>District</w:t>
      </w:r>
      <w:proofErr w:type="gramEnd"/>
      <w:r w:rsidRPr="00ED172B">
        <w:rPr>
          <w:color w:val="000000" w:themeColor="text1"/>
        </w:rPr>
        <w:t xml:space="preserve"> utilizes the Assessment, Evaluation and Programming System for Infants and Children (</w:t>
      </w:r>
      <w:proofErr w:type="spellStart"/>
      <w:r w:rsidRPr="00ED172B">
        <w:rPr>
          <w:color w:val="000000" w:themeColor="text1"/>
        </w:rPr>
        <w:t>AEPSi</w:t>
      </w:r>
      <w:proofErr w:type="spellEnd"/>
      <w:r w:rsidRPr="00ED172B">
        <w:rPr>
          <w:color w:val="000000" w:themeColor="text1"/>
        </w:rPr>
        <w:t>) to capture the entry and exit data for children participating in early intervention.</w:t>
      </w:r>
      <w:r w:rsidRPr="00ED172B">
        <w:rPr>
          <w:color w:val="000000" w:themeColor="text1"/>
        </w:rPr>
        <w:br/>
      </w:r>
      <w:r w:rsidRPr="00ED172B">
        <w:rPr>
          <w:color w:val="000000" w:themeColor="text1"/>
        </w:rPr>
        <w:br/>
        <w:t>Although it is not expected that the data from year to year to be exactly the same we didn't anticipate that it would drop by 3.58 percentage points. This could be as a result of:</w:t>
      </w:r>
      <w:r w:rsidRPr="00ED172B">
        <w:rPr>
          <w:color w:val="000000" w:themeColor="text1"/>
        </w:rPr>
        <w:br/>
      </w:r>
      <w:r w:rsidRPr="00ED172B">
        <w:rPr>
          <w:color w:val="000000" w:themeColor="text1"/>
        </w:rPr>
        <w:br/>
        <w:t xml:space="preserve">- Every </w:t>
      </w:r>
      <w:proofErr w:type="gramStart"/>
      <w:r w:rsidRPr="00ED172B">
        <w:rPr>
          <w:color w:val="000000" w:themeColor="text1"/>
        </w:rPr>
        <w:t>interventionists</w:t>
      </w:r>
      <w:proofErr w:type="gramEnd"/>
      <w:r w:rsidRPr="00ED172B">
        <w:rPr>
          <w:color w:val="000000" w:themeColor="text1"/>
        </w:rPr>
        <w:t xml:space="preserve"> in the system for more than 9 months are expected to complete the AEPS inter-rater reliability (IRR) certificate. This was included in the contract with the vendor agencies 2 years ago and by now most of the interventionists have completed the IRR. This effort could translate in improved data quality that results in lower scores at entry and exit</w:t>
      </w:r>
      <w:r w:rsidRPr="00ED172B">
        <w:rPr>
          <w:color w:val="000000" w:themeColor="text1"/>
        </w:rPr>
        <w:br/>
        <w:t xml:space="preserve">- The pandemic. Many of the children that are now exiting the program were either born or spent most of their EI time during the pandemic and their development was affected by the lack of access to peers and well as the ongoing stress that families faced during this time. </w:t>
      </w:r>
      <w:r w:rsidRPr="00ED172B">
        <w:rPr>
          <w:color w:val="000000" w:themeColor="text1"/>
        </w:rPr>
        <w:br/>
        <w:t>- OSSE has implemented all components of the Natural Learning Environment Practices (NLEP) framework, which is the evidence-based approach selected for DC's SSIP. OSSE is now moving to evaluate the fidelity of the implementation and expects that as the program moves to fidelity that outcomes of children will also improve as expected for this evidence-based approach.</w:t>
      </w:r>
    </w:p>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6</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0.85%</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105</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14.79%</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69</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9.72%</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306</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43.10%</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224</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31.55%</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lastRenderedPageBreak/>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375</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486</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84.34%</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76.40%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77.16%</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530</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710</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80.62%</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76.00%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74.65%</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 xml:space="preserve">The </w:t>
      </w:r>
      <w:proofErr w:type="gramStart"/>
      <w:r w:rsidRPr="00ED172B">
        <w:rPr>
          <w:color w:val="000000" w:themeColor="text1"/>
        </w:rPr>
        <w:t>District</w:t>
      </w:r>
      <w:proofErr w:type="gramEnd"/>
      <w:r w:rsidRPr="00ED172B">
        <w:rPr>
          <w:color w:val="000000" w:themeColor="text1"/>
        </w:rPr>
        <w:t xml:space="preserve"> utilizes the Assessment, Evaluation and Programming System for Infants and Children (</w:t>
      </w:r>
      <w:proofErr w:type="spellStart"/>
      <w:r w:rsidRPr="00ED172B">
        <w:rPr>
          <w:color w:val="000000" w:themeColor="text1"/>
        </w:rPr>
        <w:t>AEPSi</w:t>
      </w:r>
      <w:proofErr w:type="spellEnd"/>
      <w:r w:rsidRPr="00ED172B">
        <w:rPr>
          <w:color w:val="000000" w:themeColor="text1"/>
        </w:rPr>
        <w:t>) to capture the entry and exit data for children participating in early intervention.</w:t>
      </w:r>
      <w:r w:rsidRPr="00ED172B">
        <w:rPr>
          <w:color w:val="000000" w:themeColor="text1"/>
        </w:rPr>
        <w:br/>
      </w:r>
      <w:r w:rsidRPr="00ED172B">
        <w:rPr>
          <w:color w:val="000000" w:themeColor="text1"/>
        </w:rPr>
        <w:br/>
        <w:t>Although it is not expected that the data from year to year to be exactly the same we didn't anticipate that it would drop by 5.97 percentage points. This could be as a result of:</w:t>
      </w:r>
      <w:r w:rsidRPr="00ED172B">
        <w:rPr>
          <w:color w:val="000000" w:themeColor="text1"/>
        </w:rPr>
        <w:br/>
      </w:r>
      <w:r w:rsidRPr="00ED172B">
        <w:rPr>
          <w:color w:val="000000" w:themeColor="text1"/>
        </w:rPr>
        <w:br/>
        <w:t xml:space="preserve">- Every </w:t>
      </w:r>
      <w:proofErr w:type="gramStart"/>
      <w:r w:rsidRPr="00ED172B">
        <w:rPr>
          <w:color w:val="000000" w:themeColor="text1"/>
        </w:rPr>
        <w:t>interventionists</w:t>
      </w:r>
      <w:proofErr w:type="gramEnd"/>
      <w:r w:rsidRPr="00ED172B">
        <w:rPr>
          <w:color w:val="000000" w:themeColor="text1"/>
        </w:rPr>
        <w:t xml:space="preserve"> in the system for more than 9 months are expected to complete the AEPS inter-rater reliability (IRR) certificate. This was included in the contract with the vendor agencies 2 years ago and by now most of the interventionists have completed the IRR. This effort could translate in improved data quality that results in lower scores at entry and exit</w:t>
      </w:r>
      <w:r w:rsidRPr="00ED172B">
        <w:rPr>
          <w:color w:val="000000" w:themeColor="text1"/>
        </w:rPr>
        <w:br/>
        <w:t xml:space="preserve">- The pandemic. Many of the children that are now exiting the program were either born or spent most of their EI time during the pandemic and their development was affected by the lack of access to peers and well as the ongoing stress that families faced during this time. </w:t>
      </w:r>
      <w:r w:rsidRPr="00ED172B">
        <w:rPr>
          <w:color w:val="000000" w:themeColor="text1"/>
        </w:rPr>
        <w:br/>
        <w:t>- OSSE has implemented all components of the Natural Learning Environment Practices (NLEP) framework, which is the evidence-based approach selected for DC's SSIP. OSSE is now moving to evaluate the fidelity of the implementation and expects that as the program moves to fidelity that outcomes of children will also improve as expected for this evidence-based approach.</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1,118</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315</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 xml:space="preserve">The </w:t>
      </w:r>
      <w:proofErr w:type="gramStart"/>
      <w:r w:rsidRPr="00ED172B">
        <w:rPr>
          <w:rFonts w:cs="Arial"/>
          <w:color w:val="000000" w:themeColor="text1"/>
          <w:szCs w:val="16"/>
        </w:rPr>
        <w:t>District</w:t>
      </w:r>
      <w:proofErr w:type="gramEnd"/>
      <w:r w:rsidRPr="00ED172B">
        <w:rPr>
          <w:rFonts w:cs="Arial"/>
          <w:color w:val="000000" w:themeColor="text1"/>
          <w:szCs w:val="16"/>
        </w:rPr>
        <w:t xml:space="preserve"> utilized the Assessment, Evaluation and Programming System for Infants and Children interactive (</w:t>
      </w:r>
      <w:proofErr w:type="spellStart"/>
      <w:r w:rsidRPr="00ED172B">
        <w:rPr>
          <w:rFonts w:cs="Arial"/>
          <w:color w:val="000000" w:themeColor="text1"/>
          <w:szCs w:val="16"/>
        </w:rPr>
        <w:t>AEPSi</w:t>
      </w:r>
      <w:proofErr w:type="spellEnd"/>
      <w:r w:rsidRPr="00ED172B">
        <w:rPr>
          <w:rFonts w:cs="Arial"/>
          <w:color w:val="000000" w:themeColor="text1"/>
          <w:szCs w:val="16"/>
        </w:rPr>
        <w:t xml:space="preserve">) to capture the entry and exit data for children participating in early intervention. The </w:t>
      </w:r>
      <w:proofErr w:type="spellStart"/>
      <w:r w:rsidRPr="00ED172B">
        <w:rPr>
          <w:rFonts w:cs="Arial"/>
          <w:color w:val="000000" w:themeColor="text1"/>
          <w:szCs w:val="16"/>
        </w:rPr>
        <w:t>AEPSi</w:t>
      </w:r>
      <w:proofErr w:type="spellEnd"/>
      <w:r w:rsidRPr="00ED172B">
        <w:rPr>
          <w:rFonts w:cs="Arial"/>
          <w:color w:val="000000" w:themeColor="text1"/>
          <w:szCs w:val="16"/>
        </w:rPr>
        <w:t xml:space="preserve"> is a curriculum-based assessment used to determine progress towards developmental and IFSP goals. The system is designed to provide OSEP child outcomes information based on a child's progress. </w:t>
      </w:r>
      <w:proofErr w:type="spellStart"/>
      <w:r w:rsidRPr="00ED172B">
        <w:rPr>
          <w:rFonts w:cs="Arial"/>
          <w:color w:val="000000" w:themeColor="text1"/>
          <w:szCs w:val="16"/>
        </w:rPr>
        <w:t>AEPSi</w:t>
      </w:r>
      <w:proofErr w:type="spellEnd"/>
      <w:r w:rsidRPr="00ED172B">
        <w:rPr>
          <w:rFonts w:cs="Arial"/>
          <w:color w:val="000000" w:themeColor="text1"/>
          <w:szCs w:val="16"/>
        </w:rPr>
        <w:t xml:space="preserve"> uses empirically derived cutoff scores to determine if a child is typically developing or has a delay. If a child's </w:t>
      </w:r>
      <w:proofErr w:type="spellStart"/>
      <w:r w:rsidRPr="00ED172B">
        <w:rPr>
          <w:rFonts w:cs="Arial"/>
          <w:color w:val="000000" w:themeColor="text1"/>
          <w:szCs w:val="16"/>
        </w:rPr>
        <w:t>AEPSi</w:t>
      </w:r>
      <w:proofErr w:type="spellEnd"/>
      <w:r w:rsidRPr="00ED172B">
        <w:rPr>
          <w:rFonts w:cs="Arial"/>
          <w:color w:val="000000" w:themeColor="text1"/>
          <w:szCs w:val="16"/>
        </w:rPr>
        <w:t xml:space="preserve"> score is above the cutoff, the child is determined as not having delayed development and is performing at the level of same-age peers. </w:t>
      </w:r>
      <w:proofErr w:type="spellStart"/>
      <w:r w:rsidRPr="00ED172B">
        <w:rPr>
          <w:rFonts w:cs="Arial"/>
          <w:color w:val="000000" w:themeColor="text1"/>
          <w:szCs w:val="16"/>
        </w:rPr>
        <w:t>AEPSi</w:t>
      </w:r>
      <w:proofErr w:type="spellEnd"/>
      <w:r w:rsidRPr="00ED172B">
        <w:rPr>
          <w:rFonts w:cs="Arial"/>
          <w:color w:val="000000" w:themeColor="text1"/>
          <w:szCs w:val="16"/>
        </w:rPr>
        <w:t xml:space="preserve"> was aligned with OSEP Indicator #3 in the fall of 2005, and the crosswalk was validated in Jan. 2006. The crosswalk was again validated in July 2010 and minor modifications were made. Data analysis conducted with Early Childhood Outcomes (ECO) in 2010 allowed the </w:t>
      </w:r>
      <w:proofErr w:type="spellStart"/>
      <w:r w:rsidRPr="00ED172B">
        <w:rPr>
          <w:rFonts w:cs="Arial"/>
          <w:color w:val="000000" w:themeColor="text1"/>
          <w:szCs w:val="16"/>
        </w:rPr>
        <w:t>AEPSi</w:t>
      </w:r>
      <w:proofErr w:type="spellEnd"/>
      <w:r w:rsidRPr="00ED172B">
        <w:rPr>
          <w:rFonts w:cs="Arial"/>
          <w:color w:val="000000" w:themeColor="text1"/>
          <w:szCs w:val="16"/>
        </w:rPr>
        <w:t xml:space="preserve"> test scores to be empirically aligned with the ECO 7-point Summary Form. This research helps ensure that the ECO Summary Form generated by </w:t>
      </w:r>
      <w:proofErr w:type="spellStart"/>
      <w:r w:rsidRPr="00ED172B">
        <w:rPr>
          <w:rFonts w:cs="Arial"/>
          <w:color w:val="000000" w:themeColor="text1"/>
          <w:szCs w:val="16"/>
        </w:rPr>
        <w:t>AEPSi</w:t>
      </w:r>
      <w:proofErr w:type="spellEnd"/>
      <w:r w:rsidRPr="00ED172B">
        <w:rPr>
          <w:rFonts w:cs="Arial"/>
          <w:color w:val="000000" w:themeColor="text1"/>
          <w:szCs w:val="16"/>
        </w:rPr>
        <w:t xml:space="preserve"> is accurate and </w:t>
      </w:r>
      <w:proofErr w:type="gramStart"/>
      <w:r w:rsidRPr="00ED172B">
        <w:rPr>
          <w:rFonts w:cs="Arial"/>
          <w:color w:val="000000" w:themeColor="text1"/>
          <w:szCs w:val="16"/>
        </w:rPr>
        <w:t>valid</w:t>
      </w:r>
      <w:proofErr w:type="gramEnd"/>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Child outcomes exit data were collected on children for FFY 2021. The following process was used to complete data collection and analysis for child outcome determinations: </w:t>
      </w:r>
      <w:r w:rsidRPr="00ED172B">
        <w:rPr>
          <w:rFonts w:cs="Arial"/>
          <w:color w:val="000000" w:themeColor="text1"/>
          <w:szCs w:val="16"/>
        </w:rPr>
        <w:br/>
        <w:t xml:space="preserve">The District utilized the scores that were collected for children through the </w:t>
      </w:r>
      <w:proofErr w:type="spellStart"/>
      <w:r w:rsidRPr="00ED172B">
        <w:rPr>
          <w:rFonts w:cs="Arial"/>
          <w:color w:val="000000" w:themeColor="text1"/>
          <w:szCs w:val="16"/>
        </w:rPr>
        <w:t>AEPSi</w:t>
      </w:r>
      <w:proofErr w:type="spellEnd"/>
      <w:r w:rsidRPr="00ED172B">
        <w:rPr>
          <w:rFonts w:cs="Arial"/>
          <w:color w:val="000000" w:themeColor="text1"/>
          <w:szCs w:val="16"/>
        </w:rPr>
        <w:t xml:space="preserve">, which calculates the OSEP categories. Data were collected only if infants and toddlers received early intervention services for six months or longer. The entry </w:t>
      </w:r>
      <w:proofErr w:type="spellStart"/>
      <w:r w:rsidRPr="00ED172B">
        <w:rPr>
          <w:rFonts w:cs="Arial"/>
          <w:color w:val="000000" w:themeColor="text1"/>
          <w:szCs w:val="16"/>
        </w:rPr>
        <w:t>AEPSi</w:t>
      </w:r>
      <w:proofErr w:type="spellEnd"/>
      <w:r w:rsidRPr="00ED172B">
        <w:rPr>
          <w:rFonts w:cs="Arial"/>
          <w:color w:val="000000" w:themeColor="text1"/>
          <w:szCs w:val="16"/>
        </w:rPr>
        <w:t xml:space="preserve"> is completed by the initial evaluation provider and the exit </w:t>
      </w:r>
      <w:proofErr w:type="spellStart"/>
      <w:r w:rsidRPr="00ED172B">
        <w:rPr>
          <w:rFonts w:cs="Arial"/>
          <w:color w:val="000000" w:themeColor="text1"/>
          <w:szCs w:val="16"/>
        </w:rPr>
        <w:t>AEPSi</w:t>
      </w:r>
      <w:proofErr w:type="spellEnd"/>
      <w:r w:rsidRPr="00ED172B">
        <w:rPr>
          <w:rFonts w:cs="Arial"/>
          <w:color w:val="000000" w:themeColor="text1"/>
          <w:szCs w:val="16"/>
        </w:rPr>
        <w:t xml:space="preserve"> is completed by the child's provider no more than 60 days prior to the child's exit from the program. The initial evaluation and assessment teams administer the entry assessment with the family. One of the interventionists and the family administer the assessment every six months thereafter. Both the interventionist and the service coordinator discuss with the family the importance of the exit assessment. Prior written notice for the assessment is provided to the family in advance of the assessment. The family signs consent for the assessment and the family participates during the assessment. The service coordinator also provides the family with a copy of their “Child Progress Record”, which is a visual record of the child's accomplishments, current targets and future goals/objects. This comparative report can also visually depict the growth in development through changes in coloring/shading on the report, a darker shade for the entry data and a lighter shade showing the growth and forward movement documented by the exit assessment.</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OSSE is planning to engage with both ECTA and </w:t>
      </w:r>
      <w:proofErr w:type="spellStart"/>
      <w:r w:rsidRPr="00ED172B">
        <w:rPr>
          <w:rFonts w:cs="Arial"/>
          <w:color w:val="000000" w:themeColor="text1"/>
          <w:szCs w:val="16"/>
        </w:rPr>
        <w:t>DaSy</w:t>
      </w:r>
      <w:proofErr w:type="spellEnd"/>
      <w:r w:rsidRPr="00ED172B">
        <w:rPr>
          <w:rFonts w:cs="Arial"/>
          <w:color w:val="000000" w:themeColor="text1"/>
          <w:szCs w:val="16"/>
        </w:rPr>
        <w:t xml:space="preserve"> TA centers to analyze the data further, explore the reasons for slippage and determine possible improvement activities including opportunities to provide support to vendor agencies and early interventionists. </w:t>
      </w:r>
    </w:p>
    <w:p w14:paraId="2F0F2ABA" w14:textId="15FC50CD" w:rsidR="00DC0682" w:rsidRPr="00A40EE1" w:rsidRDefault="000D0117" w:rsidP="005C3FFD">
      <w:pPr>
        <w:pStyle w:val="Heading2"/>
      </w:pPr>
      <w:r w:rsidRPr="00A40EE1">
        <w:lastRenderedPageBreak/>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92.90%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93.10%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88.00%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97.09%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97.25%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97.92%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94.09%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85.96%</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88.30%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88.40%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88.50%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97.09%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97.75%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96.67%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94.25%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89.55%</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83.30%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83.40%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83.50%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78.00%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95.75%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97.75%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99.58%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97.04%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88.62%</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93.20%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93.40%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93.60%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93.80%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94.00%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93.20%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93.40%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93.60%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93.80%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94.00%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95.00%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95.20%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95.50%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95.70%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96.00%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Targets were set in Jan. of 2022 and all stakeholder input was described in FFY20 APR. After presenting and discussing the data for the FFY21 during the meeting in Jan. 2023, the ICC made no recommendations on modifying the targets at this time.  The main mechanisms used to solicit input were via ICC and SECDCC meetings, monthly Strong Start contracted agencies, quarterly meetings with Medicaid agency and guidelines developed. </w:t>
      </w:r>
      <w:r w:rsidRPr="00ED172B">
        <w:rPr>
          <w:color w:val="000000" w:themeColor="text1"/>
        </w:rPr>
        <w:br/>
      </w:r>
      <w:r w:rsidRPr="00ED172B">
        <w:rPr>
          <w:color w:val="000000" w:themeColor="text1"/>
        </w:rPr>
        <w:br/>
        <w:t xml:space="preserve">OSSE ensures that stakeholders and the public are constantly engaged in Strong Start activities through regular meetings of the Interagency Coordinating Council (ICC), the State Early Childhood Development Coordinating Council (SECDCC) monthly meetings with providers and partner agencies and regular communications to stakeholders. These opportunities create continuous feedback loops that allow for continuous improvement with stakeholder input. During provider meetings procedural and operational changes are discussed and agreed upon. Documentation and any data system questions are addressed and suggested improvements are offered. During FFY 21, OSSE met regularly with the ICC and DC EIP to discuss ongoing performance. </w:t>
      </w:r>
      <w:r w:rsidRPr="00ED172B">
        <w:rPr>
          <w:color w:val="000000" w:themeColor="text1"/>
        </w:rPr>
        <w:br/>
      </w:r>
      <w:r w:rsidRPr="00ED172B">
        <w:rPr>
          <w:color w:val="000000" w:themeColor="text1"/>
        </w:rPr>
        <w:br/>
        <w:t xml:space="preserve">At the ICC meeting in January 2023, the members reviewed results from FFY21 (7/1/21-6/30/22) for each indicator, asked questions and provided feedback included in this Annual Performance Report (APR). National technical assistance (TA) centers staff, including </w:t>
      </w:r>
      <w:proofErr w:type="spellStart"/>
      <w:r w:rsidRPr="00ED172B">
        <w:rPr>
          <w:color w:val="000000" w:themeColor="text1"/>
        </w:rPr>
        <w:t>DaSy</w:t>
      </w:r>
      <w:proofErr w:type="spellEnd"/>
      <w:r w:rsidRPr="00ED172B">
        <w:rPr>
          <w:color w:val="000000" w:themeColor="text1"/>
        </w:rPr>
        <w:t xml:space="preserve"> and the ECTA Center, reviewed and provided helpful guidance in the development of this APR. The APR was also sent directly to ICC chairperson who reviewed the file in detail, asked questions, and suggested edits. Leadership from OSSE also reviewed the APR and made suggestions. The ICC chairperson approved the final edits so that this Annual Performance Report (APR) fulfills the State Interagency Coordinating Council's obligations to report to the U.S. Department of Education for FFY21. New targets for the results indicators were developed in FFY 2020 for FFY21-25 by the different workgroups with participants from various stakeholders. The targets were reviewed and approved by the ICC and subsequently submitted and approved by OSEP. No changes are being recommended at this time by the ICC.</w:t>
      </w:r>
      <w:r w:rsidRPr="00ED172B">
        <w:rPr>
          <w:color w:val="000000" w:themeColor="text1"/>
        </w:rPr>
        <w:br/>
      </w:r>
      <w:r w:rsidRPr="00ED172B">
        <w:rPr>
          <w:color w:val="000000" w:themeColor="text1"/>
        </w:rPr>
        <w:br/>
        <w:t xml:space="preserve">Throughout the FFY21, OSSE and Strong Start has met with the ICC quarterly, the contracted vendor agencies monthly, the Strong Start team quarterly, the SECDCC quarterly, the Department of Health Care Finance monthly and the Managed Care Organizations (MCO) quarterly to review and solicit feedback on the performance of the program, the Theory of Action, accomplishments, and the Evaluation and Activities Plan for Part C in the District of Columbia. </w:t>
      </w:r>
      <w:r w:rsidRPr="00ED172B">
        <w:rPr>
          <w:color w:val="000000" w:themeColor="text1"/>
        </w:rPr>
        <w:br/>
      </w:r>
      <w:r w:rsidRPr="00ED172B">
        <w:rPr>
          <w:color w:val="000000" w:themeColor="text1"/>
        </w:rPr>
        <w:br/>
        <w:t xml:space="preserve">The fidelity guidelines and requirements that are Part of the SSIP were developed in February of 2022 and presented to the vendor agencies in March for their review and feedback. The final version was released in April of 2022. </w:t>
      </w:r>
      <w:r w:rsidRPr="00ED172B">
        <w:rPr>
          <w:color w:val="000000" w:themeColor="text1"/>
        </w:rPr>
        <w:br/>
      </w:r>
      <w:r w:rsidRPr="00ED172B">
        <w:rPr>
          <w:color w:val="000000" w:themeColor="text1"/>
        </w:rPr>
        <w:br/>
        <w:t xml:space="preserve">OSSE invited stakeholders who use the Part C data system to participate in two sessions to obtain feedback on the new data system. Participants included a group of managers at the vendor agencies, the transition personnel at Early Stages (the program from DC Public Schools that identifies and address developmental delays and disabilities in children over 3 years old), and a group of case managers from the </w:t>
      </w:r>
      <w:proofErr w:type="gramStart"/>
      <w:r w:rsidRPr="00ED172B">
        <w:rPr>
          <w:color w:val="000000" w:themeColor="text1"/>
        </w:rPr>
        <w:t>MCOs .</w:t>
      </w:r>
      <w:proofErr w:type="gramEnd"/>
      <w:r w:rsidRPr="00ED172B">
        <w:rPr>
          <w:color w:val="000000" w:themeColor="text1"/>
        </w:rPr>
        <w:t xml:space="preserve"> Their input was valuable to understand different improvements needed to incorporate in the new Special Education System (SEDS) being developed.</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2,119</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518</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24.45%</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440</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513</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437</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515</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429</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512</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lastRenderedPageBreak/>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85.96%</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93.20%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85.77%</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89.55%</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93.20%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84.85%</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88.62%</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95.00%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83.79%</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3B0BCC91" w14:textId="637F914F"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291EA9" w:rsidP="00291EA9">
      <w:pPr>
        <w:rPr>
          <w:color w:val="000000" w:themeColor="text1"/>
        </w:rPr>
      </w:pPr>
      <w:r w:rsidRPr="00ED172B">
        <w:rPr>
          <w:color w:val="000000" w:themeColor="text1"/>
        </w:rPr>
        <w:t xml:space="preserve">In FFY 21 OSSE continued its use of an online survey. Slippage continued to </w:t>
      </w:r>
      <w:proofErr w:type="gramStart"/>
      <w:r w:rsidRPr="00ED172B">
        <w:rPr>
          <w:color w:val="000000" w:themeColor="text1"/>
        </w:rPr>
        <w:t>occur</w:t>
      </w:r>
      <w:proofErr w:type="gramEnd"/>
      <w:r w:rsidRPr="00ED172B">
        <w:rPr>
          <w:color w:val="000000" w:themeColor="text1"/>
        </w:rPr>
        <w:t xml:space="preserve"> but more responses were collected this year and the program sent the survey to more families this time. Data reflect that families are still satisfied with services, with responses in the 83-86 percent range. It is important to note that there are 7 responses in the scale:</w:t>
      </w:r>
      <w:r w:rsidRPr="00ED172B">
        <w:rPr>
          <w:color w:val="000000" w:themeColor="text1"/>
        </w:rPr>
        <w:br/>
        <w:t xml:space="preserve">1. EARLY INTERVENTION HAS DONE A POOR JOB </w:t>
      </w:r>
      <w:r w:rsidRPr="00ED172B">
        <w:rPr>
          <w:color w:val="000000" w:themeColor="text1"/>
        </w:rPr>
        <w:br/>
        <w:t xml:space="preserve">2. EARLY INTERVENTION HAS DONE A SOMEWHAT FAIR JOB </w:t>
      </w:r>
      <w:r w:rsidRPr="00ED172B">
        <w:rPr>
          <w:color w:val="000000" w:themeColor="text1"/>
        </w:rPr>
        <w:br/>
        <w:t xml:space="preserve">3. EARLY INTERVENTION HAS DONE A FAIR JOB </w:t>
      </w:r>
      <w:r w:rsidRPr="00ED172B">
        <w:rPr>
          <w:color w:val="000000" w:themeColor="text1"/>
        </w:rPr>
        <w:br/>
        <w:t xml:space="preserve">4. EARLY INTERVENTION HAS DONE A SOMEWHAT GOOD JOB </w:t>
      </w:r>
      <w:r w:rsidRPr="00ED172B">
        <w:rPr>
          <w:color w:val="000000" w:themeColor="text1"/>
        </w:rPr>
        <w:br/>
        <w:t xml:space="preserve">5. EARLY INTERVENTION HAS DONE A GOOD JOB </w:t>
      </w:r>
      <w:r w:rsidRPr="00ED172B">
        <w:rPr>
          <w:color w:val="000000" w:themeColor="text1"/>
        </w:rPr>
        <w:br/>
        <w:t xml:space="preserve">6. EARLY INTERVENTION HAS DONE A SOMEWHAT EXCELLENT JOB </w:t>
      </w:r>
      <w:r w:rsidRPr="00ED172B">
        <w:rPr>
          <w:color w:val="000000" w:themeColor="text1"/>
        </w:rPr>
        <w:br/>
        <w:t xml:space="preserve">7. EARLY INTERVENTION HAS DONE AN EXCELLENT JOB) </w:t>
      </w:r>
      <w:r w:rsidRPr="00ED172B">
        <w:rPr>
          <w:color w:val="000000" w:themeColor="text1"/>
        </w:rPr>
        <w:br/>
      </w:r>
      <w:r w:rsidRPr="00ED172B">
        <w:rPr>
          <w:color w:val="000000" w:themeColor="text1"/>
        </w:rPr>
        <w:br/>
        <w:t>DC EIP considers that the services have helped the family if they mark from 4 and above. For this measure B, only 4.27% considered that DC EIO has done a poor job.</w:t>
      </w:r>
      <w:r w:rsidRPr="00ED172B">
        <w:rPr>
          <w:color w:val="000000" w:themeColor="text1"/>
        </w:rPr>
        <w:br/>
      </w:r>
      <w:r w:rsidRPr="00ED172B">
        <w:rPr>
          <w:color w:val="000000" w:themeColor="text1"/>
        </w:rPr>
        <w:br/>
        <w:t xml:space="preserve">Reasons for the slippage could be due to COVID fatigue, as many of the families that are being served are with children that were born during the </w:t>
      </w:r>
      <w:proofErr w:type="gramStart"/>
      <w:r w:rsidRPr="00ED172B">
        <w:rPr>
          <w:color w:val="000000" w:themeColor="text1"/>
        </w:rPr>
        <w:t>pandemic</w:t>
      </w:r>
      <w:proofErr w:type="gramEnd"/>
      <w:r w:rsidRPr="00ED172B">
        <w:rPr>
          <w:color w:val="000000" w:themeColor="text1"/>
        </w:rPr>
        <w:t xml:space="preserve"> and they might be having other stressors that are affecting the perception of the services that they are receiving. More families than ever have responded to the survey which can also start giving a more objective picture of how they feel about the program. Lastly, the shortage of interventionists in the system and the fact that some families may have received services at a later than expected time can be the cause of selecting a lower rating. DC EIP will continue to monitor and consider some changes in the survey to allow for more feedback from families as to the reasons of dissatisfaction.</w:t>
      </w:r>
    </w:p>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 xml:space="preserve">In FFY 21 OSSE continued its use of an online survey. Slippage continued to </w:t>
      </w:r>
      <w:proofErr w:type="gramStart"/>
      <w:r w:rsidRPr="00ED172B">
        <w:rPr>
          <w:color w:val="000000" w:themeColor="text1"/>
        </w:rPr>
        <w:t>occur</w:t>
      </w:r>
      <w:proofErr w:type="gramEnd"/>
      <w:r w:rsidRPr="00ED172B">
        <w:rPr>
          <w:color w:val="000000" w:themeColor="text1"/>
        </w:rPr>
        <w:t xml:space="preserve"> but more responses were collected this year and the program sent the survey to more families this time. Data reflect that families are still satisfied with services, with responses in the 83-86 percent range. It is important to note that there are 7 responses in the scale:</w:t>
      </w:r>
      <w:r w:rsidRPr="00ED172B">
        <w:rPr>
          <w:color w:val="000000" w:themeColor="text1"/>
        </w:rPr>
        <w:br/>
        <w:t xml:space="preserve">1. EARLY INTERVENTION HAS DONE A POOR JOB </w:t>
      </w:r>
      <w:r w:rsidRPr="00ED172B">
        <w:rPr>
          <w:color w:val="000000" w:themeColor="text1"/>
        </w:rPr>
        <w:br/>
        <w:t xml:space="preserve">2. EARLY INTERVENTION HAS DONE A SOMEWHAT FAIR JOB </w:t>
      </w:r>
      <w:r w:rsidRPr="00ED172B">
        <w:rPr>
          <w:color w:val="000000" w:themeColor="text1"/>
        </w:rPr>
        <w:br/>
        <w:t xml:space="preserve">3. EARLY INTERVENTION HAS DONE A FAIR JOB </w:t>
      </w:r>
      <w:r w:rsidRPr="00ED172B">
        <w:rPr>
          <w:color w:val="000000" w:themeColor="text1"/>
        </w:rPr>
        <w:br/>
        <w:t xml:space="preserve">4. EARLY INTERVENTION HAS DONE A SOMEWHAT GOOD JOB </w:t>
      </w:r>
      <w:r w:rsidRPr="00ED172B">
        <w:rPr>
          <w:color w:val="000000" w:themeColor="text1"/>
        </w:rPr>
        <w:br/>
        <w:t xml:space="preserve">5. EARLY INTERVENTION HAS DONE A GOOD JOB </w:t>
      </w:r>
      <w:r w:rsidRPr="00ED172B">
        <w:rPr>
          <w:color w:val="000000" w:themeColor="text1"/>
        </w:rPr>
        <w:br/>
        <w:t xml:space="preserve">6. EARLY INTERVENTION HAS DONE A SOMEWHAT EXCELLENT JOB </w:t>
      </w:r>
      <w:r w:rsidRPr="00ED172B">
        <w:rPr>
          <w:color w:val="000000" w:themeColor="text1"/>
        </w:rPr>
        <w:br/>
        <w:t xml:space="preserve">7. EARLY INTERVENTION HAS DONE AN EXCELLENT JOB) </w:t>
      </w:r>
      <w:r w:rsidRPr="00ED172B">
        <w:rPr>
          <w:color w:val="000000" w:themeColor="text1"/>
        </w:rPr>
        <w:br/>
      </w:r>
      <w:r w:rsidRPr="00ED172B">
        <w:rPr>
          <w:color w:val="000000" w:themeColor="text1"/>
        </w:rPr>
        <w:br/>
        <w:t>DC EIP considers that the services have helped the family if they mark from 4 and above. For this measure B, only 4.30% considered that DC EIO has done a poor job.</w:t>
      </w:r>
      <w:r w:rsidRPr="00ED172B">
        <w:rPr>
          <w:color w:val="000000" w:themeColor="text1"/>
        </w:rPr>
        <w:br/>
      </w:r>
      <w:r w:rsidRPr="00ED172B">
        <w:rPr>
          <w:color w:val="000000" w:themeColor="text1"/>
        </w:rPr>
        <w:br/>
        <w:t xml:space="preserve">Reasons for the slippage could be due to COVID fatigue, as many of the families that are being served are with children that were born during the </w:t>
      </w:r>
      <w:proofErr w:type="gramStart"/>
      <w:r w:rsidRPr="00ED172B">
        <w:rPr>
          <w:color w:val="000000" w:themeColor="text1"/>
        </w:rPr>
        <w:t>pandemic</w:t>
      </w:r>
      <w:proofErr w:type="gramEnd"/>
      <w:r w:rsidRPr="00ED172B">
        <w:rPr>
          <w:color w:val="000000" w:themeColor="text1"/>
        </w:rPr>
        <w:t xml:space="preserve"> and they might be having other stressors that are affecting the perception of the services that they are receiving. More families than ever have responded to the survey which can also start giving a more objective picture of how they feel about the program. Lastly, the shortage of interventionists in the system and the fact that some families may have received services at a later than expected time can be the cause of selecting a lower rating. DC EIP will continue to monitor and consider some changes in the survey to allow for more feedback from families as to the reasons of dissatisfaction.</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OSSE will continue to work with the technical assistance centers to develop strategies to increase the representativeness of the response data. The following are strategies that OSSE plan to implement in FFY22:</w:t>
      </w:r>
      <w:r w:rsidRPr="00ED172B">
        <w:rPr>
          <w:rFonts w:cs="Arial"/>
          <w:color w:val="000000" w:themeColor="text1"/>
          <w:szCs w:val="16"/>
        </w:rPr>
        <w:br/>
      </w:r>
      <w:r w:rsidRPr="00ED172B">
        <w:rPr>
          <w:rFonts w:cs="Arial"/>
          <w:color w:val="000000" w:themeColor="text1"/>
          <w:szCs w:val="16"/>
        </w:rPr>
        <w:br/>
        <w:t>1. Analyze the option to mail paper copies of the survey and self-stamped envelopes to the groups identified with nonresponse bias</w:t>
      </w:r>
      <w:r w:rsidRPr="00ED172B">
        <w:rPr>
          <w:rFonts w:cs="Arial"/>
          <w:color w:val="000000" w:themeColor="text1"/>
          <w:szCs w:val="16"/>
        </w:rPr>
        <w:br/>
      </w:r>
      <w:r w:rsidRPr="00ED172B">
        <w:rPr>
          <w:rFonts w:cs="Arial"/>
          <w:color w:val="000000" w:themeColor="text1"/>
          <w:szCs w:val="16"/>
        </w:rPr>
        <w:lastRenderedPageBreak/>
        <w:t>2. Continue to work on the message to parents via the Strong Start newsletter and the importance of completing the survey</w:t>
      </w:r>
      <w:r w:rsidRPr="00ED172B">
        <w:rPr>
          <w:rFonts w:cs="Arial"/>
          <w:color w:val="000000" w:themeColor="text1"/>
          <w:szCs w:val="16"/>
        </w:rPr>
        <w:br/>
        <w:t>3. Provide services coordinators with a workshop to understand the purpose of the survey, review the results of the state's data and support them in engaging with all families to attempt to complete the survey</w:t>
      </w:r>
      <w:r w:rsidRPr="00ED172B">
        <w:rPr>
          <w:rFonts w:cs="Arial"/>
          <w:color w:val="000000" w:themeColor="text1"/>
          <w:szCs w:val="16"/>
        </w:rPr>
        <w:br/>
        <w:t xml:space="preserve">4. Send the survey monthly to the parents whose case is closed during that month rather than waiting to do it later and perhaps months after they have left the </w:t>
      </w:r>
      <w:proofErr w:type="gramStart"/>
      <w:r w:rsidRPr="00ED172B">
        <w:rPr>
          <w:rFonts w:cs="Arial"/>
          <w:color w:val="000000" w:themeColor="text1"/>
          <w:szCs w:val="16"/>
        </w:rPr>
        <w:t>program</w:t>
      </w:r>
      <w:proofErr w:type="gramEnd"/>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29.20%</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24.45%</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For FFY20 the survey was distributed to 1,000 families and 292 responses were received. For FFY21, the survey was increased to twice a year and the number of families that received the survey was increased to include all active families as well as cases that were closed during that time. Even though the response rate went down, the number of families that responded increased by 77%. Additionally, the survey was made available in 7 languages. </w:t>
      </w:r>
      <w:r w:rsidRPr="00ED172B">
        <w:rPr>
          <w:rFonts w:cs="Arial"/>
          <w:color w:val="000000" w:themeColor="text1"/>
          <w:szCs w:val="16"/>
        </w:rPr>
        <w:br/>
      </w:r>
      <w:r w:rsidRPr="00ED172B">
        <w:rPr>
          <w:rFonts w:cs="Arial"/>
          <w:color w:val="000000" w:themeColor="text1"/>
          <w:szCs w:val="16"/>
        </w:rPr>
        <w:br/>
        <w:t>For FFY22, the survey will be sent every quarter and language encouraging families to participate in the survey will be included in the Strong Start newsletter. The survey will also be sent monthly to the parents whose case is closed during that month rather than waiting to do it later and perhaps months after they have left the program.</w:t>
      </w:r>
      <w:r w:rsidRPr="00ED172B">
        <w:rPr>
          <w:rFonts w:cs="Arial"/>
          <w:color w:val="000000" w:themeColor="text1"/>
          <w:szCs w:val="16"/>
        </w:rPr>
        <w:br/>
      </w:r>
      <w:r w:rsidRPr="00ED172B">
        <w:rPr>
          <w:rFonts w:cs="Arial"/>
          <w:color w:val="000000" w:themeColor="text1"/>
          <w:szCs w:val="16"/>
        </w:rPr>
        <w:br/>
        <w:t>OSSE also plans to organize a workshop for service coordinators to understand the purpose of the survey, review the results of the state's data and support them in engaging with all families to attempt to complete the survey.</w:t>
      </w:r>
      <w:r w:rsidRPr="00ED172B">
        <w:rPr>
          <w:rFonts w:cs="Arial"/>
          <w:color w:val="000000" w:themeColor="text1"/>
          <w:szCs w:val="16"/>
        </w:rPr>
        <w:br/>
      </w:r>
      <w:r w:rsidRPr="00ED172B">
        <w:rPr>
          <w:rFonts w:cs="Arial"/>
          <w:color w:val="000000" w:themeColor="text1"/>
          <w:szCs w:val="16"/>
        </w:rPr>
        <w:br/>
        <w:t>OSSE will also engage with national TA center to provide helpful support and guidance on how to increase response rate and representation from all groups.</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For FFY21, the survey was increased to twice a year and the number of families that received the survey was increased to include all active families as well as cases that were closed during that time. The state analyzed the response rate by comparing how many surveys were returned versus how many were sent out. The statewide response rate for this year’s family outcomes survey is 24.45%. Even though the response rate went down, the number of families that responded increased by 77%.</w:t>
      </w:r>
      <w:r w:rsidRPr="00ED172B">
        <w:rPr>
          <w:rFonts w:cs="Arial"/>
          <w:color w:val="000000" w:themeColor="text1"/>
          <w:szCs w:val="16"/>
        </w:rPr>
        <w:br/>
      </w:r>
      <w:r w:rsidRPr="00ED172B">
        <w:rPr>
          <w:rFonts w:cs="Arial"/>
          <w:color w:val="000000" w:themeColor="text1"/>
          <w:szCs w:val="16"/>
        </w:rPr>
        <w:br/>
        <w:t xml:space="preserve">Families that identified themselves as having More than one race had the highest response rates (57%), followed by White families (37%), Hispanic families (18%), African American or Black families (17%) and Asian families (13%). White and </w:t>
      </w:r>
      <w:proofErr w:type="gramStart"/>
      <w:r w:rsidRPr="00ED172B">
        <w:rPr>
          <w:rFonts w:cs="Arial"/>
          <w:color w:val="000000" w:themeColor="text1"/>
          <w:szCs w:val="16"/>
        </w:rPr>
        <w:t>More</w:t>
      </w:r>
      <w:proofErr w:type="gramEnd"/>
      <w:r w:rsidRPr="00ED172B">
        <w:rPr>
          <w:rFonts w:cs="Arial"/>
          <w:color w:val="000000" w:themeColor="text1"/>
          <w:szCs w:val="16"/>
        </w:rPr>
        <w:t xml:space="preserve"> than one race family response rates are above the statewide percent while African American or Black, Asian and Hispanic family response rates are below the statewide percent. There is indication of nonresponse bias since African American or Black, Asian and Hispanic family response rates are below the statewide percent.</w:t>
      </w:r>
      <w:r w:rsidRPr="00ED172B">
        <w:rPr>
          <w:rFonts w:cs="Arial"/>
          <w:color w:val="000000" w:themeColor="text1"/>
          <w:szCs w:val="16"/>
        </w:rPr>
        <w:br/>
      </w:r>
      <w:r w:rsidRPr="00ED172B">
        <w:rPr>
          <w:rFonts w:cs="Arial"/>
          <w:color w:val="000000" w:themeColor="text1"/>
          <w:szCs w:val="16"/>
        </w:rPr>
        <w:br/>
        <w:t>The steps OSSE will take to reduce identified bias and promote response from a broad cross section of families include the following:</w:t>
      </w:r>
      <w:r w:rsidRPr="00ED172B">
        <w:rPr>
          <w:rFonts w:cs="Arial"/>
          <w:color w:val="000000" w:themeColor="text1"/>
          <w:szCs w:val="16"/>
        </w:rPr>
        <w:br/>
      </w:r>
      <w:r w:rsidRPr="00ED172B">
        <w:rPr>
          <w:rFonts w:cs="Arial"/>
          <w:color w:val="000000" w:themeColor="text1"/>
          <w:szCs w:val="16"/>
        </w:rPr>
        <w:br/>
        <w:t>1. Analyze the option to mail paper copies of the survey and self-stamped envelopes to the groups identified with nonresponse bias</w:t>
      </w:r>
      <w:r w:rsidRPr="00ED172B">
        <w:rPr>
          <w:rFonts w:cs="Arial"/>
          <w:color w:val="000000" w:themeColor="text1"/>
          <w:szCs w:val="16"/>
        </w:rPr>
        <w:br/>
        <w:t>2. Continue to work on the message to parents via the Strong Start newsletter and the importance of completing the survey</w:t>
      </w:r>
      <w:r w:rsidRPr="00ED172B">
        <w:rPr>
          <w:rFonts w:cs="Arial"/>
          <w:color w:val="000000" w:themeColor="text1"/>
          <w:szCs w:val="16"/>
        </w:rPr>
        <w:br/>
        <w:t xml:space="preserve">3. Provide services coordinators with a workshop to understand the purpose of the survey, review the results of the state's data and support them in engaging with all families to attempt to complete the </w:t>
      </w:r>
      <w:proofErr w:type="gramStart"/>
      <w:r w:rsidRPr="00ED172B">
        <w:rPr>
          <w:rFonts w:cs="Arial"/>
          <w:color w:val="000000" w:themeColor="text1"/>
          <w:szCs w:val="16"/>
        </w:rPr>
        <w:t>survey</w:t>
      </w:r>
      <w:proofErr w:type="gramEnd"/>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Representativeness was analyzed by comparing the percentage of surveys received by race and ethnicity by the percentage of families in the Dec. 1 Child Count by race and ethnicity. The Child Count data shows the following: African American or Black families had the highest percentage in Child Count (48.4%), followed by White (26.4%), Hispanic (14.4%), More than one race families (8.8%), Asian families (1.9%), American Indian or Alaska Native (0.1%), and Native Hawaiian or Pacific Islander (0%).</w:t>
      </w:r>
      <w:r w:rsidRPr="00ED172B">
        <w:rPr>
          <w:rFonts w:cs="Arial"/>
          <w:color w:val="000000" w:themeColor="text1"/>
          <w:szCs w:val="16"/>
        </w:rPr>
        <w:br/>
      </w:r>
      <w:r w:rsidRPr="00ED172B">
        <w:rPr>
          <w:rFonts w:cs="Arial"/>
          <w:color w:val="000000" w:themeColor="text1"/>
          <w:szCs w:val="16"/>
        </w:rPr>
        <w:br/>
        <w:t>African American or Black families had the highest representation in surveys received (35%), followed by White (33%), More than one race (18%), Hispanic families (12%), American Indian or Alaska Native (1%), Asian (1%) and Native Hawaiian or Pacific Islander families (0%). African American or Black families were under-represented and White and More than one race families were over-represented in the surveys that were received. American Indian or Alaska Native, Asian and Hispanic families were represented in the surveys that were received.</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ECTA response rate and representativeness calculator was utilized to determine if the surveys received were representative of the target population. Representativeness was analyzed by examining the number of families enrolled in the Part C program by race and ethnicity (Dec. 1 child count) with the number of families who responded to the survey by race and ethnicity. Representativeness was determined by using a +/-3% threshold. The results show that African American or Black families were under-represented (-13% difference) and White families (6% difference) and </w:t>
      </w:r>
      <w:proofErr w:type="gramStart"/>
      <w:r w:rsidRPr="00ED172B">
        <w:rPr>
          <w:rFonts w:cs="Arial"/>
          <w:color w:val="000000" w:themeColor="text1"/>
          <w:szCs w:val="16"/>
        </w:rPr>
        <w:t>More</w:t>
      </w:r>
      <w:proofErr w:type="gramEnd"/>
      <w:r w:rsidRPr="00ED172B">
        <w:rPr>
          <w:rFonts w:cs="Arial"/>
          <w:color w:val="000000" w:themeColor="text1"/>
          <w:szCs w:val="16"/>
        </w:rPr>
        <w:t xml:space="preserve"> than one race families (9% difference) were over-represented in the surveys that were received. American Indian or Alaska Native families (1% difference), Asian families (-1% difference) and Hispanic families (-2% difference) were represented in the survey.</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DC must report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DC is taking to address this issue. DC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 xml:space="preserve">OSSE has addressed this in the FFY21 </w:t>
      </w:r>
      <w:proofErr w:type="gramStart"/>
      <w:r w:rsidRPr="00ED172B">
        <w:rPr>
          <w:color w:val="000000" w:themeColor="text1"/>
        </w:rPr>
        <w:t>section</w:t>
      </w:r>
      <w:proofErr w:type="gramEnd"/>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2012</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0.55%</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0.75%</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0.85%</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1.25%</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1.50%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1.11%</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1.17%</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1.37%</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1.46%</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1.41%</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1.50%</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1.60%</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1.60%</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1.63%</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1.65%</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Targets were set in Jan. of 2022 and all stakeholder input was described in FFY20 APR. After presenting and discussing the data for the FFY21 during the meeting in Jan. 2023, the ICC made no recommendations on modifying the targets at this time.  The main mechanisms used to solicit input were via ICC and SECDCC meetings, monthly Strong Start contracted agencies, quarterly meetings with Medicaid agency and guidelines developed. </w:t>
      </w:r>
      <w:r w:rsidRPr="00ED172B">
        <w:rPr>
          <w:color w:val="000000" w:themeColor="text1"/>
        </w:rPr>
        <w:br/>
      </w:r>
      <w:r w:rsidRPr="00ED172B">
        <w:rPr>
          <w:color w:val="000000" w:themeColor="text1"/>
        </w:rPr>
        <w:br/>
        <w:t xml:space="preserve">OSSE ensures that stakeholders and the public are constantly engaged in Strong Start activities through regular meetings of the Interagency Coordinating Council (ICC), the State Early Childhood Development Coordinating Council (SECDCC) monthly meetings with providers and partner agencies and regular communications to stakeholders. These opportunities create continuous feedback loops that allow for continuous improvement with stakeholder input. During provider meetings procedural and operational changes are discussed and agreed upon. Documentation and any data system questions are addressed and suggested improvements are offered. During FFY 21, OSSE met regularly with the ICC and DC EIP to discuss ongoing performance. </w:t>
      </w:r>
      <w:r w:rsidRPr="00ED172B">
        <w:rPr>
          <w:color w:val="000000" w:themeColor="text1"/>
        </w:rPr>
        <w:br/>
      </w:r>
      <w:r w:rsidRPr="00ED172B">
        <w:rPr>
          <w:color w:val="000000" w:themeColor="text1"/>
        </w:rPr>
        <w:br/>
        <w:t xml:space="preserve">At the ICC meeting in January 2023, the members reviewed results from FFY21 (7/1/21-6/30/22) for each indicator, asked questions and provided feedback included in this Annual Performance Report (APR). National technical assistance (TA) centers staff, including </w:t>
      </w:r>
      <w:proofErr w:type="spellStart"/>
      <w:r w:rsidRPr="00ED172B">
        <w:rPr>
          <w:color w:val="000000" w:themeColor="text1"/>
        </w:rPr>
        <w:t>DaSy</w:t>
      </w:r>
      <w:proofErr w:type="spellEnd"/>
      <w:r w:rsidRPr="00ED172B">
        <w:rPr>
          <w:color w:val="000000" w:themeColor="text1"/>
        </w:rPr>
        <w:t xml:space="preserve"> and the ECTA Center, reviewed and provided helpful guidance in the development of this APR. The APR was also sent directly to ICC chairperson who reviewed the file in detail, asked questions, and suggested edits. Leadership from OSSE also reviewed the APR and made suggestions. The ICC chairperson approved the final edits so that this Annual Performance Report (APR) fulfills the State Interagency Coordinating Council's obligations to report to the U.S. Department of Education for FFY21. New targets for the results indicators were developed in FFY 2020 for FFY21-25 by the different workgroups with participants from various stakeholders. The targets were reviewed and approved by the ICC and subsequently submitted and approved by OSEP. No changes are being recommended at this time by the ICC.</w:t>
      </w:r>
      <w:r w:rsidRPr="00ED172B">
        <w:rPr>
          <w:color w:val="000000" w:themeColor="text1"/>
        </w:rPr>
        <w:br/>
      </w:r>
      <w:r w:rsidRPr="00ED172B">
        <w:rPr>
          <w:color w:val="000000" w:themeColor="text1"/>
        </w:rPr>
        <w:br/>
        <w:t xml:space="preserve">Throughout the FFY21, OSSE and Strong Start has met with the ICC quarterly, the contracted vendor agencies monthly, the Strong Start team quarterly, the SECDCC quarterly, the Department of Health Care Finance monthly and the Managed Care Organizations (MCO) quarterly to review and solicit feedback on the performance of the program, the Theory of Action, accomplishments, and the Evaluation and Activities Plan for Part C in the District of Columbia. </w:t>
      </w:r>
      <w:r w:rsidRPr="00ED172B">
        <w:rPr>
          <w:color w:val="000000" w:themeColor="text1"/>
        </w:rPr>
        <w:br/>
      </w:r>
      <w:r w:rsidRPr="00ED172B">
        <w:rPr>
          <w:color w:val="000000" w:themeColor="text1"/>
        </w:rPr>
        <w:br/>
        <w:t xml:space="preserve">The fidelity guidelines and requirements that are Part of the SSIP were developed in February of 2022 and presented to the vendor agencies in March for their review and feedback. The final version was released in April of 2022. </w:t>
      </w:r>
      <w:r w:rsidRPr="00ED172B">
        <w:rPr>
          <w:color w:val="000000" w:themeColor="text1"/>
        </w:rPr>
        <w:br/>
      </w:r>
      <w:r w:rsidRPr="00ED172B">
        <w:rPr>
          <w:color w:val="000000" w:themeColor="text1"/>
        </w:rPr>
        <w:br/>
        <w:t xml:space="preserve">OSSE invited stakeholders who use the Part C data system to participate in two sessions to obtain feedback on the new data system. Participants included a group of managers at the vendor agencies, the transition personnel at Early Stages (the program from DC Public Schools that identifies and address developmental delays and disabilities in children over 3 years old), and a group of case managers from the </w:t>
      </w:r>
      <w:proofErr w:type="gramStart"/>
      <w:r w:rsidRPr="00ED172B">
        <w:rPr>
          <w:color w:val="000000" w:themeColor="text1"/>
        </w:rPr>
        <w:t>MCOs .</w:t>
      </w:r>
      <w:proofErr w:type="gramEnd"/>
      <w:r w:rsidRPr="00ED172B">
        <w:rPr>
          <w:color w:val="000000" w:themeColor="text1"/>
        </w:rPr>
        <w:t xml:space="preserve"> Their input was valuable to understand different improvements needed to incorporate in the new Special Education System (SEDS) being developed.</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139</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8,771</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139</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8,771</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1.41%</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1.50%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1.58%</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1.68%</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4.00%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4.50%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5.00%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3.48%</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3.50%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2.97%</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2.92%</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3.72%</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3.52%</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3.67%</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3.60%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4.10%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4.30%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4.40%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4.50%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Targets were set in Jan. of 2022 and all stakeholder input was described in FFY20 APR. After presenting and discussing the data for the FFY21 during the meeting in Jan. 2023, the ICC made no recommendations on modifying the targets at this time.  The main mechanisms used to solicit input were via ICC and SECDCC meetings, monthly Strong Start contracted agencies, quarterly meetings with Medicaid agency and guidelines developed. </w:t>
      </w:r>
      <w:r w:rsidRPr="00ED172B">
        <w:rPr>
          <w:color w:val="000000" w:themeColor="text1"/>
        </w:rPr>
        <w:br/>
      </w:r>
      <w:r w:rsidRPr="00ED172B">
        <w:rPr>
          <w:color w:val="000000" w:themeColor="text1"/>
        </w:rPr>
        <w:br/>
        <w:t xml:space="preserve">OSSE ensures that stakeholders and the public are constantly engaged in Strong Start activities through regular meetings of the Interagency Coordinating Council (ICC), the State Early Childhood Development Coordinating Council (SECDCC) monthly meetings with providers and partner agencies and regular communications to stakeholders. These opportunities create continuous feedback loops that allow for continuous improvement with stakeholder input. During provider meetings procedural and operational changes are discussed and agreed upon. Documentation and any data system questions are addressed and suggested improvements are offered. During FFY 21, OSSE met regularly with the ICC and DC EIP to discuss ongoing performance. </w:t>
      </w:r>
      <w:r w:rsidRPr="00ED172B">
        <w:rPr>
          <w:color w:val="000000" w:themeColor="text1"/>
        </w:rPr>
        <w:br/>
      </w:r>
      <w:r w:rsidRPr="00ED172B">
        <w:rPr>
          <w:color w:val="000000" w:themeColor="text1"/>
        </w:rPr>
        <w:br/>
        <w:t xml:space="preserve">At the ICC meeting in January 2023, the members reviewed results from FFY21 (7/1/21-6/30/22) for each indicator, asked questions and provided feedback included in this Annual Performance Report (APR). National technical assistance (TA) centers staff, including </w:t>
      </w:r>
      <w:proofErr w:type="spellStart"/>
      <w:r w:rsidRPr="00ED172B">
        <w:rPr>
          <w:color w:val="000000" w:themeColor="text1"/>
        </w:rPr>
        <w:t>DaSy</w:t>
      </w:r>
      <w:proofErr w:type="spellEnd"/>
      <w:r w:rsidRPr="00ED172B">
        <w:rPr>
          <w:color w:val="000000" w:themeColor="text1"/>
        </w:rPr>
        <w:t xml:space="preserve"> and the ECTA Center, reviewed and provided helpful guidance in the development of this APR. The APR was also sent directly to ICC chairperson who reviewed the file in detail, asked questions, and suggested edits. Leadership from OSSE also reviewed the APR and made suggestions. The ICC chairperson approved the final edits so that this Annual Performance Report (APR) fulfills the State Interagency Coordinating Council's obligations to report to the U.S. Department of Education for FFY21. New targets for the results indicators were developed in FFY 2020 for FFY21-25 by the different workgroups with participants from various stakeholders. The targets were reviewed and approved by the ICC and subsequently submitted and approved by OSEP. No changes are being recommended at this time by the ICC.</w:t>
      </w:r>
      <w:r w:rsidRPr="00ED172B">
        <w:rPr>
          <w:color w:val="000000" w:themeColor="text1"/>
        </w:rPr>
        <w:br/>
      </w:r>
      <w:r w:rsidRPr="00ED172B">
        <w:rPr>
          <w:color w:val="000000" w:themeColor="text1"/>
        </w:rPr>
        <w:br/>
        <w:t xml:space="preserve">Throughout the FFY21, OSSE and Strong Start has met with the ICC quarterly, the contracted vendor agencies monthly, the Strong Start team quarterly, the SECDCC quarterly, the Department of Health Care Finance monthly and the Managed Care Organizations (MCO) quarterly to review and solicit feedback on the performance of the program, the Theory of Action, accomplishments, and the Evaluation and Activities Plan for Part C in the District of Columbia. </w:t>
      </w:r>
      <w:r w:rsidRPr="00ED172B">
        <w:rPr>
          <w:color w:val="000000" w:themeColor="text1"/>
        </w:rPr>
        <w:br/>
      </w:r>
      <w:r w:rsidRPr="00ED172B">
        <w:rPr>
          <w:color w:val="000000" w:themeColor="text1"/>
        </w:rPr>
        <w:br/>
        <w:t xml:space="preserve">The fidelity guidelines and requirements that are Part of the SSIP were developed in February of 2022 and presented to the vendor agencies in March for their review and feedback. The final version was released in April of 2022. </w:t>
      </w:r>
      <w:r w:rsidRPr="00ED172B">
        <w:rPr>
          <w:color w:val="000000" w:themeColor="text1"/>
        </w:rPr>
        <w:br/>
      </w:r>
      <w:r w:rsidRPr="00ED172B">
        <w:rPr>
          <w:color w:val="000000" w:themeColor="text1"/>
        </w:rPr>
        <w:br/>
        <w:t xml:space="preserve">OSSE invited stakeholders who use the Part C data system to participate in two sessions to obtain feedback on the new data system. Participants included a group of managers at the vendor agencies, the transition personnel at Early Stages (the program from DC Public Schools that identifies and address developmental delays and disabilities in children over 3 years old), and a group of case managers from the </w:t>
      </w:r>
      <w:proofErr w:type="gramStart"/>
      <w:r w:rsidRPr="00ED172B">
        <w:rPr>
          <w:color w:val="000000" w:themeColor="text1"/>
        </w:rPr>
        <w:t>MCOs .</w:t>
      </w:r>
      <w:proofErr w:type="gramEnd"/>
      <w:r w:rsidRPr="00ED172B">
        <w:rPr>
          <w:color w:val="000000" w:themeColor="text1"/>
        </w:rPr>
        <w:t xml:space="preserve"> Their input was valuable to understand different improvements needed to incorporate in the new Special Education System (SEDS) being developed.</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lastRenderedPageBreak/>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1,095</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24,588</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1,095</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24,588</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3.67%</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3.60%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4.45%</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60.00%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90.12%</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94.97%</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98.06%</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95.29%</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97.76%</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225</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353</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97.76%</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96.32%</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The program has had 4 service coordinator vacancies in FY21, as well as several service coordinators on family or medical leave at various points in the year, which affected program capacity, particularly when combined with an increase in the number of referrals of 22% over the previous year. Strong Start is working to fill all vacancies. It is important to note that out of the 9 IFSPs that were late, 4 IFSPs were late by one day and only 2 longer than 10 days. The program also observed an increase on delayed authorizations from Managed Care Organizations (MCOs) that impacted the timeline. In order </w:t>
      </w:r>
      <w:r w:rsidRPr="00ED172B">
        <w:rPr>
          <w:color w:val="000000" w:themeColor="text1"/>
        </w:rPr>
        <w:lastRenderedPageBreak/>
        <w:t>to avoid delays in timely start of services, Strong Start developed a new procedure to authorize the start of services when an MCO is delayed with authorizations.</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115</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The reasons for system delays were: 2 due to evaluation team delay, 9 due to service coordinator delay (late upload of IFSP) and 2 due to MCO delay. Reasons for family delays </w:t>
      </w:r>
      <w:proofErr w:type="gramStart"/>
      <w:r w:rsidRPr="00ED172B">
        <w:rPr>
          <w:color w:val="000000" w:themeColor="text1"/>
          <w:szCs w:val="16"/>
        </w:rPr>
        <w:t>were</w:t>
      </w:r>
      <w:proofErr w:type="gramEnd"/>
      <w:r w:rsidRPr="00ED172B">
        <w:rPr>
          <w:color w:val="000000" w:themeColor="text1"/>
          <w:szCs w:val="16"/>
        </w:rPr>
        <w:t xml:space="preserve"> they were out of town, family’s availability for the evaluation or family didn’t show up for the evaluation, family unresponsive to attempts made by service coordinator to schedule.</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The District of Columbia used 4th quarter from FFY2021 (April 1, 2022- June 30, 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The 4th quarter reporting period April 1, </w:t>
      </w:r>
      <w:proofErr w:type="gramStart"/>
      <w:r w:rsidRPr="00ED172B">
        <w:rPr>
          <w:rFonts w:cs="Arial"/>
          <w:color w:val="000000" w:themeColor="text1"/>
          <w:szCs w:val="16"/>
        </w:rPr>
        <w:t>2022</w:t>
      </w:r>
      <w:proofErr w:type="gramEnd"/>
      <w:r w:rsidRPr="00ED172B">
        <w:rPr>
          <w:rFonts w:cs="Arial"/>
          <w:color w:val="000000" w:themeColor="text1"/>
          <w:szCs w:val="16"/>
        </w:rPr>
        <w:t xml:space="preserve"> through June 30, 2022 is considered representative of the full reporting year because the same variables are in place for this quarter of the fiscal year, which is the same as in all quarters. The District of Columbia Part C program is confident that the chosen reporting period accurately reflects data for infants and toddlers with IFSP's for the entire FFY 2021.</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xml:space="preserve">A </w:t>
      </w:r>
      <w:proofErr w:type="gramStart"/>
      <w:r w:rsidRPr="00ED172B">
        <w:rPr>
          <w:rFonts w:cs="Arial"/>
          <w:color w:val="000000" w:themeColor="text1"/>
          <w:szCs w:val="16"/>
        </w:rPr>
        <w:t>drop down</w:t>
      </w:r>
      <w:proofErr w:type="gramEnd"/>
      <w:r w:rsidRPr="00ED172B">
        <w:rPr>
          <w:rFonts w:cs="Arial"/>
          <w:color w:val="000000" w:themeColor="text1"/>
          <w:szCs w:val="16"/>
        </w:rPr>
        <w:t xml:space="preserve"> menu captures reason for delay such as family delay, evaluation delay, program delay or service coordinator delay. All instances of exceptional family circumstances were reviewed through a record review to verify that documentation was available to support family delay.</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DC reported less than 100% compliance for FFY 2020, DC must report on the status of correction of noncompliance identified in FFY 2020 for this indicator. When reporting on the correction of noncompliance, DC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DC must describe the specific actions that were taken to verify the correction. </w:t>
      </w:r>
      <w:r w:rsidRPr="00ED172B">
        <w:rPr>
          <w:color w:val="000000" w:themeColor="text1"/>
        </w:rPr>
        <w:br/>
      </w:r>
      <w:r w:rsidRPr="00ED172B">
        <w:rPr>
          <w:color w:val="000000" w:themeColor="text1"/>
        </w:rPr>
        <w:br/>
        <w:t>If DC did not identify any findings of noncompliance in FFY 2020, although its FFY 2020 data reflect less than 100% compliance, provide an explanation of why DC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While FFY 20 data reflected less than 100 percent compliance for children with IFSPs for whom an initial evaluation and initial assessment and an initial IFSP meeting were conducted within Part C’s 45-day timeline for the reporting period, no findings were issued because correction according to federal requirements was verified before a finding was issued. Upon record reviews conducted for those children it was verified that correction had occurred prior to issuance of findings. All 7 children with IFSPs for whom an initial evaluation and initial assessment and an initial IFSP meeting were conducted during the reporting period did have an IFSP developed although late and not within the 45-day timeline.</w:t>
      </w:r>
      <w:r w:rsidRPr="00ED172B">
        <w:rPr>
          <w:color w:val="000000" w:themeColor="text1"/>
        </w:rPr>
        <w:br/>
      </w:r>
      <w:r w:rsidRPr="00ED172B">
        <w:rPr>
          <w:color w:val="000000" w:themeColor="text1"/>
        </w:rPr>
        <w:br/>
        <w:t xml:space="preserve">In addition, for prong two of verification, the state did another review of subsequent data of 10% of 107 records from a month sample. A total of 11 records were reviewed which verified that all children in the new sample had an IFSP developed within the </w:t>
      </w:r>
      <w:proofErr w:type="gramStart"/>
      <w:r w:rsidRPr="00ED172B">
        <w:rPr>
          <w:color w:val="000000" w:themeColor="text1"/>
        </w:rPr>
        <w:t>45 day</w:t>
      </w:r>
      <w:proofErr w:type="gramEnd"/>
      <w:r w:rsidRPr="00ED172B">
        <w:rPr>
          <w:color w:val="000000" w:themeColor="text1"/>
        </w:rPr>
        <w:t xml:space="preserve"> timeline. </w:t>
      </w:r>
      <w:proofErr w:type="gramStart"/>
      <w:r w:rsidRPr="00ED172B">
        <w:rPr>
          <w:color w:val="000000" w:themeColor="text1"/>
        </w:rPr>
        <w:t>Therefore</w:t>
      </w:r>
      <w:proofErr w:type="gramEnd"/>
      <w:r w:rsidRPr="00ED172B">
        <w:rPr>
          <w:color w:val="000000" w:themeColor="text1"/>
        </w:rPr>
        <w:t xml:space="preserve"> no finding was issued due to pre-finding correction.</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DC reported that it used data from a database to report on this indicator. DC further reported that it did not use data for the full reporting period (July 1, 2021- June 30, 2022).</w:t>
      </w:r>
      <w:r w:rsidRPr="00ED172B">
        <w:rPr>
          <w:color w:val="000000" w:themeColor="text1"/>
        </w:rPr>
        <w:br/>
        <w:t>DC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w:t>
      </w:r>
      <w:r w:rsidRPr="00ED172B">
        <w:rPr>
          <w:color w:val="000000" w:themeColor="text1"/>
        </w:rPr>
        <w:lastRenderedPageBreak/>
        <w:t>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94.40%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170</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170</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 xml:space="preserve">4th quarter of FFY 2021 April 1, </w:t>
      </w:r>
      <w:proofErr w:type="gramStart"/>
      <w:r w:rsidRPr="00ED172B">
        <w:rPr>
          <w:color w:val="000000" w:themeColor="text1"/>
        </w:rPr>
        <w:t>2022</w:t>
      </w:r>
      <w:proofErr w:type="gramEnd"/>
      <w:r w:rsidRPr="00ED172B">
        <w:rPr>
          <w:color w:val="000000" w:themeColor="text1"/>
        </w:rPr>
        <w:t xml:space="preserve"> to June 30, 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The 4th quarter reporting period April 1, </w:t>
      </w:r>
      <w:proofErr w:type="gramStart"/>
      <w:r w:rsidRPr="00ED172B">
        <w:rPr>
          <w:rFonts w:cs="Arial"/>
          <w:color w:val="000000" w:themeColor="text1"/>
          <w:szCs w:val="16"/>
        </w:rPr>
        <w:t>2022</w:t>
      </w:r>
      <w:proofErr w:type="gramEnd"/>
      <w:r w:rsidRPr="00ED172B">
        <w:rPr>
          <w:rFonts w:cs="Arial"/>
          <w:color w:val="000000" w:themeColor="text1"/>
          <w:szCs w:val="16"/>
        </w:rPr>
        <w:t xml:space="preserve"> through June 30, 2022 is considered representative of the full reporting year because the same variables are in place for this quarter of the fiscal year, which is the same as in all quarters. The District of Columbia Part C program is confident that the chosen reporting period accurately reflects data for infants and toddlers with IFSP's for the entire FFY 2021.</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DC reported that it used data from a database to report on this indicator. DC further reported that it did not use data for the full reporting period (July 1, 2021- June 30, 2022).</w:t>
      </w:r>
      <w:r w:rsidRPr="00ED172B">
        <w:rPr>
          <w:color w:val="000000" w:themeColor="text1"/>
        </w:rPr>
        <w:br/>
        <w:t>DC described how the time period in which the data were collected accurately reflects data for infants and toddlers with IFSPs for the full reporting period.</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198</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198</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Data were collected from the State database on a monthly basis. The District utilized the fourth quarter of FFY 2021 (April 1, 2022 - June 30, 2022) to complete a compliance review for this indicator.</w:t>
      </w:r>
      <w:r w:rsidRPr="00ED172B">
        <w:rPr>
          <w:color w:val="000000" w:themeColor="text1"/>
          <w:szCs w:val="16"/>
        </w:rPr>
        <w:br/>
      </w:r>
      <w:r w:rsidRPr="00ED172B">
        <w:rPr>
          <w:color w:val="000000" w:themeColor="text1"/>
          <w:szCs w:val="16"/>
        </w:rPr>
        <w:br/>
        <w:t>The following steps were taken to complete data collection and analysis for this indicator:</w:t>
      </w:r>
      <w:r w:rsidRPr="00ED172B">
        <w:rPr>
          <w:color w:val="000000" w:themeColor="text1"/>
          <w:szCs w:val="16"/>
        </w:rPr>
        <w:br/>
        <w:t>The database was used for identifying all children who would be turning three during the reporting period.</w:t>
      </w:r>
      <w:r w:rsidRPr="00ED172B">
        <w:rPr>
          <w:color w:val="000000" w:themeColor="text1"/>
          <w:szCs w:val="16"/>
        </w:rPr>
        <w:br/>
        <w:t>The Strong Start database produces a spreadsheet of all children potentially eligible for Part B services between the ages of 2 years 6 months and 3 years of age.</w:t>
      </w:r>
      <w:r w:rsidRPr="00ED172B">
        <w:rPr>
          <w:color w:val="000000" w:themeColor="text1"/>
          <w:szCs w:val="16"/>
        </w:rPr>
        <w:br/>
        <w:t>On a monthly basis, an email is sent to the local education agency (LEA) of record and the State education agency (SEA) to inform them that the list of children potentially eligible for Part B is available. The list is uploaded by Strong Start program into a secure platform called Box and then made available for the LEA and SEA to then download.</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 xml:space="preserve">4th quarter of FFY 2021 April 1, </w:t>
      </w:r>
      <w:proofErr w:type="gramStart"/>
      <w:r w:rsidRPr="00ED172B">
        <w:rPr>
          <w:color w:val="000000" w:themeColor="text1"/>
        </w:rPr>
        <w:t>2022</w:t>
      </w:r>
      <w:proofErr w:type="gramEnd"/>
      <w:r w:rsidRPr="00ED172B">
        <w:rPr>
          <w:color w:val="000000" w:themeColor="text1"/>
        </w:rPr>
        <w:t xml:space="preserve"> to June 30,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 xml:space="preserve">The 4th quarter reporting period April 1, </w:t>
      </w:r>
      <w:proofErr w:type="gramStart"/>
      <w:r w:rsidRPr="00ED172B">
        <w:rPr>
          <w:rFonts w:cs="Arial"/>
          <w:color w:val="000000" w:themeColor="text1"/>
          <w:szCs w:val="16"/>
        </w:rPr>
        <w:t>2022</w:t>
      </w:r>
      <w:proofErr w:type="gramEnd"/>
      <w:r w:rsidRPr="00ED172B">
        <w:rPr>
          <w:rFonts w:cs="Arial"/>
          <w:color w:val="000000" w:themeColor="text1"/>
          <w:szCs w:val="16"/>
        </w:rPr>
        <w:t xml:space="preserve"> through June 30, 2022 is considered representative of the full reporting year because the same variables are in place for this quarter of the fiscal year, which is the same as in all quarters. The District of Columbia Part C program is confident that the chosen reporting period accurately reflects data for infants and toddlers with IFSP's for the entire FFY 2021.</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lastRenderedPageBreak/>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DC reported that it used data from a database to report on this indicator. DC further reported that it did not use data for the full reporting period (July 1, 2021- June 30, 2022).</w:t>
      </w:r>
      <w:r w:rsidRPr="00ED172B">
        <w:rPr>
          <w:color w:val="000000" w:themeColor="text1"/>
        </w:rPr>
        <w:br/>
        <w:t>DC described how the time period in which the data were collected accurately reflects data for infants and toddlers with IFSPs for the full reporting period.</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88.00%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90.32%</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93.98%</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93.64%</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97.39%</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132</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149</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97.39%</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97.32%</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13</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Service coordinators (SC) did not hold a transition conference on time for 4 children. In 2 instances the children were identified as eligible for Part C services close to the 90 days prior to their third birthday and the SC did not hold the transition conference at the same time as the Initial IFSP therefore missing the timely transition. In the other 2 cases the SC failed to follow up with the family to schedule the transition conference on a timely manner.</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 xml:space="preserve">4th quarter of FFY 2021 April 1, </w:t>
      </w:r>
      <w:proofErr w:type="gramStart"/>
      <w:r w:rsidRPr="00ED172B">
        <w:rPr>
          <w:color w:val="000000" w:themeColor="text1"/>
        </w:rPr>
        <w:t>2022</w:t>
      </w:r>
      <w:proofErr w:type="gramEnd"/>
      <w:r w:rsidRPr="00ED172B">
        <w:rPr>
          <w:color w:val="000000" w:themeColor="text1"/>
        </w:rPr>
        <w:t xml:space="preserve"> to June 30, 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The 4th quarter reporting period April 1, </w:t>
      </w:r>
      <w:proofErr w:type="gramStart"/>
      <w:r w:rsidRPr="00ED172B">
        <w:rPr>
          <w:rFonts w:cs="Arial"/>
          <w:color w:val="000000" w:themeColor="text1"/>
          <w:szCs w:val="16"/>
        </w:rPr>
        <w:t>2022</w:t>
      </w:r>
      <w:proofErr w:type="gramEnd"/>
      <w:r w:rsidRPr="00ED172B">
        <w:rPr>
          <w:rFonts w:cs="Arial"/>
          <w:color w:val="000000" w:themeColor="text1"/>
          <w:szCs w:val="16"/>
        </w:rPr>
        <w:t xml:space="preserve"> through June 30, 2022 is considered representative of the full reporting year because the same variables are in place for this quarter of the fiscal year, which is the same as in all quarters. The District of Columbia Part C program is confident that the chosen reporting period accurately reflects data for infants and toddlers with IFSP's for the entire FFY 2021.</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DC reported less than 100% compliance for FFY 2020, DC must report on the status of correction of noncompliance identified in FFY 2020 for this indicator. When reporting on the correction of noncompliance, DC must report, in the FFY 2021 SPP/APR, that it has verified that each EIS program </w:t>
      </w:r>
      <w:r w:rsidRPr="00ED172B">
        <w:rPr>
          <w:color w:val="000000" w:themeColor="text1"/>
        </w:rPr>
        <w:lastRenderedPageBreak/>
        <w:t xml:space="preserve">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DC must describe the specific actions that were taken to verify the correction. </w:t>
      </w:r>
      <w:r w:rsidRPr="00ED172B">
        <w:rPr>
          <w:color w:val="000000" w:themeColor="text1"/>
        </w:rPr>
        <w:br/>
      </w:r>
      <w:r w:rsidRPr="00ED172B">
        <w:rPr>
          <w:color w:val="000000" w:themeColor="text1"/>
        </w:rPr>
        <w:br/>
        <w:t>If DC did not identify any findings of noncompliance in FFY 2020, although its FFY 2020 data reflect less than 100% compliance, provide an explanation of why DC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While FFY 20 data reflected less than 100 percent compliance for children whom the Lead Agency conducted a transition meeting with the approval of the family at least 90 days, and at the discretion of all parties, not more than nine months, prior to the toddler's third birthday for toddlers potentially eligible for Part B preschool services. No findings were issued because correction according to federal requirements was verified before a finding was issued. Upon record reviews conducted for those three children it was verified that correction had occurred prior to issuance of findings. All children who were potentially eligible for a transition conference during the reporting period did have a transition conference although late and not within the </w:t>
      </w:r>
      <w:proofErr w:type="gramStart"/>
      <w:r w:rsidRPr="00ED172B">
        <w:rPr>
          <w:color w:val="000000" w:themeColor="text1"/>
        </w:rPr>
        <w:t>90 day</w:t>
      </w:r>
      <w:proofErr w:type="gramEnd"/>
      <w:r w:rsidRPr="00ED172B">
        <w:rPr>
          <w:color w:val="000000" w:themeColor="text1"/>
        </w:rPr>
        <w:t xml:space="preserve"> timeline. </w:t>
      </w:r>
      <w:r w:rsidRPr="00ED172B">
        <w:rPr>
          <w:color w:val="000000" w:themeColor="text1"/>
        </w:rPr>
        <w:br/>
        <w:t xml:space="preserve">In addition, for prong two of verification, the state did another review of subsequent data from another month of records (54) through a review of a sample of 10% of the records (6) which verified that all children in the new sample had a transition conference within the </w:t>
      </w:r>
      <w:proofErr w:type="gramStart"/>
      <w:r w:rsidRPr="00ED172B">
        <w:rPr>
          <w:color w:val="000000" w:themeColor="text1"/>
        </w:rPr>
        <w:t>90 day</w:t>
      </w:r>
      <w:proofErr w:type="gramEnd"/>
      <w:r w:rsidRPr="00ED172B">
        <w:rPr>
          <w:color w:val="000000" w:themeColor="text1"/>
        </w:rPr>
        <w:t xml:space="preserve"> timeline. </w:t>
      </w:r>
      <w:proofErr w:type="gramStart"/>
      <w:r w:rsidRPr="00ED172B">
        <w:rPr>
          <w:color w:val="000000" w:themeColor="text1"/>
        </w:rPr>
        <w:t>Therefore</w:t>
      </w:r>
      <w:proofErr w:type="gramEnd"/>
      <w:r w:rsidRPr="00ED172B">
        <w:rPr>
          <w:color w:val="000000" w:themeColor="text1"/>
        </w:rPr>
        <w:t xml:space="preserve"> no finding was issued due to pre-finding correction.</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DC reported that it used data from a database to report on this indicator. DC further reported that it did not use data for the full reporting period (July 1, 2021- June 30, 2022).</w:t>
      </w:r>
      <w:r w:rsidRPr="00ED172B">
        <w:rPr>
          <w:color w:val="000000" w:themeColor="text1"/>
        </w:rPr>
        <w:br/>
        <w:t>DC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 xml:space="preserve">Targets were set in Jan. of 2022 and all stakeholder input was described in FFY20 APR. After presenting and discussing the data for the FFY21 during the meeting in Jan. 2023, the ICC made no recommendations on modifying the targets at this time.  The main mechanisms used to solicit input were via ICC and SECDCC meetings, monthly Strong Start contracted agencies, quarterly meetings with Medicaid agency and guidelines developed. </w:t>
      </w:r>
      <w:r w:rsidRPr="00ED172B">
        <w:rPr>
          <w:color w:val="000000" w:themeColor="text1"/>
        </w:rPr>
        <w:br/>
      </w:r>
      <w:r w:rsidRPr="00ED172B">
        <w:rPr>
          <w:color w:val="000000" w:themeColor="text1"/>
        </w:rPr>
        <w:br/>
        <w:t xml:space="preserve">OSSE ensures that stakeholders and the public are constantly engaged in Strong Start activities through regular meetings of the Interagency Coordinating Council (ICC), the State Early Childhood Development Coordinating Council (SECDCC) monthly meetings with providers and partner agencies and regular communications to stakeholders. These opportunities create continuous feedback loops that allow for continuous improvement with stakeholder input. During provider meetings procedural and operational changes are discussed and agreed upon. Documentation and any data system questions are addressed and suggested improvements are offered. During FFY 21, OSSE met regularly with the ICC and DC EIP to discuss ongoing performance. </w:t>
      </w:r>
      <w:r w:rsidRPr="00ED172B">
        <w:rPr>
          <w:color w:val="000000" w:themeColor="text1"/>
        </w:rPr>
        <w:br/>
      </w:r>
      <w:r w:rsidRPr="00ED172B">
        <w:rPr>
          <w:color w:val="000000" w:themeColor="text1"/>
        </w:rPr>
        <w:br/>
        <w:t xml:space="preserve">At the ICC meeting in January 2023, the members reviewed results from FFY21 (7/1/21-6/30/22) for each indicator, asked questions and provided feedback included in this Annual Performance Report (APR). National technical assistance (TA) centers staff, including </w:t>
      </w:r>
      <w:proofErr w:type="spellStart"/>
      <w:r w:rsidRPr="00ED172B">
        <w:rPr>
          <w:color w:val="000000" w:themeColor="text1"/>
        </w:rPr>
        <w:t>DaSy</w:t>
      </w:r>
      <w:proofErr w:type="spellEnd"/>
      <w:r w:rsidRPr="00ED172B">
        <w:rPr>
          <w:color w:val="000000" w:themeColor="text1"/>
        </w:rPr>
        <w:t xml:space="preserve"> and the ECTA Center, reviewed and provided helpful guidance in the development of this APR. The APR was also sent directly to ICC chairperson who reviewed the file in detail, asked questions, and suggested edits. Leadership from OSSE also reviewed the APR and made suggestions. The ICC chairperson approved the final edits so that this Annual Performance Report (APR) fulfills the State Interagency Coordinating Council's obligations to report to the U.S. Department of Education for FFY21. New targets for the results indicators were developed in FFY 2020 for FFY21-25 by the different workgroups with participants from various stakeholders. The targets were reviewed and approved by the ICC and subsequently submitted and approved by OSEP. No changes are being recommended at this time by the ICC.</w:t>
      </w:r>
      <w:r w:rsidRPr="00ED172B">
        <w:rPr>
          <w:color w:val="000000" w:themeColor="text1"/>
        </w:rPr>
        <w:br/>
      </w:r>
      <w:r w:rsidRPr="00ED172B">
        <w:rPr>
          <w:color w:val="000000" w:themeColor="text1"/>
        </w:rPr>
        <w:br/>
        <w:t xml:space="preserve">Throughout the FFY21, OSSE and Strong Start has met with the ICC quarterly, the contracted vendor agencies monthly, the Strong Start team quarterly, the SECDCC quarterly, the Department of Health Care Finance monthly and the Managed Care Organizations (MCO) quarterly to review and solicit feedback on the performance of the program, the Theory of Action, accomplishments, and the Evaluation and Activities Plan for Part C in the District of Columbia. </w:t>
      </w:r>
      <w:r w:rsidRPr="00ED172B">
        <w:rPr>
          <w:color w:val="000000" w:themeColor="text1"/>
        </w:rPr>
        <w:br/>
      </w:r>
      <w:r w:rsidRPr="00ED172B">
        <w:rPr>
          <w:color w:val="000000" w:themeColor="text1"/>
        </w:rPr>
        <w:br/>
        <w:t xml:space="preserve">The fidelity guidelines and requirements that are Part of the SSIP were developed in February of 2022 and presented to the vendor agencies in March for their review and feedback. The final version was released in April of 2022. </w:t>
      </w:r>
      <w:r w:rsidRPr="00ED172B">
        <w:rPr>
          <w:color w:val="000000" w:themeColor="text1"/>
        </w:rPr>
        <w:br/>
      </w:r>
      <w:r w:rsidRPr="00ED172B">
        <w:rPr>
          <w:color w:val="000000" w:themeColor="text1"/>
        </w:rPr>
        <w:br/>
        <w:t xml:space="preserve">OSSE invited stakeholders who use the Part C data system to participate in two sessions to obtain feedback on the new data system. Participants </w:t>
      </w:r>
      <w:r w:rsidRPr="00ED172B">
        <w:rPr>
          <w:color w:val="000000" w:themeColor="text1"/>
        </w:rPr>
        <w:lastRenderedPageBreak/>
        <w:t xml:space="preserve">included a group of managers at the vendor agencies, the transition personnel at Early Stages (the program from DC Public Schools that identifies and address developmental delays and disabilities in children over 3 years old), and a group of case managers from the </w:t>
      </w:r>
      <w:proofErr w:type="gramStart"/>
      <w:r w:rsidRPr="00ED172B">
        <w:rPr>
          <w:color w:val="000000" w:themeColor="text1"/>
        </w:rPr>
        <w:t>MCOs .</w:t>
      </w:r>
      <w:proofErr w:type="gramEnd"/>
      <w:r w:rsidRPr="00ED172B">
        <w:rPr>
          <w:color w:val="000000" w:themeColor="text1"/>
        </w:rPr>
        <w:t xml:space="preserve"> Their input was valuable to understand different improvements needed to incorporate in the new Special Education System (SEDS) being developed.</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860830" w:rsidP="00186420">
            <w:pPr>
              <w:jc w:val="center"/>
              <w:rPr>
                <w:rFonts w:cs="Arial"/>
                <w:color w:val="000000" w:themeColor="text1"/>
                <w:szCs w:val="16"/>
              </w:rPr>
            </w:pPr>
            <w:r w:rsidRPr="00ED172B">
              <w:rPr>
                <w:rFonts w:cs="Arial"/>
                <w:color w:val="000000" w:themeColor="text1"/>
                <w:szCs w:val="16"/>
              </w:rPr>
              <w:t>0.00%</w:t>
            </w: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555"/>
        <w:gridCol w:w="1664"/>
        <w:gridCol w:w="1664"/>
        <w:gridCol w:w="1664"/>
        <w:gridCol w:w="1664"/>
      </w:tblGrid>
      <w:tr w:rsidR="009E2382" w:rsidRPr="00ED172B" w14:paraId="1D0639C9" w14:textId="3417AA8E" w:rsidTr="006B0ACA">
        <w:trPr>
          <w:trHeight w:val="306"/>
        </w:trPr>
        <w:tc>
          <w:tcPr>
            <w:tcW w:w="339" w:type="pct"/>
            <w:tcBorders>
              <w:bottom w:val="single" w:sz="4" w:space="0" w:color="auto"/>
            </w:tcBorders>
            <w:shd w:val="clear" w:color="auto" w:fill="auto"/>
            <w:vAlign w:val="center"/>
          </w:tcPr>
          <w:p w14:paraId="0C0ADAF4"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177E68DB" w14:textId="36EAF4BA" w:rsidR="009E2382" w:rsidRPr="00ED172B" w:rsidRDefault="009E2382" w:rsidP="00C375EA">
            <w:pPr>
              <w:jc w:val="center"/>
              <w:rPr>
                <w:b/>
                <w:color w:val="000000" w:themeColor="text1"/>
              </w:rPr>
            </w:pPr>
            <w:r w:rsidRPr="00ED172B">
              <w:rPr>
                <w:b/>
                <w:color w:val="000000" w:themeColor="text1"/>
              </w:rPr>
              <w:t>2021</w:t>
            </w:r>
          </w:p>
        </w:tc>
        <w:tc>
          <w:tcPr>
            <w:tcW w:w="944" w:type="pct"/>
          </w:tcPr>
          <w:p w14:paraId="0AF6E35B" w14:textId="51849C6B"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C7CBE66" w14:textId="677190A8"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18A12C91" w14:textId="0AC76A6E"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7A378486" w14:textId="1F4AB8EF"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636215D6" w14:textId="4BA04A28" w:rsidTr="006B0ACA">
        <w:trPr>
          <w:trHeight w:val="312"/>
        </w:trPr>
        <w:tc>
          <w:tcPr>
            <w:tcW w:w="339" w:type="pct"/>
            <w:shd w:val="clear" w:color="auto" w:fill="auto"/>
          </w:tcPr>
          <w:p w14:paraId="12E3864D" w14:textId="15C14C1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3DA3E6E1" w14:textId="3EEF45C3" w:rsidR="009E2382" w:rsidRPr="00ED172B" w:rsidRDefault="009E2382" w:rsidP="00C375EA">
            <w:pPr>
              <w:jc w:val="center"/>
              <w:rPr>
                <w:color w:val="000000" w:themeColor="text1"/>
              </w:rPr>
            </w:pPr>
          </w:p>
        </w:tc>
        <w:tc>
          <w:tcPr>
            <w:tcW w:w="944" w:type="pct"/>
          </w:tcPr>
          <w:p w14:paraId="5F49CD7A" w14:textId="5AFE9567" w:rsidR="009E2382" w:rsidRPr="00ED172B" w:rsidRDefault="009E2382" w:rsidP="00C375EA">
            <w:pPr>
              <w:jc w:val="center"/>
              <w:rPr>
                <w:color w:val="000000" w:themeColor="text1"/>
              </w:rPr>
            </w:pPr>
          </w:p>
        </w:tc>
        <w:tc>
          <w:tcPr>
            <w:tcW w:w="944" w:type="pct"/>
          </w:tcPr>
          <w:p w14:paraId="2D5C9F35" w14:textId="4424DF23" w:rsidR="009E2382" w:rsidRPr="00ED172B" w:rsidRDefault="009E2382" w:rsidP="00C375EA">
            <w:pPr>
              <w:jc w:val="center"/>
              <w:rPr>
                <w:color w:val="000000" w:themeColor="text1"/>
              </w:rPr>
            </w:pPr>
          </w:p>
        </w:tc>
        <w:tc>
          <w:tcPr>
            <w:tcW w:w="944" w:type="pct"/>
          </w:tcPr>
          <w:p w14:paraId="55547E95" w14:textId="33DF8D0C" w:rsidR="009E2382" w:rsidRPr="00ED172B" w:rsidRDefault="009E2382" w:rsidP="00C375EA">
            <w:pPr>
              <w:jc w:val="center"/>
              <w:rPr>
                <w:color w:val="000000" w:themeColor="text1"/>
              </w:rPr>
            </w:pPr>
          </w:p>
        </w:tc>
        <w:tc>
          <w:tcPr>
            <w:tcW w:w="944" w:type="pct"/>
          </w:tcPr>
          <w:p w14:paraId="2588FB2A" w14:textId="24627995" w:rsidR="009E2382" w:rsidRPr="00ED172B" w:rsidRDefault="009E2382"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7380CE49" w:rsidR="0097671A" w:rsidRPr="00ED172B" w:rsidRDefault="00F22D09" w:rsidP="00B8340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2F76C3A7" w:rsidR="0097671A"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7AA31E14" w14:textId="7A3C9E54" w:rsidR="0097671A"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5EC5F1D4" w14:textId="0292F35B" w:rsidR="0097671A"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DC fewer than ten resolution sessions held in FFY 2021. DC is not required to provide targets until any fiscal year in which ten or more resolution sessions were held.</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40C7A32D" w14:textId="60C272E3" w:rsidR="007F0CEC" w:rsidRPr="00ED172B" w:rsidRDefault="007F0CEC" w:rsidP="0077063D">
      <w:pPr>
        <w:pStyle w:val="Heading1"/>
        <w:rPr>
          <w:color w:val="000000" w:themeColor="text1"/>
        </w:rPr>
      </w:pPr>
      <w:bookmarkStart w:id="57" w:name="_Hlk109646703"/>
      <w:r w:rsidRPr="00ED172B">
        <w:rPr>
          <w:color w:val="000000" w:themeColor="text1"/>
        </w:rPr>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8" w:name="_Toc382731916"/>
      <w:bookmarkStart w:id="59"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7"/>
    <w:p w14:paraId="287A5341" w14:textId="00F1E014" w:rsidR="00715B7C" w:rsidRPr="00A40EE1" w:rsidRDefault="000D0117" w:rsidP="007B0787">
      <w:pPr>
        <w:pStyle w:val="Heading2"/>
      </w:pPr>
      <w:r w:rsidRPr="00A40EE1">
        <w:lastRenderedPageBreak/>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1</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1</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Targets were set in Jan. of 2022 and all stakeholder input was described in FFY20 APR. After presenting and discussing the data for the FFY21 during the meeting in Jan. 2023, the ICC made no recommendations on modifying the targets at this time.  The main mechanisms used to solicit input were via ICC and SECDCC meetings, monthly Strong Start contracted agencies, quarterly meetings with Medicaid agency and guidelines developed. </w:t>
      </w:r>
      <w:r w:rsidRPr="00ED172B">
        <w:rPr>
          <w:color w:val="000000" w:themeColor="text1"/>
        </w:rPr>
        <w:br/>
      </w:r>
      <w:r w:rsidRPr="00ED172B">
        <w:rPr>
          <w:color w:val="000000" w:themeColor="text1"/>
        </w:rPr>
        <w:br/>
        <w:t xml:space="preserve">OSSE ensures that stakeholders and the public are constantly engaged in Strong Start activities through regular meetings of the Interagency Coordinating Council (ICC), the State Early Childhood Development Coordinating Council (SECDCC) monthly meetings with providers and partner agencies and regular communications to stakeholders. These opportunities create continuous feedback loops that allow for continuous improvement with stakeholder input. During provider meetings procedural and operational changes are discussed and agreed upon. Documentation and any data system questions are addressed and suggested improvements are offered. During FFY 21, OSSE met regularly with the ICC and DC EIP to discuss ongoing performance. </w:t>
      </w:r>
      <w:r w:rsidRPr="00ED172B">
        <w:rPr>
          <w:color w:val="000000" w:themeColor="text1"/>
        </w:rPr>
        <w:br/>
      </w:r>
      <w:r w:rsidRPr="00ED172B">
        <w:rPr>
          <w:color w:val="000000" w:themeColor="text1"/>
        </w:rPr>
        <w:br/>
        <w:t xml:space="preserve">At the ICC meeting in January 2023, the members reviewed results from FFY21 (7/1/21-6/30/22) for each indicator, asked questions and provided feedback included in this Annual Performance Report (APR). National technical assistance (TA) centers staff, including </w:t>
      </w:r>
      <w:proofErr w:type="spellStart"/>
      <w:r w:rsidRPr="00ED172B">
        <w:rPr>
          <w:color w:val="000000" w:themeColor="text1"/>
        </w:rPr>
        <w:t>DaSy</w:t>
      </w:r>
      <w:proofErr w:type="spellEnd"/>
      <w:r w:rsidRPr="00ED172B">
        <w:rPr>
          <w:color w:val="000000" w:themeColor="text1"/>
        </w:rPr>
        <w:t xml:space="preserve"> and the ECTA Center, reviewed and provided helpful guidance in the development of this APR. The APR was also sent directly to ICC chairperson who reviewed the file in detail, asked questions, and suggested edits. Leadership from OSSE also reviewed the APR and made suggestions. The ICC chairperson approved the final edits so that this Annual Performance Report (APR) fulfills the State Interagency Coordinating Council's obligations to report to the U.S. Department of Education for FFY21. New targets for the results indicators were developed in FFY 2020 for FFY21-25 by the different workgroups with participants from various stakeholders. The targets were reviewed and approved by the ICC and subsequently submitted and approved by OSEP. No changes are being recommended at this time by the ICC.</w:t>
      </w:r>
      <w:r w:rsidRPr="00ED172B">
        <w:rPr>
          <w:color w:val="000000" w:themeColor="text1"/>
        </w:rPr>
        <w:br/>
      </w:r>
      <w:r w:rsidRPr="00ED172B">
        <w:rPr>
          <w:color w:val="000000" w:themeColor="text1"/>
        </w:rPr>
        <w:br/>
        <w:t xml:space="preserve">Throughout the FFY21, OSSE and Strong Start has met with the ICC quarterly, the contracted vendor agencies monthly, the Strong Start team quarterly, the SECDCC quarterly, the Department of Health Care Finance monthly and the Managed Care Organizations (MCO) quarterly to review and solicit feedback on the performance of the program, the Theory of Action, accomplishments, and the Evaluation and Activities Plan for Part C in the District of Columbia. </w:t>
      </w:r>
      <w:r w:rsidRPr="00ED172B">
        <w:rPr>
          <w:color w:val="000000" w:themeColor="text1"/>
        </w:rPr>
        <w:br/>
      </w:r>
      <w:r w:rsidRPr="00ED172B">
        <w:rPr>
          <w:color w:val="000000" w:themeColor="text1"/>
        </w:rPr>
        <w:br/>
        <w:t xml:space="preserve">The fidelity guidelines and requirements that are Part of the SSIP were developed in February of 2022 and presented to the vendor agencies in March for their review and feedback. The final version was released in April of 2022. </w:t>
      </w:r>
      <w:r w:rsidRPr="00ED172B">
        <w:rPr>
          <w:color w:val="000000" w:themeColor="text1"/>
        </w:rPr>
        <w:br/>
      </w:r>
      <w:r w:rsidRPr="00ED172B">
        <w:rPr>
          <w:color w:val="000000" w:themeColor="text1"/>
        </w:rPr>
        <w:br/>
        <w:t xml:space="preserve">OSSE invited stakeholders who use the Part C data system to participate in two sessions to obtain feedback on the new data system. Participants included a group of managers at the vendor agencies, the transition personnel at Early Stages (the program from DC Public Schools that identifies and address developmental delays and disabilities in children over 3 years old), and a group of case managers from the </w:t>
      </w:r>
      <w:proofErr w:type="gramStart"/>
      <w:r w:rsidRPr="00ED172B">
        <w:rPr>
          <w:color w:val="000000" w:themeColor="text1"/>
        </w:rPr>
        <w:t>MCOs .</w:t>
      </w:r>
      <w:proofErr w:type="gramEnd"/>
      <w:r w:rsidRPr="00ED172B">
        <w:rPr>
          <w:color w:val="000000" w:themeColor="text1"/>
        </w:rPr>
        <w:t xml:space="preserve"> Their input was valuable to understand different improvements needed to incorporate in the new Special Education System (SEDS) being developed.</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1</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1</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20806" w:rsidP="00320806">
            <w:pPr>
              <w:jc w:val="center"/>
              <w:rPr>
                <w:color w:val="000000" w:themeColor="text1"/>
              </w:rPr>
            </w:pPr>
            <w:r w:rsidRPr="00ED172B">
              <w:rPr>
                <w:color w:val="000000" w:themeColor="text1"/>
              </w:rPr>
              <w:t>100.00%</w:t>
            </w: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8"/>
    <w:bookmarkEnd w:id="59"/>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60" w:name="_Hlk79570511"/>
      <w:r w:rsidRPr="00A40EE1">
        <w:t xml:space="preserve">10 - </w:t>
      </w:r>
      <w:r w:rsidR="00DC0682" w:rsidRPr="00A40EE1">
        <w:t>Prior FFY Required Actions</w:t>
      </w:r>
      <w:bookmarkEnd w:id="60"/>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DC reported fewer than ten mediations held in FFY 2021. DC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1" w:name="_Hlk109646734"/>
      <w:bookmarkStart w:id="62"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3"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3"/>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61"/>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 xml:space="preserve">Medicaid-eligible infants and toddlers will demonstrate a substantial increase in their rate of developmental growth in the acquisition and use of knowledge and skills by the time they exit the program. </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4"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4"/>
    <w:p w14:paraId="2DFF9C44" w14:textId="3D7DE653" w:rsidR="00E46F5E" w:rsidRPr="000123EB" w:rsidRDefault="00E46F5E" w:rsidP="008517CB">
      <w:pPr>
        <w:rPr>
          <w:color w:val="000000" w:themeColor="text1"/>
        </w:rPr>
      </w:pPr>
      <w:r w:rsidRPr="000123EB">
        <w:rPr>
          <w:color w:val="000000" w:themeColor="text1"/>
        </w:rPr>
        <w:t>YES</w:t>
      </w:r>
    </w:p>
    <w:p w14:paraId="398776B2" w14:textId="55295BAF" w:rsidR="008517CB" w:rsidRDefault="00B073DB" w:rsidP="008517CB">
      <w:pPr>
        <w:rPr>
          <w:b/>
          <w:bCs/>
        </w:rPr>
      </w:pPr>
      <w:bookmarkStart w:id="65" w:name="_Hlk109646824"/>
      <w:r>
        <w:rPr>
          <w:b/>
          <w:bCs/>
        </w:rPr>
        <w:t>Provide a description of the subset of the population from the indicator.</w:t>
      </w:r>
    </w:p>
    <w:bookmarkEnd w:id="65"/>
    <w:p w14:paraId="20C5EC3E" w14:textId="17767E51" w:rsidR="00E46F5E" w:rsidRPr="005137B6" w:rsidRDefault="00E46F5E" w:rsidP="00E46F5E">
      <w:pPr>
        <w:rPr>
          <w:color w:val="000000" w:themeColor="text1"/>
        </w:rPr>
      </w:pPr>
      <w:r w:rsidRPr="00ED172B">
        <w:rPr>
          <w:color w:val="000000" w:themeColor="text1"/>
        </w:rPr>
        <w:t xml:space="preserve">DC's </w:t>
      </w:r>
      <w:proofErr w:type="spellStart"/>
      <w:r w:rsidRPr="00ED172B">
        <w:rPr>
          <w:color w:val="000000" w:themeColor="text1"/>
        </w:rPr>
        <w:t>SiMR</w:t>
      </w:r>
      <w:proofErr w:type="spellEnd"/>
      <w:r w:rsidRPr="00ED172B">
        <w:rPr>
          <w:color w:val="000000" w:themeColor="text1"/>
        </w:rPr>
        <w:t xml:space="preserve"> includes all Medicaid-eligible infants and toddlers which is a subset of the entire population from Indicator 3.B1.</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6" w:name="_Hlk109646832"/>
      <w:r w:rsidRPr="00A5616C">
        <w:rPr>
          <w:b/>
          <w:bCs/>
        </w:rPr>
        <w:t>Is the State’s theory of action new or revised since the previous submission? (yes/no)</w:t>
      </w:r>
    </w:p>
    <w:bookmarkEnd w:id="66"/>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https://osse.dc.gov/node/1578876</w:t>
      </w:r>
    </w:p>
    <w:p w14:paraId="7076EF11" w14:textId="77777777" w:rsidR="006A3544" w:rsidRDefault="006A3544" w:rsidP="008517CB">
      <w:pPr>
        <w:rPr>
          <w:b/>
          <w:bCs/>
        </w:rPr>
      </w:pPr>
    </w:p>
    <w:p w14:paraId="106F39B4" w14:textId="77777777" w:rsidR="00A3455E" w:rsidRDefault="00A3455E" w:rsidP="00A3455E">
      <w:pPr>
        <w:pStyle w:val="Subhed"/>
      </w:pPr>
      <w:bookmarkStart w:id="67"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7"/>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2015</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39.56%</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54.45%</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55.45%</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56.45%</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57.45%</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58.00%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 xml:space="preserve">The numerator is the sum of Medicaid eligible infants and toddlers reported in </w:t>
            </w:r>
            <w:proofErr w:type="spellStart"/>
            <w:r w:rsidRPr="00ED172B">
              <w:rPr>
                <w:color w:val="000000" w:themeColor="text1"/>
                <w:szCs w:val="16"/>
              </w:rPr>
              <w:t>progess</w:t>
            </w:r>
            <w:proofErr w:type="spellEnd"/>
            <w:r w:rsidRPr="00ED172B">
              <w:rPr>
                <w:color w:val="000000" w:themeColor="text1"/>
                <w:szCs w:val="16"/>
              </w:rPr>
              <w:t xml:space="preserve"> category (c) plus number of infants and toddlers reported in category (d)</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The denominator is the total of Medicaid eligible infants and toddlers reported in progress category (a) plus number of infant and toddlers reported in progress category (b), plus number of infant and toddlers reported in progress category (c), plus number of infant and toddlers reported in progress category (d)</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150</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302</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53.45%</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54.45%</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49.67%</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Slippage</w:t>
            </w:r>
          </w:p>
        </w:tc>
      </w:tr>
    </w:tbl>
    <w:p w14:paraId="7F827FC2" w14:textId="62E40590" w:rsidR="005A3EDC" w:rsidRPr="00ED172B" w:rsidRDefault="005A3EDC" w:rsidP="005A3EDC">
      <w:pPr>
        <w:rPr>
          <w:rFonts w:cs="Arial"/>
          <w:b/>
          <w:i/>
          <w:color w:val="000000" w:themeColor="text1"/>
          <w:szCs w:val="16"/>
        </w:rPr>
      </w:pPr>
      <w:r w:rsidRPr="00ED172B">
        <w:rPr>
          <w:rFonts w:cs="Arial"/>
          <w:b/>
          <w:color w:val="000000" w:themeColor="text1"/>
          <w:szCs w:val="16"/>
        </w:rPr>
        <w:lastRenderedPageBreak/>
        <w:t>Provide reasons for slippage, if applicable</w:t>
      </w:r>
    </w:p>
    <w:p w14:paraId="4C6C3946" w14:textId="3260EF55" w:rsidR="005A3EDC" w:rsidRDefault="005A3EDC" w:rsidP="005A3EDC">
      <w:pPr>
        <w:rPr>
          <w:color w:val="000000" w:themeColor="text1"/>
        </w:rPr>
      </w:pPr>
      <w:r w:rsidRPr="00ED172B">
        <w:rPr>
          <w:color w:val="000000" w:themeColor="text1"/>
        </w:rPr>
        <w:t xml:space="preserve">The </w:t>
      </w:r>
      <w:proofErr w:type="gramStart"/>
      <w:r w:rsidRPr="00ED172B">
        <w:rPr>
          <w:color w:val="000000" w:themeColor="text1"/>
        </w:rPr>
        <w:t>District</w:t>
      </w:r>
      <w:proofErr w:type="gramEnd"/>
      <w:r w:rsidRPr="00ED172B">
        <w:rPr>
          <w:color w:val="000000" w:themeColor="text1"/>
        </w:rPr>
        <w:t xml:space="preserve"> utilizes the Assessment, Evaluation and Programming System for Infants and Children (</w:t>
      </w:r>
      <w:proofErr w:type="spellStart"/>
      <w:r w:rsidRPr="00ED172B">
        <w:rPr>
          <w:color w:val="000000" w:themeColor="text1"/>
        </w:rPr>
        <w:t>AEPSi</w:t>
      </w:r>
      <w:proofErr w:type="spellEnd"/>
      <w:r w:rsidRPr="00ED172B">
        <w:rPr>
          <w:color w:val="000000" w:themeColor="text1"/>
        </w:rPr>
        <w:t>) to capture the entry and exit data for children participating in early intervention.</w:t>
      </w:r>
      <w:r w:rsidRPr="00ED172B">
        <w:rPr>
          <w:color w:val="000000" w:themeColor="text1"/>
        </w:rPr>
        <w:br/>
      </w:r>
      <w:r w:rsidRPr="00ED172B">
        <w:rPr>
          <w:color w:val="000000" w:themeColor="text1"/>
        </w:rPr>
        <w:br/>
        <w:t>Although it is not expected that the data from year to year to be exactly the same we didn't anticipate that it would drop by 3.78 percentage points. This could be as a result of:</w:t>
      </w:r>
      <w:r w:rsidRPr="00ED172B">
        <w:rPr>
          <w:color w:val="000000" w:themeColor="text1"/>
        </w:rPr>
        <w:br/>
      </w:r>
      <w:r w:rsidRPr="00ED172B">
        <w:rPr>
          <w:color w:val="000000" w:themeColor="text1"/>
        </w:rPr>
        <w:br/>
        <w:t xml:space="preserve">- Every </w:t>
      </w:r>
      <w:proofErr w:type="gramStart"/>
      <w:r w:rsidRPr="00ED172B">
        <w:rPr>
          <w:color w:val="000000" w:themeColor="text1"/>
        </w:rPr>
        <w:t>interventionists</w:t>
      </w:r>
      <w:proofErr w:type="gramEnd"/>
      <w:r w:rsidRPr="00ED172B">
        <w:rPr>
          <w:color w:val="000000" w:themeColor="text1"/>
        </w:rPr>
        <w:t xml:space="preserve"> in the system for more than 9 months are expected to complete the AEPS inter-rater reliability (IRR) certificate. This was included in the contract with the vendor agencies 2 years ago and by now most of the interventionists have completed the IRR. This effort could translate in improved data quality that results in lower scores at entry and exit</w:t>
      </w:r>
      <w:r w:rsidRPr="00ED172B">
        <w:rPr>
          <w:color w:val="000000" w:themeColor="text1"/>
        </w:rPr>
        <w:br/>
        <w:t xml:space="preserve">- The pandemic. Many of the children that are now exiting the program were either born or spent most of their EI time during the pandemic and their development was affected by the lack of access to peers as well as the ongoing stress that families faced during this time. </w:t>
      </w:r>
      <w:r w:rsidRPr="00ED172B">
        <w:rPr>
          <w:color w:val="000000" w:themeColor="text1"/>
        </w:rPr>
        <w:br/>
        <w:t>- OSSE has implemented all components of the Natural Learning Environment Practices (NLEP) framework, which is the evidence-based approach selected for DC's SSIP. OSSE is now moving to evaluate the fidelity of the implementation and expects that as the program moves to fidelity that outcomes of children will also improve as expected for this evidence-based approach.</w:t>
      </w:r>
      <w:r w:rsidRPr="00ED172B">
        <w:rPr>
          <w:color w:val="000000" w:themeColor="text1"/>
        </w:rPr>
        <w:br/>
      </w:r>
      <w:r w:rsidRPr="00ED172B">
        <w:rPr>
          <w:color w:val="000000" w:themeColor="text1"/>
        </w:rPr>
        <w:br/>
        <w:t>OSSE will engage with the TA center to analyze the data further and determine other supports needed.</w:t>
      </w:r>
    </w:p>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The data came from the Child and Family Data System (SSCFDS) that DCEIP uses for all children. A Qlik application was developed to extract the required data elements for child outcomes into a summary report.</w:t>
      </w:r>
      <w:r w:rsidRPr="00ED172B">
        <w:rPr>
          <w:color w:val="000000" w:themeColor="text1"/>
        </w:rPr>
        <w:br/>
      </w:r>
      <w:r w:rsidRPr="00ED172B">
        <w:rPr>
          <w:color w:val="000000" w:themeColor="text1"/>
        </w:rPr>
        <w:br/>
        <w:t xml:space="preserve">This indicator is based on Outcome B, acquisition and use of knowledge and skills (including early language/communication) for Medicaid eligible children. We selected B1 which is of those children who are Medicaid eligible and who entered or exited the program below age expectations in Outcome B, the percent who substantially increased their rate of growth by the time they turned 3 years of age or exited the program. </w:t>
      </w:r>
      <w:r w:rsidRPr="00ED172B">
        <w:rPr>
          <w:color w:val="000000" w:themeColor="text1"/>
        </w:rPr>
        <w:br/>
      </w:r>
      <w:r w:rsidRPr="00ED172B">
        <w:rPr>
          <w:color w:val="000000" w:themeColor="text1"/>
        </w:rPr>
        <w:br/>
        <w:t xml:space="preserve">The numerator is the sum of Medicaid eligible infants and toddlers reported in </w:t>
      </w:r>
      <w:proofErr w:type="spellStart"/>
      <w:r w:rsidRPr="00ED172B">
        <w:rPr>
          <w:color w:val="000000" w:themeColor="text1"/>
        </w:rPr>
        <w:t>progess</w:t>
      </w:r>
      <w:proofErr w:type="spellEnd"/>
      <w:r w:rsidRPr="00ED172B">
        <w:rPr>
          <w:color w:val="000000" w:themeColor="text1"/>
        </w:rPr>
        <w:t xml:space="preserve"> category (c) plus number of infants and toddlers reported in category (d). </w:t>
      </w:r>
      <w:r w:rsidRPr="00ED172B">
        <w:rPr>
          <w:color w:val="000000" w:themeColor="text1"/>
        </w:rPr>
        <w:br/>
      </w:r>
      <w:r w:rsidRPr="00ED172B">
        <w:rPr>
          <w:color w:val="000000" w:themeColor="text1"/>
        </w:rPr>
        <w:br/>
        <w:t>The denominator is the total of Medicaid eligible infants and toddlers reported in progress category (a) plus number of infant and toddlers reported in progress category (b), plus number of infant and toddlers reported in progress category (c), plus number of infant and toddlers reported in progress category (d).</w:t>
      </w:r>
      <w:r w:rsidRPr="00ED172B">
        <w:rPr>
          <w:color w:val="000000" w:themeColor="text1"/>
        </w:rPr>
        <w:br/>
      </w:r>
      <w:r w:rsidRPr="00ED172B">
        <w:rPr>
          <w:color w:val="000000" w:themeColor="text1"/>
        </w:rPr>
        <w:br/>
        <w:t>Progress category (a) is the infant and toddlers who did not improve functioning.</w:t>
      </w:r>
      <w:r w:rsidRPr="00ED172B">
        <w:rPr>
          <w:color w:val="000000" w:themeColor="text1"/>
        </w:rPr>
        <w:br/>
        <w:t>Progress category (b) is the infants and toddlers who improved functioning but not sufficient to move nearer to functioning comparable to same-aged peers.</w:t>
      </w:r>
      <w:r w:rsidRPr="00ED172B">
        <w:rPr>
          <w:color w:val="000000" w:themeColor="text1"/>
        </w:rPr>
        <w:br/>
        <w:t>Progress category (c) is the infants and toddlers who improved functioning to a level nearer to same-aged peers but did not reach it.</w:t>
      </w:r>
      <w:r w:rsidRPr="00ED172B">
        <w:rPr>
          <w:color w:val="000000" w:themeColor="text1"/>
        </w:rPr>
        <w:br/>
        <w:t xml:space="preserve">Progress category (d) is the infants and toddlers who improved functioning to reach a level comparable to same-aged peers </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The following process was used to complete data collection and analysis for child outcome determinations. Child outcomes exit data were collected on all children who exited in FFY 2021 and received services for at least 6 months. Children with Medicaid were identified and analyzed for their outcome scores for this measure.</w:t>
      </w:r>
      <w:r w:rsidRPr="00ED172B">
        <w:rPr>
          <w:color w:val="000000" w:themeColor="text1"/>
        </w:rPr>
        <w:br/>
      </w:r>
      <w:r w:rsidRPr="00ED172B">
        <w:rPr>
          <w:color w:val="000000" w:themeColor="text1"/>
        </w:rPr>
        <w:br/>
        <w:t xml:space="preserve">The District utilized the scores that were collected for children through the Assessment, Evaluation, and Programming System for Infants and Children interactive which calculates the OSEP categories. Data were collected only if infants and toddlers received early intervention services for six months or longer. The entry </w:t>
      </w:r>
      <w:proofErr w:type="spellStart"/>
      <w:r w:rsidRPr="00ED172B">
        <w:rPr>
          <w:color w:val="000000" w:themeColor="text1"/>
        </w:rPr>
        <w:t>AEPSi</w:t>
      </w:r>
      <w:proofErr w:type="spellEnd"/>
      <w:r w:rsidRPr="00ED172B">
        <w:rPr>
          <w:color w:val="000000" w:themeColor="text1"/>
        </w:rPr>
        <w:t xml:space="preserve"> is completed by the initial evaluation provider and the exit </w:t>
      </w:r>
      <w:proofErr w:type="spellStart"/>
      <w:r w:rsidRPr="00ED172B">
        <w:rPr>
          <w:color w:val="000000" w:themeColor="text1"/>
        </w:rPr>
        <w:t>AEPSi</w:t>
      </w:r>
      <w:proofErr w:type="spellEnd"/>
      <w:r w:rsidRPr="00ED172B">
        <w:rPr>
          <w:color w:val="000000" w:themeColor="text1"/>
        </w:rPr>
        <w:t xml:space="preserve"> is completed by the child's provider no more than 60 days prior to the child's exit from the program. The initial evaluation and assessment teams administer the entry assessment with the family. One of the interventionists and the family administer the assessment every six months thereafter. Both the interventionist and the service coordinator discuss with the family the importance of the exit assessment. Prior written notice for the assessment is provided to the family in advance of the assessment. The family signs consent for the assessment and the family participates during the assessment. The service coordinator also provides the family with a copy of their “Child Progress Record”, which is a visual record of the child's accomplishments, current targets and future goals/objects. This comparative report can also visually depict the growth in development through changes in coloring/shading on the report, a darker shade for the entry data and a lighter shade showing the growth and forward movement documented by the exit assessment.</w:t>
      </w:r>
    </w:p>
    <w:p w14:paraId="76D8647E" w14:textId="78CCE65B" w:rsidR="00270F92" w:rsidRDefault="00270F92" w:rsidP="00741E58"/>
    <w:p w14:paraId="3CC869D1" w14:textId="77777777" w:rsidR="00177098" w:rsidRDefault="006D5F86" w:rsidP="006D5F86">
      <w:pPr>
        <w:rPr>
          <w:rFonts w:cs="Arial"/>
          <w:b/>
          <w:bCs/>
        </w:rPr>
      </w:pPr>
      <w:bookmarkStart w:id="68"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8"/>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9"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9"/>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70" w:name="_Hlk109646952"/>
      <w:r w:rsidRPr="00FC7972">
        <w:rPr>
          <w:b/>
          <w:bCs/>
        </w:rPr>
        <w:t>Did the State identify any data quality concerns directly related to the COVID-19 pandemic during the reporting period? (yes/no)</w:t>
      </w:r>
    </w:p>
    <w:bookmarkEnd w:id="70"/>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https://osse.dc.gov/node/1642141</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YES</w:t>
      </w:r>
    </w:p>
    <w:p w14:paraId="5D77C8F6" w14:textId="77777777" w:rsidR="0041306A" w:rsidRDefault="0041306A" w:rsidP="0041306A">
      <w:pPr>
        <w:rPr>
          <w:rFonts w:cs="Arial"/>
          <w:b/>
          <w:bCs/>
        </w:rPr>
      </w:pPr>
      <w:r>
        <w:rPr>
          <w:rFonts w:cs="Arial"/>
          <w:b/>
          <w:bCs/>
        </w:rPr>
        <w:t>If yes, provide a description of the changes and updates to the evaluation plan.</w:t>
      </w:r>
    </w:p>
    <w:p w14:paraId="57655E15" w14:textId="64BAA0B5" w:rsidR="0041306A" w:rsidRDefault="0041306A" w:rsidP="0041306A">
      <w:pPr>
        <w:rPr>
          <w:color w:val="000000" w:themeColor="text1"/>
        </w:rPr>
      </w:pPr>
      <w:r>
        <w:rPr>
          <w:color w:val="000000" w:themeColor="text1"/>
        </w:rPr>
        <w:lastRenderedPageBreak/>
        <w:t>Updated to include plan for 2023 calendar year. Please see below for more details. OSSE will continue with the implementation of the fidelity assessment process and evaluate progress, develop the Infant Mental Health framework, migrate to the new Special Education Data System (SEDS), organize professional development opportunities to build the capacity of early interventionists in the system professional development offerings, implement ongoing monitoring of the system and offer targeted technical assistance, and review and update OSSE's general supervision system protocols in preparation for differentiated monitoring and support (DMS) from US Department of Education.</w:t>
      </w:r>
    </w:p>
    <w:p w14:paraId="66D73354" w14:textId="77777777" w:rsidR="0041306A" w:rsidRDefault="0041306A" w:rsidP="0041306A">
      <w:pPr>
        <w:rPr>
          <w:rFonts w:cs="Arial"/>
          <w:b/>
          <w:bCs/>
        </w:rPr>
      </w:pPr>
      <w:r>
        <w:rPr>
          <w:rFonts w:cs="Arial"/>
          <w:b/>
          <w:bCs/>
        </w:rPr>
        <w:t>If yes, describe a rationale or justification for the changes to the SSIP evaluation plan.</w:t>
      </w:r>
    </w:p>
    <w:p w14:paraId="68D90657" w14:textId="66B4341E" w:rsidR="0041306A" w:rsidRDefault="0041306A" w:rsidP="0041306A">
      <w:pPr>
        <w:rPr>
          <w:b/>
          <w:bCs/>
        </w:rPr>
      </w:pPr>
      <w:r>
        <w:rPr>
          <w:color w:val="000000" w:themeColor="text1"/>
        </w:rPr>
        <w:t xml:space="preserve">Updated to include plan for 2023 calendar </w:t>
      </w:r>
      <w:proofErr w:type="gramStart"/>
      <w:r>
        <w:rPr>
          <w:color w:val="000000" w:themeColor="text1"/>
        </w:rPr>
        <w:t>year</w:t>
      </w:r>
      <w:proofErr w:type="gramEnd"/>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1" w:name="_Hlk109647010"/>
      <w:r w:rsidRPr="008E5E4F">
        <w:rPr>
          <w:rFonts w:cs="Arial"/>
          <w:b/>
          <w:szCs w:val="16"/>
        </w:rPr>
        <w:t>Provide a summary of each infrastructure improvement strategy implemented in the reporting period.</w:t>
      </w:r>
    </w:p>
    <w:bookmarkEnd w:id="71"/>
    <w:p w14:paraId="25F98C7D" w14:textId="49E84F34" w:rsidR="00EE4E0F" w:rsidRPr="009A49C9" w:rsidRDefault="00EE4E0F" w:rsidP="00EE4E0F">
      <w:pPr>
        <w:rPr>
          <w:b/>
          <w:bCs/>
        </w:rPr>
      </w:pPr>
      <w:r w:rsidRPr="00ED172B">
        <w:rPr>
          <w:color w:val="000000" w:themeColor="text1"/>
        </w:rPr>
        <w:t xml:space="preserve">OSSE supports and complies with the federal law and regulations that require early intervention services to be family-centered, community-based, and provided in the natural environment, to the maximum extent appropriate. Research shows that children learn best when they are participating in these naturally occurring learning opportunities that are a part of everyday routines and activities within the real life of the child and family. Evidence-based natural learning environment practices (NLEP) start with looking at the activities infants and toddlers participate in during their everyday life at home and in the community; these everyday activities provide learning opportunities which, in turn, can lead to increased participation and skill development for the child. Natural learning environment practices also focus on child interests to increase participation, as well as parent responsiveness to the child </w:t>
      </w:r>
      <w:proofErr w:type="gramStart"/>
      <w:r w:rsidRPr="00ED172B">
        <w:rPr>
          <w:color w:val="000000" w:themeColor="text1"/>
        </w:rPr>
        <w:t>through the use of</w:t>
      </w:r>
      <w:proofErr w:type="gramEnd"/>
      <w:r w:rsidRPr="00ED172B">
        <w:rPr>
          <w:color w:val="000000" w:themeColor="text1"/>
        </w:rPr>
        <w:t xml:space="preserve"> strategies that support child learning and development. Consistent with the NLEP approach, Strong Start’s work does not just provide services to children but supports parents and other adults in a child’s daily life to build adults’ capacity to promote children’s development and learning in the natural learning environment.</w:t>
      </w:r>
      <w:r w:rsidRPr="00ED172B">
        <w:rPr>
          <w:color w:val="000000" w:themeColor="text1"/>
        </w:rPr>
        <w:br/>
      </w:r>
      <w:r w:rsidRPr="00ED172B">
        <w:rPr>
          <w:color w:val="000000" w:themeColor="text1"/>
        </w:rPr>
        <w:br/>
        <w:t>In FFY21, OSSE focused on developing a plan to measure the implementation of NLEP to fidelity. This included new provider fidelity requirements, provider coaching fidelity self-assessment requirements, guidelines for fidelity observers and the coaching fidelity observation checklist tool for fidelity observers. These components are described in more detail below.</w:t>
      </w:r>
      <w:r w:rsidRPr="00ED172B">
        <w:rPr>
          <w:color w:val="000000" w:themeColor="text1"/>
        </w:rPr>
        <w:br/>
      </w:r>
      <w:r w:rsidRPr="00ED172B">
        <w:rPr>
          <w:color w:val="000000" w:themeColor="text1"/>
        </w:rPr>
        <w:br/>
        <w:t>1. Finalized pre-service new provider fidelity requirements.</w:t>
      </w:r>
      <w:r w:rsidRPr="00ED172B">
        <w:rPr>
          <w:color w:val="000000" w:themeColor="text1"/>
        </w:rPr>
        <w:br/>
        <w:t xml:space="preserve">OSSE developed the fidelity requirements for all new providers coming into Strong Start. Each fidelity activity is structured to offer new providers well rounded information about the foundations of the NLEP framework and how each pillar is implemented within the DC EIP system. In addition, each activity requires action steps to demonstrate competency and fidelity knowledgebase. Before new providers can start working with families, they must complete fidelity implementation activities to fully complete the pre-service fidelity requirements process, which include: </w:t>
      </w:r>
      <w:r w:rsidRPr="00ED172B">
        <w:rPr>
          <w:color w:val="000000" w:themeColor="text1"/>
        </w:rPr>
        <w:br/>
        <w:t>• Complete the Texas Coaching Families Modules (Foundational Knowledge of NLEP Coaching)</w:t>
      </w:r>
      <w:r w:rsidRPr="00ED172B">
        <w:rPr>
          <w:color w:val="000000" w:themeColor="text1"/>
        </w:rPr>
        <w:br/>
        <w:t>• Participate in DC EIP Foundations Training and complete the Fidelity Post-Test with a minimum of 80% passing score (NLEP Framework and DC EI System Implementation)</w:t>
      </w:r>
      <w:r w:rsidRPr="00ED172B">
        <w:rPr>
          <w:color w:val="000000" w:themeColor="text1"/>
        </w:rPr>
        <w:br/>
        <w:t xml:space="preserve">• Obtain Assessment, Evaluation and Programming System (AEPS) Inter Rater Reliability Certification (Ongoing Child Progress Monitoring) </w:t>
      </w:r>
      <w:r w:rsidRPr="00ED172B">
        <w:rPr>
          <w:color w:val="000000" w:themeColor="text1"/>
        </w:rPr>
        <w:br/>
      </w:r>
      <w:r w:rsidRPr="00ED172B">
        <w:rPr>
          <w:color w:val="000000" w:themeColor="text1"/>
        </w:rPr>
        <w:br/>
        <w:t>81 new providers completed the Texas Coaching Modules, attended Foundations Training, and passed the Foundations Training Fidelity Post-Test in FY22.</w:t>
      </w:r>
      <w:r w:rsidRPr="00ED172B">
        <w:rPr>
          <w:color w:val="000000" w:themeColor="text1"/>
        </w:rPr>
        <w:br/>
      </w:r>
      <w:r w:rsidRPr="00ED172B">
        <w:rPr>
          <w:color w:val="000000" w:themeColor="text1"/>
        </w:rPr>
        <w:br/>
        <w:t>2. Finalized in-service provider ongoing fidelity requirements and implemented phase one provider coaching fidelity self-assessment requirements.</w:t>
      </w:r>
      <w:r w:rsidRPr="00ED172B">
        <w:rPr>
          <w:color w:val="000000" w:themeColor="text1"/>
        </w:rPr>
        <w:br/>
        <w:t>Ongoing provider fidelity assessment requirements were finalized and relayed to vendor agencies that outlined specific requirements needed by all providers to maintain ongoing compliance with established program fidelity standards. To allow for proper implementation methodology steps, three phases were planned where each phase has increased levels of fidelity self-assessment and ongoing fidelity observation requirements. The first phase required all providers serving DC EIP families to complete one self-assessment using the DC EIP Natural Learning Environment Practices (NLEP) Coaching Fidelity Self-Assessment tool. The fidelity self-assessment allows providers to rate their current knowledge base and capacity to implement the NLEP framework and reflective coaching best practices. This allows for providers, agency clinical managers and DC EI Clinical Team staff to gauge the level of implementation competency displayed by providers working with families in DC EIP. 150 providers completed the Texas ECI Coaching Families modules and 60 providers completed DC EI Natural Learning Environment Practices (NLEP) Coaching Fidelity Self-Assessments by Sept. 30, 2022.</w:t>
      </w:r>
      <w:r w:rsidRPr="00ED172B">
        <w:rPr>
          <w:color w:val="000000" w:themeColor="text1"/>
        </w:rPr>
        <w:br/>
      </w:r>
      <w:r w:rsidRPr="00ED172B">
        <w:rPr>
          <w:color w:val="000000" w:themeColor="text1"/>
        </w:rPr>
        <w:br/>
        <w:t>3. Finalized requirements/guidelines for fidelity observers and developed coaching fidelity observation checklist tool for fidelity observers.</w:t>
      </w:r>
      <w:r w:rsidRPr="00ED172B">
        <w:rPr>
          <w:color w:val="000000" w:themeColor="text1"/>
        </w:rPr>
        <w:br/>
        <w:t xml:space="preserve">OSSE finalized the Fidelity Observer qualifications/requirements document to establish and guide clinical leadership staff at the vendor agencies in moving towards fidelity oversight implementation. Specific requirements are outlined related to what Fidelity Observers need to have completed to become Fidelity Observers and what their specific role responsibilities will be moving forward in the future for program fidelity oversight. In addition, the Coaching Fidelity Observation Checklist tool was created to allow fidelity observers to monitor the required completed Coaching Fidelity Observations of current providers. The Coaching Fidelity Observation Checklist outlines, emphasizes and provides areas for feedback on all 5 components of NLEP Coaching Fidelity. </w:t>
      </w:r>
      <w:r w:rsidRPr="00ED172B">
        <w:rPr>
          <w:color w:val="000000" w:themeColor="text1"/>
        </w:rPr>
        <w:br/>
      </w:r>
      <w:r w:rsidRPr="00ED172B">
        <w:rPr>
          <w:color w:val="000000" w:themeColor="text1"/>
        </w:rPr>
        <w:br/>
        <w:t>4. Conducted Ongoing Monthly Teaming Meeting Observations for all vendor agencies.</w:t>
      </w:r>
      <w:r w:rsidRPr="00ED172B">
        <w:rPr>
          <w:color w:val="000000" w:themeColor="text1"/>
        </w:rPr>
        <w:br/>
        <w:t xml:space="preserve">The Strong Start clinical team attended monthly teaming meetings with each vendor agency team. A fidelity observation was completed for all attended teaming meetings to ensure that all components of fidelity in the primary service provider (PSP) approach to teaming are present. Strong Start was able to provide real time feedback to providers and vendor agencies about fidelity implementation to teaming. </w:t>
      </w:r>
      <w:r w:rsidRPr="00ED172B">
        <w:rPr>
          <w:color w:val="000000" w:themeColor="text1"/>
        </w:rPr>
        <w:br/>
      </w:r>
      <w:r w:rsidRPr="00ED172B">
        <w:rPr>
          <w:color w:val="000000" w:themeColor="text1"/>
        </w:rPr>
        <w:br/>
        <w:t>5. Professional Development.</w:t>
      </w:r>
      <w:r w:rsidRPr="00ED172B">
        <w:rPr>
          <w:color w:val="000000" w:themeColor="text1"/>
        </w:rPr>
        <w:br/>
        <w:t>The Strong Start Reflection Group is an initiative created in 2019 where providers in the DC early intervention community can come together monthly to discuss issues related to using a coaching interaction style, family-related challenges and challenges related to delivery of early intervention services in child development centers. The group is also an opportunity to reflect on what providers have been doing to support families in early intervention and to engage in peer coaching opportunities with current providers in the DC early intervention system.</w:t>
      </w:r>
      <w:r w:rsidRPr="00ED172B">
        <w:rPr>
          <w:color w:val="000000" w:themeColor="text1"/>
        </w:rPr>
        <w:br/>
        <w:t xml:space="preserve">In FFY21, Strong Start reflection groups engaged providers on in the following provider suggested topics: Balancing Hybrid Schedules: In-Person and Virtual Services, Selecting the PSP, Support of Facilitation of Teaming Meetings, Navigating difficult conversations with families: scheduling, cancellations, anxiety around pandemic, IMH: Infant Mental Health is Family Mental Health, and Joint Visits: The Who, What, Where, When &amp; Why. Reflection groups had an average of 15.6 providers over 6 sessions held this year. </w:t>
      </w:r>
      <w:r w:rsidRPr="00ED172B">
        <w:rPr>
          <w:color w:val="000000" w:themeColor="text1"/>
        </w:rPr>
        <w:br/>
        <w:t>100 percent of the respondents to the Reflection Group Survey rated the initiative as Effective or Highly Effective in enhancing their knowledge of effective teaming and NLEP implementation. Additionally, 100 percent of respondents rated the groups as Effective or Highly Effective in providing opportunities for them to address case-specific barriers to implementing the coaching interaction style and teaming approach to service delivery.</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2"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w:t>
      </w:r>
      <w:r w:rsidRPr="00A85B6E">
        <w:rPr>
          <w:rFonts w:cs="Arial"/>
          <w:b/>
          <w:bCs/>
        </w:rPr>
        <w:lastRenderedPageBreak/>
        <w:t xml:space="preserve">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2"/>
    <w:p w14:paraId="6C845F06" w14:textId="7D9487AF" w:rsidR="000379F6" w:rsidRDefault="00717461" w:rsidP="006237B0">
      <w:pPr>
        <w:rPr>
          <w:rFonts w:cs="Arial"/>
          <w:b/>
          <w:bCs/>
        </w:rPr>
      </w:pPr>
      <w:r w:rsidRPr="00ED172B">
        <w:rPr>
          <w:color w:val="000000" w:themeColor="text1"/>
        </w:rPr>
        <w:t>Using the Theory of Action strands below are the outcomes achieved:</w:t>
      </w:r>
      <w:r w:rsidRPr="00ED172B">
        <w:rPr>
          <w:color w:val="000000" w:themeColor="text1"/>
        </w:rPr>
        <w:br/>
      </w:r>
      <w:r w:rsidRPr="00ED172B">
        <w:rPr>
          <w:color w:val="000000" w:themeColor="text1"/>
        </w:rPr>
        <w:br/>
        <w:t xml:space="preserve">1. If OSSE finalizes plans and protocols for fidelity of practices and implements the plan for reaching and maintaining fidelity for EI providers and service coordinators…Then…Providers will provide services in a consistent manner using evidence-based practices (EBP) </w:t>
      </w:r>
      <w:r w:rsidRPr="00ED172B">
        <w:rPr>
          <w:color w:val="000000" w:themeColor="text1"/>
        </w:rPr>
        <w:br/>
        <w:t>• Developed a fidelity assessment process to ensure that the five characteristics of coaching are implemented with fidelity (Feb. 2022)</w:t>
      </w:r>
      <w:r w:rsidRPr="00ED172B">
        <w:rPr>
          <w:color w:val="000000" w:themeColor="text1"/>
        </w:rPr>
        <w:br/>
        <w:t>• Began implementation of fidelity assessment process (Apr. 2022)</w:t>
      </w:r>
      <w:r w:rsidRPr="00ED172B">
        <w:rPr>
          <w:color w:val="000000" w:themeColor="text1"/>
        </w:rPr>
        <w:br/>
        <w:t xml:space="preserve">• Finalized pre-service new provider fidelity requirements (Texas Modules, Foundations Training, Foundations Post-test, AEPS IRR Certification/Training) (Feb. 2022) </w:t>
      </w:r>
      <w:r w:rsidRPr="00ED172B">
        <w:rPr>
          <w:color w:val="000000" w:themeColor="text1"/>
        </w:rPr>
        <w:br/>
      </w:r>
      <w:r w:rsidRPr="00ED172B">
        <w:rPr>
          <w:color w:val="000000" w:themeColor="text1"/>
        </w:rPr>
        <w:br/>
        <w:t xml:space="preserve">As a result of the above implementation strategies, provider agencies have increased their level of accountability in participating in each phase of the established fidelity assessment process. Reporting fidelity has also increased, where clinical managers are more present and reaching out for support on specific aspects of the fidelity process. All new hire providers are now initially exposed to extensive up front foundational NLEP knowledge training via the revamped pre-service new provider fidelity requirements. </w:t>
      </w:r>
      <w:r w:rsidRPr="00ED172B">
        <w:rPr>
          <w:color w:val="000000" w:themeColor="text1"/>
        </w:rPr>
        <w:br/>
      </w:r>
      <w:r w:rsidRPr="00ED172B">
        <w:rPr>
          <w:color w:val="000000" w:themeColor="text1"/>
        </w:rPr>
        <w:br/>
        <w:t>2. If OSSE develops and implements an infant mental health framework for Part C early intervention to address social and emotional development of infants and toddlers…Then… Early interventionists will increase the infant mental health competencies and skills of staff to address and improve the social-emotional well-being of children</w:t>
      </w:r>
      <w:r w:rsidRPr="00ED172B">
        <w:rPr>
          <w:color w:val="000000" w:themeColor="text1"/>
        </w:rPr>
        <w:br/>
        <w:t>• Selected Strong Start staff (5) completed the Infant Mental Health (IMH) certificate from Georgetown (May 2022)</w:t>
      </w:r>
      <w:r w:rsidRPr="00ED172B">
        <w:rPr>
          <w:color w:val="000000" w:themeColor="text1"/>
        </w:rPr>
        <w:br/>
        <w:t>• Researched IMH frameworks used in other states’ Part C programs and began to determine how infant mental health services should be provided and supported in Strong Start (Jul. 2022)</w:t>
      </w:r>
      <w:r w:rsidRPr="00ED172B">
        <w:rPr>
          <w:color w:val="000000" w:themeColor="text1"/>
        </w:rPr>
        <w:br/>
      </w:r>
      <w:r w:rsidRPr="00ED172B">
        <w:rPr>
          <w:color w:val="000000" w:themeColor="text1"/>
        </w:rPr>
        <w:br/>
        <w:t>As a result of the above implementation strategies, internal Strong Start clinical staff-built knowledge of evidence-based infant mental health concepts as the relate to the DC early intervention Pat-C process. Members of the internal clinical evaluation team were trained by Georgetown University, to be prepared to provide ongoing insight and support towards developing an ongoing IMH framework across early intervention. OSSE Part C state coordinator and clinical manager attended multiple workshops at the Improving Data, Improving Outcomes (IDIO) conference and other offered by the TA centers related to IMH in order to support the development of the IMH framework for early intervention service in DC.</w:t>
      </w:r>
      <w:r w:rsidRPr="00ED172B">
        <w:rPr>
          <w:color w:val="000000" w:themeColor="text1"/>
        </w:rPr>
        <w:br/>
      </w:r>
      <w:r w:rsidRPr="00ED172B">
        <w:rPr>
          <w:color w:val="000000" w:themeColor="text1"/>
        </w:rPr>
        <w:br/>
        <w:t>3. If OSSE develops and implements a new B-21 data system to improve the collection, reporting and use of high-quality data…Then...Early interventionists and LEAs will have access to accurate and reliable data...Parents will have access to their child’s record online...Data will be available for the timely and smooth transition of children exiting Part C to Part B services</w:t>
      </w:r>
      <w:r w:rsidRPr="00ED172B">
        <w:rPr>
          <w:color w:val="000000" w:themeColor="text1"/>
        </w:rPr>
        <w:br/>
        <w:t>• Began to build and design the new Special Education system (SEDS) (Apr. 2022)</w:t>
      </w:r>
      <w:r w:rsidRPr="00ED172B">
        <w:rPr>
          <w:color w:val="000000" w:themeColor="text1"/>
        </w:rPr>
        <w:br/>
      </w:r>
      <w:r w:rsidRPr="00ED172B">
        <w:rPr>
          <w:color w:val="000000" w:themeColor="text1"/>
        </w:rPr>
        <w:br/>
        <w:t>As a result of the above implementation strategies, OSSE and Strong Start leadership is now prepared to continue to evolve access to a new B-21 data system and develop ongoing idea development for future roll out across the birth-21 early intervention/special education space. The new SEDS is being developed and it is scheduled to be deployed in 2023.</w:t>
      </w:r>
      <w:r w:rsidRPr="00ED172B">
        <w:rPr>
          <w:color w:val="000000" w:themeColor="text1"/>
        </w:rPr>
        <w:br/>
      </w:r>
      <w:r w:rsidRPr="00ED172B">
        <w:rPr>
          <w:color w:val="000000" w:themeColor="text1"/>
        </w:rPr>
        <w:br/>
        <w:t>4. If OSSE supports provider agencies in providing professional development that support their staff in building competencies to use EBP and maintaining federal and District compliance and improving competencies in the use of EBP…Then… Provider agency leaders will support their early interventionists through professional development, observations, supervision and feedback in the implementation of the Natural Learning Environment Practices (NLEP)...Provider agency leaders will increase their ability to attract and retain qualified staff</w:t>
      </w:r>
      <w:r w:rsidRPr="00ED172B">
        <w:rPr>
          <w:color w:val="000000" w:themeColor="text1"/>
        </w:rPr>
        <w:br/>
        <w:t xml:space="preserve">• Finalized in-service provider ongoing fidelity requirements and implemented provider coaching fidelity self-assessment requirements </w:t>
      </w:r>
      <w:r w:rsidRPr="00ED172B">
        <w:rPr>
          <w:color w:val="000000" w:themeColor="text1"/>
        </w:rPr>
        <w:br/>
        <w:t xml:space="preserve">• Finalized requirements/guidelines for fidelity observers and developed coaching fidelity observation checklist tool for fidelity observers </w:t>
      </w:r>
      <w:r w:rsidRPr="00ED172B">
        <w:rPr>
          <w:color w:val="000000" w:themeColor="text1"/>
        </w:rPr>
        <w:br/>
        <w:t>• Organized reflection group professional development opportunities to build the capacity of early interventionists in the system PD offerings (Dec. 2022)</w:t>
      </w:r>
      <w:r w:rsidRPr="00ED172B">
        <w:rPr>
          <w:color w:val="000000" w:themeColor="text1"/>
        </w:rPr>
        <w:br/>
      </w:r>
      <w:r w:rsidRPr="00ED172B">
        <w:rPr>
          <w:color w:val="000000" w:themeColor="text1"/>
        </w:rPr>
        <w:br/>
        <w:t xml:space="preserve">As a result of the above implementation strategies, providers have more clarity on the distinctive fidelity requirements that need to be reported and now have opportunities to provide a self-reflective evaluation of their implementation progress towards fidelity measures. Providers will now also have a coaching fidelity observation checklist that will be able to give them a more robust and clear depiction of what NLEP coaching components should be evident when providing direct services to families. Increased awareness of monthly reflection groups and diversified topics have also increased the continuity of fidelity throughout providers and continue to provide outlets for teaming/collaboration support. </w:t>
      </w:r>
      <w:r w:rsidRPr="00ED172B">
        <w:rPr>
          <w:color w:val="000000" w:themeColor="text1"/>
        </w:rPr>
        <w:br/>
      </w:r>
      <w:r w:rsidRPr="00ED172B">
        <w:rPr>
          <w:color w:val="000000" w:themeColor="text1"/>
        </w:rPr>
        <w:br/>
        <w:t>5. If OSSE, continues to review and revise professional development offerings for early interventionists…Then…Providers will increase their understanding and use of the NLEP framework...Early Intervention will be provided in a manner that is reflective of a common understanding and consistent implementation of the concepts used routinely in the provision of services</w:t>
      </w:r>
      <w:r w:rsidRPr="00ED172B">
        <w:rPr>
          <w:color w:val="000000" w:themeColor="text1"/>
        </w:rPr>
        <w:br/>
        <w:t>• Implemented Ongoing Joint Visit and Service Increase Request Clinical Approval Monitoring</w:t>
      </w:r>
      <w:r w:rsidRPr="00ED172B">
        <w:rPr>
          <w:color w:val="000000" w:themeColor="text1"/>
        </w:rPr>
        <w:br/>
        <w:t>• Updated Strong Start foundations training (Jan. 2022)</w:t>
      </w:r>
      <w:r w:rsidRPr="00ED172B">
        <w:rPr>
          <w:color w:val="000000" w:themeColor="text1"/>
        </w:rPr>
        <w:br/>
        <w:t>• Updated new provider requirements to align with primary service provider and teaming approach to service delivery (Jun. 2022)</w:t>
      </w:r>
      <w:r w:rsidRPr="00ED172B">
        <w:rPr>
          <w:color w:val="000000" w:themeColor="text1"/>
        </w:rPr>
        <w:br/>
      </w:r>
      <w:r w:rsidRPr="00ED172B">
        <w:rPr>
          <w:color w:val="000000" w:themeColor="text1"/>
        </w:rPr>
        <w:br/>
        <w:t xml:space="preserve">As a result of the above implementation strategies, fidelity information was updated across all pre-service and in-service trainings to better prepare providers for implementation with families initially. In addition, introducing the clinical approval oversight of all service increase requests has helped to streamline the teaming process and outlets for support implementing the primary service provider framework. This also helps to support providers when service increases may not be warranted or aligned with the NLEP framework process. </w:t>
      </w:r>
      <w:r w:rsidRPr="00ED172B">
        <w:rPr>
          <w:color w:val="000000" w:themeColor="text1"/>
        </w:rPr>
        <w:br/>
      </w:r>
      <w:r w:rsidRPr="00ED172B">
        <w:rPr>
          <w:color w:val="000000" w:themeColor="text1"/>
        </w:rPr>
        <w:br/>
        <w:t>6. If OSSE develops and implements a monitoring system that provides an overall accountability system for early intervention focusing on compliance and quality improvement…Then…agencies and early interventionists will be held accountable for the administration and provision of services…appropriate and accurate data will be used to target technical assistance to specific areas of need</w:t>
      </w:r>
      <w:r w:rsidRPr="00ED172B">
        <w:rPr>
          <w:color w:val="000000" w:themeColor="text1"/>
        </w:rPr>
        <w:br/>
        <w:t xml:space="preserve">• Conducted ongoing monthly teaming meeting fidelity observations </w:t>
      </w:r>
      <w:r w:rsidRPr="00ED172B">
        <w:rPr>
          <w:color w:val="000000" w:themeColor="text1"/>
        </w:rPr>
        <w:br/>
        <w:t xml:space="preserve">• Strong Start conducted ongoing quarterly provider note audits </w:t>
      </w:r>
      <w:r w:rsidRPr="00ED172B">
        <w:rPr>
          <w:color w:val="000000" w:themeColor="text1"/>
        </w:rPr>
        <w:br/>
        <w:t>• Strong Start developed and implemented a monitoring tool for the performance of the vendor agencies contracted to provide early intervention services (Mar. 2022)</w:t>
      </w:r>
      <w:r w:rsidRPr="00ED172B">
        <w:rPr>
          <w:color w:val="000000" w:themeColor="text1"/>
        </w:rPr>
        <w:br/>
      </w:r>
      <w:r w:rsidRPr="00ED172B">
        <w:rPr>
          <w:color w:val="000000" w:themeColor="text1"/>
        </w:rPr>
        <w:br/>
        <w:t xml:space="preserve">As a result of the above implementation strategies, provider agencies were introduced to how fidelity observations should be implemented within each agency and how teaming should be reflected in provider notes/activities. Instilling another layer of observation monitoring stemming from the internal clinical Strong Start team helped create a more invested culture of acceptance towards fidelity measures and how to ensure provider notes reflect the core components of the NLEP framework. Additionally, by implementing the contract performance monitoring tool Strong Start </w:t>
      </w:r>
      <w:proofErr w:type="gramStart"/>
      <w:r w:rsidRPr="00ED172B">
        <w:rPr>
          <w:color w:val="000000" w:themeColor="text1"/>
        </w:rPr>
        <w:t>is able to</w:t>
      </w:r>
      <w:proofErr w:type="gramEnd"/>
      <w:r w:rsidRPr="00ED172B">
        <w:rPr>
          <w:color w:val="000000" w:themeColor="text1"/>
        </w:rPr>
        <w:t xml:space="preserve"> evaluate the </w:t>
      </w:r>
      <w:r w:rsidRPr="00ED172B">
        <w:rPr>
          <w:color w:val="000000" w:themeColor="text1"/>
        </w:rPr>
        <w:lastRenderedPageBreak/>
        <w:t xml:space="preserve">provision of services by vendor agencies according to the requirements on their agreement. Strong Start </w:t>
      </w:r>
      <w:proofErr w:type="gramStart"/>
      <w:r w:rsidRPr="00ED172B">
        <w:rPr>
          <w:color w:val="000000" w:themeColor="text1"/>
        </w:rPr>
        <w:t>is able to</w:t>
      </w:r>
      <w:proofErr w:type="gramEnd"/>
      <w:r w:rsidRPr="00ED172B">
        <w:rPr>
          <w:color w:val="000000" w:themeColor="text1"/>
        </w:rPr>
        <w:t xml:space="preserve"> identify issues that require attention by the providers and provide technical assistance when required. Vendor agencies are held accountable to the standards and requirements in their contract.</w:t>
      </w:r>
    </w:p>
    <w:p w14:paraId="372876BC" w14:textId="75D5A78F" w:rsidR="009C2256" w:rsidRDefault="009C2256" w:rsidP="009C2256">
      <w:pPr>
        <w:rPr>
          <w:rFonts w:cs="Arial"/>
          <w:b/>
          <w:bCs/>
        </w:rPr>
      </w:pPr>
      <w:bookmarkStart w:id="73"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3"/>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4" w:name="_Hlk109647038"/>
      <w:r w:rsidRPr="00EB4B7B">
        <w:rPr>
          <w:rFonts w:cs="Arial"/>
          <w:b/>
          <w:bCs/>
        </w:rPr>
        <w:t xml:space="preserve">Provide a summary of the next steps for each infrastructure improvement strategy and the anticipated outcomes to be attained during the next reporting period. </w:t>
      </w:r>
    </w:p>
    <w:bookmarkEnd w:id="74"/>
    <w:p w14:paraId="2B44D59F" w14:textId="71C78214" w:rsidR="00370225" w:rsidRPr="005137B6" w:rsidRDefault="00370225" w:rsidP="00370225">
      <w:pPr>
        <w:rPr>
          <w:b/>
          <w:bCs/>
        </w:rPr>
      </w:pPr>
      <w:r w:rsidRPr="00ED172B">
        <w:rPr>
          <w:color w:val="000000" w:themeColor="text1"/>
        </w:rPr>
        <w:t xml:space="preserve">In FFY22, OSSE will: </w:t>
      </w:r>
      <w:r w:rsidRPr="00ED172B">
        <w:rPr>
          <w:color w:val="000000" w:themeColor="text1"/>
        </w:rPr>
        <w:br/>
        <w:t xml:space="preserve">1. Develop coaching fidelity analysis training exercise for fidelity observers </w:t>
      </w:r>
      <w:r w:rsidRPr="00ED172B">
        <w:rPr>
          <w:color w:val="000000" w:themeColor="text1"/>
        </w:rPr>
        <w:br/>
        <w:t xml:space="preserve">2. Identify and train fidelity observers </w:t>
      </w:r>
      <w:r w:rsidRPr="00ED172B">
        <w:rPr>
          <w:color w:val="000000" w:themeColor="text1"/>
        </w:rPr>
        <w:br/>
        <w:t xml:space="preserve">3. Monitor annual coaching fidelity self-assessment requirement for providers </w:t>
      </w:r>
      <w:r w:rsidRPr="00ED172B">
        <w:rPr>
          <w:color w:val="000000" w:themeColor="text1"/>
        </w:rPr>
        <w:br/>
        <w:t xml:space="preserve">4. Monitor annual coaching fidelity observation with fidelity observer requirement for providers </w:t>
      </w:r>
      <w:r w:rsidRPr="00ED172B">
        <w:rPr>
          <w:color w:val="000000" w:themeColor="text1"/>
        </w:rPr>
        <w:br/>
        <w:t xml:space="preserve">5. Develop teaming fidelity observation checklist tool for fidelity observers </w:t>
      </w:r>
      <w:r w:rsidRPr="00ED172B">
        <w:rPr>
          <w:color w:val="000000" w:themeColor="text1"/>
        </w:rPr>
        <w:br/>
        <w:t xml:space="preserve">6. Monitor annual teaming fidelity observation with fidelity observer requirement for providers </w:t>
      </w:r>
      <w:r w:rsidRPr="00ED172B">
        <w:rPr>
          <w:color w:val="000000" w:themeColor="text1"/>
        </w:rPr>
        <w:br/>
        <w:t xml:space="preserve">7. Start to develop a monitoring tool for overall fidelity compliance </w:t>
      </w:r>
      <w:r w:rsidRPr="00ED172B">
        <w:rPr>
          <w:color w:val="000000" w:themeColor="text1"/>
        </w:rPr>
        <w:br/>
        <w:t xml:space="preserve">8. Develop an infant mental health framework and plan for implementation </w:t>
      </w:r>
      <w:r w:rsidRPr="00ED172B">
        <w:rPr>
          <w:color w:val="000000" w:themeColor="text1"/>
        </w:rPr>
        <w:br/>
        <w:t>9. Continue development, migration and implementation of Special Education Data System (SEDS) B-21 data system</w:t>
      </w:r>
      <w:r w:rsidRPr="00ED172B">
        <w:rPr>
          <w:color w:val="000000" w:themeColor="text1"/>
        </w:rPr>
        <w:br/>
        <w:t>10. Continue holding diverse capacity-building monthly reflection groups, while introducing current evidence-based professional development topics</w:t>
      </w:r>
      <w:r w:rsidRPr="00ED172B">
        <w:rPr>
          <w:color w:val="000000" w:themeColor="text1"/>
        </w:rPr>
        <w:br/>
      </w:r>
      <w:r w:rsidRPr="00ED172B">
        <w:rPr>
          <w:color w:val="000000" w:themeColor="text1"/>
        </w:rPr>
        <w:br/>
        <w:t>If OSSE…</w:t>
      </w:r>
      <w:r w:rsidRPr="00ED172B">
        <w:rPr>
          <w:color w:val="000000" w:themeColor="text1"/>
        </w:rPr>
        <w:br/>
        <w:t xml:space="preserve">1. Finalizes plans and protocols for fidelity of practices and implements the plan for reaching and maintaining fidelity for EI providers and service coordinators…Then…Providers will provide services in a consistent manner using evidence-based practices (EBP) </w:t>
      </w:r>
      <w:r w:rsidRPr="00ED172B">
        <w:rPr>
          <w:color w:val="000000" w:themeColor="text1"/>
        </w:rPr>
        <w:br/>
        <w:t>Activities and Timelines</w:t>
      </w:r>
      <w:r w:rsidRPr="00ED172B">
        <w:rPr>
          <w:color w:val="000000" w:themeColor="text1"/>
        </w:rPr>
        <w:br/>
        <w:t>• Develop coaching fidelity analysis training exercise for fidelity observers - by February 2023</w:t>
      </w:r>
      <w:r w:rsidRPr="00ED172B">
        <w:rPr>
          <w:color w:val="000000" w:themeColor="text1"/>
        </w:rPr>
        <w:br/>
        <w:t>• Develop teaming fidelity observation checklist tool for fidelity observers - by April 2023</w:t>
      </w:r>
      <w:r w:rsidRPr="00ED172B">
        <w:rPr>
          <w:color w:val="000000" w:themeColor="text1"/>
        </w:rPr>
        <w:br/>
        <w:t>• Review data from fidelity assessments to evaluate progress - by October 2023</w:t>
      </w:r>
      <w:r w:rsidRPr="00ED172B">
        <w:rPr>
          <w:color w:val="000000" w:themeColor="text1"/>
        </w:rPr>
        <w:br/>
      </w:r>
      <w:r w:rsidRPr="00ED172B">
        <w:rPr>
          <w:color w:val="000000" w:themeColor="text1"/>
        </w:rPr>
        <w:br/>
        <w:t>2. Develops and implement an infant mental health framework for Part C early intervention to address social and emotional development of infants and toddlers…Then… Early interventionists will increase the infant mental health competencies and skills of staff to address and improve the social-emotional well-being of children</w:t>
      </w:r>
      <w:r w:rsidRPr="00ED172B">
        <w:rPr>
          <w:color w:val="000000" w:themeColor="text1"/>
        </w:rPr>
        <w:br/>
        <w:t>Activities and Timelines</w:t>
      </w:r>
      <w:r w:rsidRPr="00ED172B">
        <w:rPr>
          <w:color w:val="000000" w:themeColor="text1"/>
        </w:rPr>
        <w:br/>
        <w:t>• Develop an IMH framework and the structure to support the system during IFSP services, teaming meetings and capacity building - by August 2023</w:t>
      </w:r>
      <w:r w:rsidRPr="00ED172B">
        <w:rPr>
          <w:color w:val="000000" w:themeColor="text1"/>
        </w:rPr>
        <w:br/>
        <w:t>• Start implementation of IMH framework in Strong Start - by December 2023</w:t>
      </w:r>
      <w:r w:rsidRPr="00ED172B">
        <w:rPr>
          <w:color w:val="000000" w:themeColor="text1"/>
        </w:rPr>
        <w:br/>
      </w:r>
      <w:r w:rsidRPr="00ED172B">
        <w:rPr>
          <w:color w:val="000000" w:themeColor="text1"/>
        </w:rPr>
        <w:br/>
        <w:t>3. Develops and implements a new B-21 data system to improve the collection, reporting and use of high-quality data…Then...Early interventionists and LEAs will have access to accurate and reliable data...Parents will have access to their child’s record online...Data will be available for the timely and smooth transition of children exiting Part C to Part B services</w:t>
      </w:r>
      <w:r w:rsidRPr="00ED172B">
        <w:rPr>
          <w:color w:val="000000" w:themeColor="text1"/>
        </w:rPr>
        <w:br/>
        <w:t>Activities and Timelines</w:t>
      </w:r>
      <w:r w:rsidRPr="00ED172B">
        <w:rPr>
          <w:color w:val="000000" w:themeColor="text1"/>
        </w:rPr>
        <w:br/>
        <w:t>• Test final functionality of the system and train all users - by April 2023</w:t>
      </w:r>
      <w:r w:rsidRPr="00ED172B">
        <w:rPr>
          <w:color w:val="000000" w:themeColor="text1"/>
        </w:rPr>
        <w:br/>
        <w:t>• Final migration and implementation of Special Education Data System (SEDS) - by December 2023</w:t>
      </w:r>
      <w:r w:rsidRPr="00ED172B">
        <w:rPr>
          <w:color w:val="000000" w:themeColor="text1"/>
        </w:rPr>
        <w:br/>
      </w:r>
      <w:r w:rsidRPr="00ED172B">
        <w:rPr>
          <w:color w:val="000000" w:themeColor="text1"/>
        </w:rPr>
        <w:br/>
        <w:t>4. Supports provider agencies in providing professional development that support their staff in building competencies to use EBP and maintaining federal and District compliance and improving competencies in the use of EBP…Then… Provider agency leaders will support their early interventionists through professional development, observations, supervision and feedback in the implementation of the Natural Learning Environment Practices (NLEP)...Provider agency leaders will increase their ability to attract and retain qualified staff</w:t>
      </w:r>
      <w:r w:rsidRPr="00ED172B">
        <w:rPr>
          <w:color w:val="000000" w:themeColor="text1"/>
        </w:rPr>
        <w:br/>
        <w:t>Activities and Timelines</w:t>
      </w:r>
      <w:r w:rsidRPr="00ED172B">
        <w:rPr>
          <w:color w:val="000000" w:themeColor="text1"/>
        </w:rPr>
        <w:br/>
        <w:t>• Develop and update content of Strong Start website - by October 2023</w:t>
      </w:r>
      <w:r w:rsidRPr="00ED172B">
        <w:rPr>
          <w:color w:val="000000" w:themeColor="text1"/>
        </w:rPr>
        <w:br/>
        <w:t>• Organize professional development opportunities to build the capacity of early interventionists in the system professional development offerings - by June 2023</w:t>
      </w:r>
      <w:r w:rsidRPr="00ED172B">
        <w:rPr>
          <w:color w:val="000000" w:themeColor="text1"/>
        </w:rPr>
        <w:br/>
      </w:r>
      <w:r w:rsidRPr="00ED172B">
        <w:rPr>
          <w:color w:val="000000" w:themeColor="text1"/>
        </w:rPr>
        <w:br/>
      </w:r>
      <w:r w:rsidRPr="00ED172B">
        <w:rPr>
          <w:color w:val="000000" w:themeColor="text1"/>
        </w:rPr>
        <w:br/>
        <w:t>5. Continues to review and revise professional development offerings for early interventionists…Then…Providers will increase their understanding and use of the NLEP framework...Early Intervention will be provided in a manner that is reflective of a common understanding and consistent implementation of the concepts used routinely in the provision of services</w:t>
      </w:r>
      <w:r w:rsidRPr="00ED172B">
        <w:rPr>
          <w:color w:val="000000" w:themeColor="text1"/>
        </w:rPr>
        <w:br/>
        <w:t>Activities and Timelines</w:t>
      </w:r>
      <w:r w:rsidRPr="00ED172B">
        <w:rPr>
          <w:color w:val="000000" w:themeColor="text1"/>
        </w:rPr>
        <w:br/>
        <w:t>• Continue holding diverse capacity-building monthly reflection groups, while introducing current evidence-based professional development topics - by December 2023</w:t>
      </w:r>
      <w:r w:rsidRPr="00ED172B">
        <w:rPr>
          <w:color w:val="000000" w:themeColor="text1"/>
        </w:rPr>
        <w:br/>
        <w:t>• Migration to updated evaluation tool to determine eligibility from Battelle Developmental Inventory, Second Edition (BDI-2) to the Third Edition (BDI-3) and the assessment for child outcomes tool Assessment, Evaluation, and Programming System for Infants and Children, Second Edition (AEPS-2) to the Third Edition (AEPS-3) - by December of 2023</w:t>
      </w:r>
      <w:r w:rsidRPr="00ED172B">
        <w:rPr>
          <w:color w:val="000000" w:themeColor="text1"/>
        </w:rPr>
        <w:br/>
      </w:r>
      <w:r w:rsidRPr="00ED172B">
        <w:rPr>
          <w:color w:val="000000" w:themeColor="text1"/>
        </w:rPr>
        <w:br/>
      </w:r>
      <w:r w:rsidRPr="00ED172B">
        <w:rPr>
          <w:color w:val="000000" w:themeColor="text1"/>
        </w:rPr>
        <w:br/>
        <w:t>6. Develops and implements a monitoring system that provides an overall accountability system for early intervention focusing on compliance and quality improvement…Then…agencies and early interventionists will be held accountable for the administration and provision of services…appropriate and accurate data will be used to target technical assistance to specific areas of need</w:t>
      </w:r>
      <w:r w:rsidRPr="00ED172B">
        <w:rPr>
          <w:color w:val="000000" w:themeColor="text1"/>
        </w:rPr>
        <w:br/>
        <w:t>Activities and Timelines</w:t>
      </w:r>
      <w:r w:rsidRPr="00ED172B">
        <w:rPr>
          <w:color w:val="000000" w:themeColor="text1"/>
        </w:rPr>
        <w:br/>
        <w:t>• Identify and train fidelity observers - by March 2023</w:t>
      </w:r>
      <w:r w:rsidRPr="00ED172B">
        <w:rPr>
          <w:color w:val="000000" w:themeColor="text1"/>
        </w:rPr>
        <w:br/>
        <w:t>• Develop a monitoring tool for overall fidelity compliance - by September 2023</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5" w:name="_Hlk109647044"/>
      <w:r w:rsidRPr="0072398B">
        <w:rPr>
          <w:rFonts w:cs="Arial"/>
          <w:b/>
          <w:bCs/>
        </w:rPr>
        <w:t>List the selected evidence-based practices implemented in the reporting period:</w:t>
      </w:r>
    </w:p>
    <w:bookmarkEnd w:id="75"/>
    <w:p w14:paraId="741AB6F5" w14:textId="3EC0E8B5" w:rsidR="00582D95" w:rsidRDefault="00582D95" w:rsidP="00582D95">
      <w:pPr>
        <w:rPr>
          <w:color w:val="000000" w:themeColor="text1"/>
        </w:rPr>
      </w:pPr>
      <w:r w:rsidRPr="00ED172B">
        <w:rPr>
          <w:color w:val="000000" w:themeColor="text1"/>
        </w:rPr>
        <w:t>During this reporting period OSSE continued to implement the Natural Learning Environment Practices (NLE) framework and focused on established guidelines to assess fidelity in the use of coaching as a style of interaction with families and team members and the Primary Service Provider Approach to teaming.</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6" w:name="_Hlk109647049"/>
      <w:r w:rsidRPr="00AB24A4">
        <w:rPr>
          <w:rFonts w:cs="Arial"/>
          <w:b/>
          <w:bCs/>
        </w:rPr>
        <w:t>Provide a summary of each evidence-based practice.</w:t>
      </w:r>
    </w:p>
    <w:bookmarkEnd w:id="76"/>
    <w:p w14:paraId="0AE8C012" w14:textId="0CF0516A" w:rsidR="002679EA" w:rsidRPr="005137B6" w:rsidRDefault="002679EA" w:rsidP="002679EA">
      <w:pPr>
        <w:rPr>
          <w:b/>
          <w:bCs/>
        </w:rPr>
      </w:pPr>
      <w:r w:rsidRPr="00ED172B">
        <w:rPr>
          <w:color w:val="000000" w:themeColor="text1"/>
        </w:rPr>
        <w:lastRenderedPageBreak/>
        <w:t>NATURAL LEARNING ENVIRONMENT PRACTICES (NLEP) FRAMEWORK</w:t>
      </w:r>
      <w:r w:rsidRPr="00ED172B">
        <w:rPr>
          <w:color w:val="000000" w:themeColor="text1"/>
        </w:rPr>
        <w:br/>
        <w:t>DC EIP supports infants and toddlers with developmental delays and their families. OSSE's approach to early intervention is based on evidence. This means that Strong Start uses strategies and supports that we know work based on research. Family members and other care providers learn practices that use a child’s interests and everyday activities as learning opportunities. The child’s natural environment becomes a safe space for the child to practice and learn new skills.</w:t>
      </w:r>
      <w:r w:rsidRPr="00ED172B">
        <w:rPr>
          <w:color w:val="000000" w:themeColor="text1"/>
        </w:rPr>
        <w:br/>
      </w:r>
      <w:r w:rsidRPr="00ED172B">
        <w:rPr>
          <w:color w:val="000000" w:themeColor="text1"/>
        </w:rPr>
        <w:br/>
        <w:t>INTEREST-BASED LEARNING AND FAMILY ROUTINES</w:t>
      </w:r>
      <w:r w:rsidRPr="00ED172B">
        <w:rPr>
          <w:color w:val="000000" w:themeColor="text1"/>
        </w:rPr>
        <w:br/>
        <w:t>Early interventionists use the child’s involvement in activities with people and objects they find fun and exciting as the best way for them to learn and grow.</w:t>
      </w:r>
      <w:r w:rsidRPr="00ED172B">
        <w:rPr>
          <w:color w:val="000000" w:themeColor="text1"/>
        </w:rPr>
        <w:br/>
      </w:r>
      <w:r w:rsidRPr="00ED172B">
        <w:rPr>
          <w:color w:val="000000" w:themeColor="text1"/>
        </w:rPr>
        <w:br/>
        <w:t>COACHING INTERACTION STYLE</w:t>
      </w:r>
      <w:r w:rsidRPr="00ED172B">
        <w:rPr>
          <w:color w:val="000000" w:themeColor="text1"/>
        </w:rPr>
        <w:br/>
        <w:t>Coaching allows the early interventionist to build a family’s ability to support their child through new skills and increased confidence. Coaching interactions during early intervention visits help families develop their skills to support and promote their child’s growth and development through natural learning opportunities. Coaching during ordinary family routines helps families identify, practice and reflect on strategies and interactions with their children, problem solve and receive supportive feedback.</w:t>
      </w:r>
      <w:r w:rsidRPr="00ED172B">
        <w:rPr>
          <w:color w:val="000000" w:themeColor="text1"/>
        </w:rPr>
        <w:br/>
        <w:t>As outlined by Rush and Shelden (2011) there are five key characteristics of coaching that builds the confidence and competence in parents including:</w:t>
      </w:r>
      <w:r w:rsidRPr="00ED172B">
        <w:rPr>
          <w:color w:val="000000" w:themeColor="text1"/>
        </w:rPr>
        <w:br/>
        <w:t>1. Joint Planning: an agreed-upon plan between the primary service provider (PSP) for what routines or activities will be worked on in the session</w:t>
      </w:r>
      <w:r w:rsidRPr="00ED172B">
        <w:rPr>
          <w:color w:val="000000" w:themeColor="text1"/>
        </w:rPr>
        <w:br/>
        <w:t>2. Observation: examination of another person’s actions or practices to be used to develop skills, strategies, or ideas</w:t>
      </w:r>
      <w:r w:rsidRPr="00ED172B">
        <w:rPr>
          <w:color w:val="000000" w:themeColor="text1"/>
        </w:rPr>
        <w:br/>
        <w:t>3. Action/Practice: spontaneous or planned events that occur within the context of a real-life situation that provide the parent with opportunities to practice, refine, or analyze new or existing skills</w:t>
      </w:r>
      <w:r w:rsidRPr="00ED172B">
        <w:rPr>
          <w:color w:val="000000" w:themeColor="text1"/>
        </w:rPr>
        <w:br/>
        <w:t>4: Reflection: analysis of existing strategies to determine how the strategies are consistent with evidence-based practices and how they may need to be implemented without change or modified to achieve the intended outcome(s)</w:t>
      </w:r>
      <w:r w:rsidRPr="00ED172B">
        <w:rPr>
          <w:color w:val="000000" w:themeColor="text1"/>
        </w:rPr>
        <w:br/>
        <w:t>5: Feedback: information provided by the PSP based on direct observation or parent report. Feedback is designed to expand the parent current level of understanding</w:t>
      </w:r>
      <w:r w:rsidRPr="00ED172B">
        <w:rPr>
          <w:color w:val="000000" w:themeColor="text1"/>
        </w:rPr>
        <w:br/>
      </w:r>
      <w:r w:rsidRPr="00ED172B">
        <w:rPr>
          <w:color w:val="000000" w:themeColor="text1"/>
        </w:rPr>
        <w:br/>
        <w:t>PRIMARY SERVICE PROVIDER APPROACH TO TEAMING</w:t>
      </w:r>
      <w:r w:rsidRPr="00ED172B">
        <w:rPr>
          <w:color w:val="000000" w:themeColor="text1"/>
        </w:rPr>
        <w:br/>
        <w:t>The PSP model is used to support families of infants and toddlers in reaching the goals in their Individualized Family Service Plan (IFSP). Using this approach, a team of professionals works together to support children, families and caregivers.</w:t>
      </w:r>
      <w:r w:rsidRPr="00ED172B">
        <w:rPr>
          <w:color w:val="000000" w:themeColor="text1"/>
        </w:rPr>
        <w:br/>
        <w:t>One member of the team, serving as the PSP, functions as the primary liaison between the family and other team members. Using a coaching interaction style, the PSP receives consultation from the other team members and interacts with and</w:t>
      </w:r>
      <w:r w:rsidRPr="00ED172B">
        <w:rPr>
          <w:color w:val="000000" w:themeColor="text1"/>
        </w:rPr>
        <w:br/>
        <w:t>coaches other team members, the family and caregivers. The selection of the PSP occurs at the initial IFSP meeting after reviewing the goals, also referred to as the outcome statements.</w:t>
      </w:r>
      <w:r w:rsidRPr="00ED172B">
        <w:rPr>
          <w:color w:val="000000" w:themeColor="text1"/>
        </w:rPr>
        <w:br/>
      </w:r>
      <w:r w:rsidRPr="00ED172B">
        <w:rPr>
          <w:color w:val="000000" w:themeColor="text1"/>
        </w:rPr>
        <w:br/>
        <w:t>In addition to providing services, the PSP collaborates and coordinates with the other team members on meeting the IFSP outcomes by meeting regularly to utilize the group’s collective skills, experience and expertise. The child and family should have access to all team members as needed via teaming meetings and joint visits. Teaming happens in the form of a meeting with team members of other disciplines. Early interventionists use a coaching interaction style to problem solve and support each other during the meeting. Teaming meetings help to build and develop the early interventionist’s own capacity, to enable them to collaborate across disciplines and better support their families. Joint visits should be conducted if the family requests direct access to another team member, or when the PSP or another team member has questions that can only be answered with direct observation from a non-PSP team member. During a joint visit, a team member may work directly with the child and consult the child’s parents, caregivers and PSP. After the joint visit(s), the child’s parents and caregivers will receive ongoing support and guidance from the PSP to continue implementing what they’ve learned during their child’s naturally occurring daily routines and activities.</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7"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7"/>
    <w:p w14:paraId="2FC32005" w14:textId="20E8C2E6" w:rsidR="00F05ED0" w:rsidRPr="005137B6" w:rsidRDefault="00F05ED0" w:rsidP="00F05ED0">
      <w:pPr>
        <w:rPr>
          <w:b/>
          <w:bCs/>
        </w:rPr>
      </w:pPr>
      <w:r w:rsidRPr="00ED172B">
        <w:rPr>
          <w:color w:val="000000" w:themeColor="text1"/>
        </w:rPr>
        <w:t xml:space="preserve">As a result of 1) finalizing pre-service new provider fidelity requirements, 2) finalizing in-service provider ongoing fidelity requirements and implementing phase one provider coaching fidelity self-assessment requirements, 3) finalizing requirements/guidelines for fidelity observers and developing the coaching fidelity observation checklist tool for fidelity observers, 4) conducting ongoing monthly teaming meeting observations for all vendor agencies, 5) conducting ongoing quarterly provider note audits for all vendor agencies and 6) implementing ongoing joint visit and service increase request clinical approval monitoring: PSP’s and agency clinical managers are better informed and prepared with high quality fidelity implementation support documents for ongoing evidence-based NLEP service monitoring. Data collection procedures and ongoing service implementation monitoring will provide families with increased access to high quality EI services and will ensure that appropriate capacity building teaming and coaching practices are being utilized to fidelity and therefore having an impact on the District's </w:t>
      </w:r>
      <w:proofErr w:type="spellStart"/>
      <w:r w:rsidRPr="00ED172B">
        <w:rPr>
          <w:color w:val="000000" w:themeColor="text1"/>
        </w:rPr>
        <w:t>SiMR</w:t>
      </w:r>
      <w:proofErr w:type="spellEnd"/>
      <w:r w:rsidRPr="00ED172B">
        <w:rPr>
          <w:color w:val="000000" w:themeColor="text1"/>
        </w:rPr>
        <w:t>.</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8" w:name="_Hlk109647063"/>
      <w:r w:rsidRPr="00F008FE">
        <w:rPr>
          <w:rFonts w:cs="Arial"/>
          <w:b/>
          <w:bCs/>
        </w:rPr>
        <w:t xml:space="preserve">Describe the data collected to monitor fidelity of implementation and to assess practice change. </w:t>
      </w:r>
    </w:p>
    <w:bookmarkEnd w:id="78"/>
    <w:p w14:paraId="6371547D" w14:textId="42F6C7DD" w:rsidR="0051509A" w:rsidRPr="005137B6" w:rsidRDefault="0051509A" w:rsidP="0051509A">
      <w:pPr>
        <w:rPr>
          <w:b/>
          <w:bCs/>
        </w:rPr>
      </w:pPr>
      <w:r w:rsidRPr="00ED172B">
        <w:rPr>
          <w:color w:val="000000" w:themeColor="text1"/>
        </w:rPr>
        <w:t xml:space="preserve">• Finalized pre-service new provider fidelity requirements </w:t>
      </w:r>
      <w:r w:rsidRPr="00ED172B">
        <w:rPr>
          <w:color w:val="000000" w:themeColor="text1"/>
        </w:rPr>
        <w:br/>
        <w:t xml:space="preserve">   81 new providers completed the Texas Coaching Modules, attended Foundations Training, and passed the Foundations Training Fidelity Post-Test </w:t>
      </w:r>
      <w:r w:rsidRPr="00ED172B">
        <w:rPr>
          <w:color w:val="000000" w:themeColor="text1"/>
        </w:rPr>
        <w:br/>
      </w:r>
      <w:r w:rsidRPr="00ED172B">
        <w:rPr>
          <w:color w:val="000000" w:themeColor="text1"/>
        </w:rPr>
        <w:br/>
        <w:t xml:space="preserve">• Finalized in-service provider ongoing fidelity requirements and implemented phase one provider coaching fidelity self-assessment requirements </w:t>
      </w:r>
      <w:r w:rsidRPr="00ED172B">
        <w:rPr>
          <w:color w:val="000000" w:themeColor="text1"/>
        </w:rPr>
        <w:br/>
        <w:t xml:space="preserve">  150 providers completed the Texas ECI Coaching Families modules and 60 providers completed the Natural Learning Environment Practices (NLEP) Coaching Fidelity Self-Assessments </w:t>
      </w:r>
      <w:r w:rsidRPr="00ED172B">
        <w:rPr>
          <w:color w:val="000000" w:themeColor="text1"/>
        </w:rPr>
        <w:br/>
      </w:r>
      <w:r w:rsidRPr="00ED172B">
        <w:rPr>
          <w:color w:val="000000" w:themeColor="text1"/>
        </w:rPr>
        <w:br/>
        <w:t>• Implemented Ongoing Joint Visit and Service Increase Request Clinical Approval Monitoring</w:t>
      </w:r>
      <w:r w:rsidRPr="00ED172B">
        <w:rPr>
          <w:color w:val="000000" w:themeColor="text1"/>
        </w:rPr>
        <w:br/>
        <w:t xml:space="preserve">  43 service increase or addition requests were reviewed and addressed by the Strong Start Clinical Manager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9"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9"/>
    <w:p w14:paraId="007AE64F" w14:textId="127A4D0F" w:rsidR="00107600" w:rsidRPr="005137B6" w:rsidRDefault="00107600" w:rsidP="00107600">
      <w:pPr>
        <w:rPr>
          <w:b/>
          <w:bCs/>
        </w:rPr>
      </w:pPr>
      <w:r w:rsidRPr="00ED172B">
        <w:rPr>
          <w:color w:val="000000" w:themeColor="text1"/>
        </w:rPr>
        <w:t xml:space="preserve">Reflection Groups Data:  </w:t>
      </w:r>
      <w:r w:rsidRPr="00ED172B">
        <w:rPr>
          <w:color w:val="000000" w:themeColor="text1"/>
        </w:rPr>
        <w:br/>
        <w:t xml:space="preserve">The Strong Start Reflection Group is an initiative created in 2019 where providers in the DC early intervention community can come together monthly to discuss issues related to using a coaching interaction style, family-related challenges and challenges related to delivery of early intervention services in child development centers. The group is also an opportunity to reflect on what providers have been doing to support families in early intervention and to engage in peer coaching opportunities with current providers in the DC early intervention system. </w:t>
      </w:r>
      <w:r w:rsidRPr="00ED172B">
        <w:rPr>
          <w:color w:val="000000" w:themeColor="text1"/>
        </w:rPr>
        <w:br/>
        <w:t xml:space="preserve"> </w:t>
      </w:r>
      <w:r w:rsidRPr="00ED172B">
        <w:rPr>
          <w:color w:val="000000" w:themeColor="text1"/>
        </w:rPr>
        <w:br/>
        <w:t xml:space="preserve">In FFY22, Strong Start reflection groups engaged providers on in the following provider suggested topics: Balancing Hybrid Schedules: In-Person and </w:t>
      </w:r>
      <w:r w:rsidRPr="00ED172B">
        <w:rPr>
          <w:color w:val="000000" w:themeColor="text1"/>
        </w:rPr>
        <w:lastRenderedPageBreak/>
        <w:t xml:space="preserve">Virtual Services, Selecting the PSP, Support of Facilitation of Teaming Meetings, </w:t>
      </w:r>
      <w:proofErr w:type="gramStart"/>
      <w:r w:rsidRPr="00ED172B">
        <w:rPr>
          <w:color w:val="000000" w:themeColor="text1"/>
        </w:rPr>
        <w:t>Navigating</w:t>
      </w:r>
      <w:proofErr w:type="gramEnd"/>
      <w:r w:rsidRPr="00ED172B">
        <w:rPr>
          <w:color w:val="000000" w:themeColor="text1"/>
        </w:rPr>
        <w:t xml:space="preserve"> difficult conversations with families” (scheduling, cancellations, anxiety around pandemic, IMH: Infant Mental Health is Family Mental Health, and Joint Visits: The Who, What, Where, When &amp; Why.  Reflection groups had an average of 15.6 providers over 6 sessions held this year.    </w:t>
      </w:r>
      <w:r w:rsidRPr="00ED172B">
        <w:rPr>
          <w:color w:val="000000" w:themeColor="text1"/>
        </w:rPr>
        <w:br/>
        <w:t xml:space="preserve"> </w:t>
      </w:r>
      <w:r w:rsidRPr="00ED172B">
        <w:rPr>
          <w:color w:val="000000" w:themeColor="text1"/>
        </w:rPr>
        <w:br/>
        <w:t xml:space="preserve">100% of the respondents to the Reflection Group Survey rated the initiative as Effective or Highly Effective in enhancing their knowledge of effective teaming and NLEP implementation. Additionally, 100% of respondents rated the groups as Effective or Highly Effective in providing opportunities for them to address case-specific barriers to implementing the coaching interaction style and teaming approach to service delivery. </w:t>
      </w:r>
      <w:r w:rsidRPr="00ED172B">
        <w:rPr>
          <w:color w:val="000000" w:themeColor="text1"/>
        </w:rPr>
        <w:br/>
      </w:r>
      <w:r w:rsidRPr="00ED172B">
        <w:rPr>
          <w:color w:val="000000" w:themeColor="text1"/>
        </w:rPr>
        <w:br/>
        <w:t xml:space="preserve">Coaching Fidelity Self-Assessment Requirement Data:  </w:t>
      </w:r>
      <w:r w:rsidRPr="00ED172B">
        <w:rPr>
          <w:color w:val="000000" w:themeColor="text1"/>
        </w:rPr>
        <w:br/>
        <w:t>In FY22, Strong Start received 60 responses to the Provider Coaching Fidelity Self-Assessment.  The average fidelity score documented based on the self-assessment data was 90% of responding providers feel as though they are implementing the majority (at least 80</w:t>
      </w:r>
      <w:proofErr w:type="gramStart"/>
      <w:r w:rsidRPr="00ED172B">
        <w:rPr>
          <w:color w:val="000000" w:themeColor="text1"/>
        </w:rPr>
        <w:t>% )</w:t>
      </w:r>
      <w:proofErr w:type="gramEnd"/>
      <w:r w:rsidRPr="00ED172B">
        <w:rPr>
          <w:color w:val="000000" w:themeColor="text1"/>
        </w:rPr>
        <w:t xml:space="preserve"> of all aspects of the NLEP coaching framework effectively.  In addition, 28% of providers felt they were implementing 100% of all aspects of the NLEP coaching framework effectively.   </w:t>
      </w:r>
      <w:r w:rsidRPr="00ED172B">
        <w:rPr>
          <w:color w:val="000000" w:themeColor="text1"/>
        </w:rPr>
        <w:br/>
        <w:t xml:space="preserve"> </w:t>
      </w:r>
      <w:r w:rsidRPr="00ED172B">
        <w:rPr>
          <w:color w:val="000000" w:themeColor="text1"/>
        </w:rPr>
        <w:br/>
        <w:t xml:space="preserve">New Community Playgroup DC Public Library Partnership BPA Data:  </w:t>
      </w:r>
      <w:r w:rsidRPr="00ED172B">
        <w:rPr>
          <w:color w:val="000000" w:themeColor="text1"/>
        </w:rPr>
        <w:br/>
        <w:t xml:space="preserve">After a 2-year hiatus due to the public health emergency mandates, OSSE was able to secure a new agreement with DC Public Libraries (DCPL) to bring back Community Playgroups in 2 different local library branches.  In FY22, planning and communication was completed by partnering with DCPL leadership staff on identifying specific library branches that had a demand for this type of program.  In addition to these playgroups being equitably accessible to all families in DC, the new agreement allows for flexibility in scheduling as well as the ability to provide “Pop-Up” playgroups and other various outreach events at local branches.  Moving forward, this will strengthen the partnership between two DC Government agencies serving infants/toddlers and allows for more timely scheduling of future events as community needs arise.  In addition, this partnership increases the community’s exposure to the NLEP EBP’s that DC EIP implements regularly through the facilitators that are all current Strong Start providers.  Rollout of the two community </w:t>
      </w:r>
      <w:proofErr w:type="gramStart"/>
      <w:r w:rsidRPr="00ED172B">
        <w:rPr>
          <w:color w:val="000000" w:themeColor="text1"/>
        </w:rPr>
        <w:t>playgroups</w:t>
      </w:r>
      <w:proofErr w:type="gramEnd"/>
      <w:r w:rsidRPr="00ED172B">
        <w:rPr>
          <w:color w:val="000000" w:themeColor="text1"/>
        </w:rPr>
        <w:t xml:space="preserve"> locations is slated for January 2023.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0" w:name="_Hlk109647074"/>
      <w:r w:rsidRPr="006A6410">
        <w:rPr>
          <w:rFonts w:cs="Arial"/>
          <w:b/>
          <w:bCs/>
        </w:rPr>
        <w:t xml:space="preserve">Provide a summary of the next steps for each evidence-based practices and the anticipated outcomes to be attained during the next reporting period. </w:t>
      </w:r>
    </w:p>
    <w:bookmarkEnd w:id="80"/>
    <w:p w14:paraId="5FC33224" w14:textId="66099ED0" w:rsidR="00026ADD" w:rsidRPr="005137B6" w:rsidRDefault="00026ADD" w:rsidP="00026ADD">
      <w:pPr>
        <w:rPr>
          <w:b/>
          <w:bCs/>
        </w:rPr>
      </w:pPr>
      <w:r w:rsidRPr="00ED172B">
        <w:rPr>
          <w:color w:val="000000" w:themeColor="text1"/>
        </w:rPr>
        <w:t>1. Finalize development of coaching and teaming fidelity observation documents</w:t>
      </w:r>
      <w:r w:rsidRPr="00ED172B">
        <w:rPr>
          <w:color w:val="000000" w:themeColor="text1"/>
        </w:rPr>
        <w:br/>
        <w:t xml:space="preserve">2. Identify and train vendor agency fidelity observers </w:t>
      </w:r>
      <w:r w:rsidRPr="00ED172B">
        <w:rPr>
          <w:color w:val="000000" w:themeColor="text1"/>
        </w:rPr>
        <w:br/>
        <w:t xml:space="preserve">3. Continue to implement ongoing fidelity requirements for all vendor agencies </w:t>
      </w:r>
      <w:r w:rsidRPr="00ED172B">
        <w:rPr>
          <w:color w:val="000000" w:themeColor="text1"/>
        </w:rPr>
        <w:br/>
        <w:t xml:space="preserve">4. Develop an ongoing fidelity reporting and monitoring process </w:t>
      </w:r>
      <w:r w:rsidRPr="00ED172B">
        <w:rPr>
          <w:color w:val="000000" w:themeColor="text1"/>
        </w:rPr>
        <w:br/>
        <w:t>5. Review data from fidelity assessments to evaluate progress</w:t>
      </w:r>
      <w:r w:rsidRPr="00ED172B">
        <w:rPr>
          <w:color w:val="000000" w:themeColor="text1"/>
        </w:rPr>
        <w:br/>
        <w:t xml:space="preserve">6. Continue to plan for playgroup expansion in additional DC Public Library locations to increase equitable access and build community </w:t>
      </w:r>
      <w:proofErr w:type="gramStart"/>
      <w:r w:rsidRPr="00ED172B">
        <w:rPr>
          <w:color w:val="000000" w:themeColor="text1"/>
        </w:rPr>
        <w:t>capacity</w:t>
      </w:r>
      <w:proofErr w:type="gramEnd"/>
    </w:p>
    <w:p w14:paraId="20BF17A9" w14:textId="77777777" w:rsidR="00026ADD" w:rsidRDefault="00026ADD" w:rsidP="00064BA4">
      <w:pPr>
        <w:rPr>
          <w:rFonts w:cs="Arial"/>
          <w:b/>
          <w:bCs/>
        </w:rPr>
      </w:pPr>
      <w:bookmarkStart w:id="81" w:name="_Hlk109647080"/>
    </w:p>
    <w:bookmarkEnd w:id="81"/>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OSSE is focusing on measuring fidelity of the evidence-based practices implemented. OSSE completed many of the activities identified for FFY21 and the core strategies identified continued to drive and guide the implementation of the designed SSIP. The only modification proposed is the updated activities for FFY22.</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Targets were set in Jan. of 2022 and all stakeholder input was described in FFY20 APR. After presenting and discussing the data for the FFY21 during the meeting in Jan. 2023, the ICC made no recommendations on modifying the targets at this time.  The main mechanisms used to solicit input were via ICC and SECDCC meetings, monthly Strong Start contracted agencies, quarterly meetings with Medicaid agency and guidelines developed. </w:t>
      </w:r>
      <w:r w:rsidRPr="00ED172B">
        <w:rPr>
          <w:color w:val="000000" w:themeColor="text1"/>
        </w:rPr>
        <w:br/>
      </w:r>
      <w:r w:rsidRPr="00ED172B">
        <w:rPr>
          <w:color w:val="000000" w:themeColor="text1"/>
        </w:rPr>
        <w:br/>
        <w:t xml:space="preserve">OSSE ensures that stakeholders and the public are constantly engaged in Strong Start activities through regular meetings of the Interagency Coordinating Council (ICC), the State Early Childhood Development Coordinating Council (SECDCC) monthly meetings with providers and partner agencies and regular communications to stakeholders. These opportunities create continuous feedback loops that allow for continuous improvement with stakeholder input. During provider meetings procedural and operational changes are discussed and agreed upon. Documentation and any data system questions are addressed and suggested improvements are offered. During FFY 21, OSSE met regularly with the ICC and DC EIP to discuss ongoing performance. </w:t>
      </w:r>
      <w:r w:rsidRPr="00ED172B">
        <w:rPr>
          <w:color w:val="000000" w:themeColor="text1"/>
        </w:rPr>
        <w:br/>
      </w:r>
      <w:r w:rsidRPr="00ED172B">
        <w:rPr>
          <w:color w:val="000000" w:themeColor="text1"/>
        </w:rPr>
        <w:br/>
        <w:t xml:space="preserve">At the ICC meeting in January 2023, the members reviewed results from FFY21 (7/1/21-6/30/22) for each indicator, asked questions and provided feedback included in this Annual Performance Report (APR). National technical assistance (TA) centers staff, including </w:t>
      </w:r>
      <w:proofErr w:type="spellStart"/>
      <w:r w:rsidRPr="00ED172B">
        <w:rPr>
          <w:color w:val="000000" w:themeColor="text1"/>
        </w:rPr>
        <w:t>DaSy</w:t>
      </w:r>
      <w:proofErr w:type="spellEnd"/>
      <w:r w:rsidRPr="00ED172B">
        <w:rPr>
          <w:color w:val="000000" w:themeColor="text1"/>
        </w:rPr>
        <w:t xml:space="preserve"> and the ECTA Center, reviewed and provided helpful guidance in the development of this APR. The APR was also sent directly to ICC chairperson who reviewed the file in detail, asked questions, and suggested edits. Leadership from OSSE also reviewed the APR and made suggestions. The ICC chairperson approved the final edits so that this Annual Performance Report (APR) fulfills the State Interagency Coordinating Council's obligations to report to the U.S. Department of Education for FFY21. New targets for the results indicators were developed in FFY 2020 for FFY21-25 by the different workgroups with participants from various stakeholders. The targets were reviewed and approved by the ICC and subsequently submitted and approved by OSEP. No changes are being recommended at this time by the ICC.</w:t>
      </w:r>
      <w:r w:rsidRPr="00ED172B">
        <w:rPr>
          <w:color w:val="000000" w:themeColor="text1"/>
        </w:rPr>
        <w:br/>
      </w:r>
      <w:r w:rsidRPr="00ED172B">
        <w:rPr>
          <w:color w:val="000000" w:themeColor="text1"/>
        </w:rPr>
        <w:br/>
        <w:t xml:space="preserve">Throughout the FFY21, OSSE and Strong Start has met with the ICC quarterly, the contracted vendor agencies monthly, the Strong Start team quarterly, the SECDCC quarterly, the Department of Health Care Finance monthly and the Managed Care Organizations (MCO) quarterly to review and solicit feedback on the performance of the program, the Theory of Action, accomplishments, and the Evaluation and Activities Plan for Part C in the District of Columbia. </w:t>
      </w:r>
      <w:r w:rsidRPr="00ED172B">
        <w:rPr>
          <w:color w:val="000000" w:themeColor="text1"/>
        </w:rPr>
        <w:br/>
      </w:r>
      <w:r w:rsidRPr="00ED172B">
        <w:rPr>
          <w:color w:val="000000" w:themeColor="text1"/>
        </w:rPr>
        <w:br/>
        <w:t xml:space="preserve">The fidelity guidelines and requirements that are Part of the SSIP were developed in February of 2022 and presented to the vendor agencies in March for their review and feedback. The final version was released in April of 2022. </w:t>
      </w:r>
      <w:r w:rsidRPr="00ED172B">
        <w:rPr>
          <w:color w:val="000000" w:themeColor="text1"/>
        </w:rPr>
        <w:br/>
      </w:r>
      <w:r w:rsidRPr="00ED172B">
        <w:rPr>
          <w:color w:val="000000" w:themeColor="text1"/>
        </w:rPr>
        <w:br/>
        <w:t xml:space="preserve">OSSE invited stakeholders who use the Part C data system to participate in two sessions to obtain feedback on the new data system. Participants included a group of managers at the vendor agencies, the transition personnel at Early Stages (the program from DC Public Schools that identifies and </w:t>
      </w:r>
      <w:r w:rsidRPr="00ED172B">
        <w:rPr>
          <w:color w:val="000000" w:themeColor="text1"/>
        </w:rPr>
        <w:lastRenderedPageBreak/>
        <w:t xml:space="preserve">address developmental delays and disabilities in children over 3 years old), and a group of case managers from the </w:t>
      </w:r>
      <w:proofErr w:type="gramStart"/>
      <w:r w:rsidRPr="00ED172B">
        <w:rPr>
          <w:color w:val="000000" w:themeColor="text1"/>
        </w:rPr>
        <w:t>MCOs .</w:t>
      </w:r>
      <w:proofErr w:type="gramEnd"/>
      <w:r w:rsidRPr="00ED172B">
        <w:rPr>
          <w:color w:val="000000" w:themeColor="text1"/>
        </w:rPr>
        <w:t xml:space="preserve"> Their input was valuable to understand different improvements needed to incorporate in the new Special Education System (SEDS) being developed.</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New targets for the results indicators were developed in FFY 2020 for FFY21-25 by the different workgroups with participants from various stakeholders. The targets were reviewed and approved by the ICC and subsequently submitted and approved by OSEP. No changes are being recommended </w:t>
      </w:r>
      <w:proofErr w:type="gramStart"/>
      <w:r w:rsidRPr="00ED172B">
        <w:rPr>
          <w:rFonts w:cs="Arial"/>
          <w:b w:val="0"/>
          <w:color w:val="000000" w:themeColor="text1"/>
          <w:szCs w:val="16"/>
        </w:rPr>
        <w:t>at this time</w:t>
      </w:r>
      <w:proofErr w:type="gramEnd"/>
      <w:r w:rsidRPr="00ED172B">
        <w:rPr>
          <w:rFonts w:cs="Arial"/>
          <w:b w:val="0"/>
          <w:color w:val="000000" w:themeColor="text1"/>
          <w:szCs w:val="16"/>
        </w:rPr>
        <w:t>.</w:t>
      </w:r>
      <w:r w:rsidRPr="00ED172B">
        <w:rPr>
          <w:rFonts w:cs="Arial"/>
          <w:b w:val="0"/>
          <w:color w:val="000000" w:themeColor="text1"/>
          <w:szCs w:val="16"/>
        </w:rPr>
        <w:br/>
      </w:r>
      <w:r w:rsidRPr="00ED172B">
        <w:rPr>
          <w:rFonts w:cs="Arial"/>
          <w:b w:val="0"/>
          <w:color w:val="000000" w:themeColor="text1"/>
          <w:szCs w:val="16"/>
        </w:rPr>
        <w:br/>
        <w:t xml:space="preserve">OSSE ensures that stakeholders and the public are constantly engaged in DC EIP activities through regular meetings of the Interagency Coordinating Council (ICC), the State Early Childhood Development Coordinating Council (SECDCC) monthly meetings with providers and partner agencies and regular communications to stakeholders. These opportunities create continuous feedback loops that allow for continuous improvement with stakeholder involvement. During provider meetings procedural and operational changes are discussed and agreed upon. Documentation and any data system questions are addressed and suggested improvements are offered. During FFY 21, OSSE met regularly with the ICC and DC EIP to discuss ongoing performance. OSSE has been meeting biweekly with Medicaid partners to establish reimbursement schedules and for claiming of provided services. </w:t>
      </w:r>
      <w:r w:rsidRPr="00ED172B">
        <w:rPr>
          <w:rFonts w:cs="Arial"/>
          <w:b w:val="0"/>
          <w:color w:val="000000" w:themeColor="text1"/>
          <w:szCs w:val="16"/>
        </w:rPr>
        <w:br/>
      </w:r>
      <w:r w:rsidRPr="00ED172B">
        <w:rPr>
          <w:rFonts w:cs="Arial"/>
          <w:b w:val="0"/>
          <w:color w:val="000000" w:themeColor="text1"/>
          <w:szCs w:val="16"/>
        </w:rPr>
        <w:br/>
        <w:t>Throughout the FFY21, DC EIP has met with the ICC quarterly, the contracted vendor agencies monthly, the Strong Start team quarterly, the SECDCC quarterly, the Department of Health Care Finance monthly and the Managed Care Organizations (MCO) quarterly to review and solicit feedback in the performance of the program, the Theory of Action, accomplishments, and the Evaluation and Activities Plan for Part C in the District of Columbia.</w:t>
      </w:r>
      <w:r w:rsidRPr="00ED172B">
        <w:rPr>
          <w:rFonts w:cs="Arial"/>
          <w:b w:val="0"/>
          <w:color w:val="000000" w:themeColor="text1"/>
          <w:szCs w:val="16"/>
        </w:rPr>
        <w:br/>
      </w:r>
      <w:r w:rsidRPr="00ED172B">
        <w:rPr>
          <w:rFonts w:cs="Arial"/>
          <w:b w:val="0"/>
          <w:color w:val="000000" w:themeColor="text1"/>
          <w:szCs w:val="16"/>
        </w:rPr>
        <w:br/>
        <w:t xml:space="preserve">The fidelity guidelines and requirements that are Part of the SSIP were developed in February of 2022 in conjunction with Strong Start clinical team and presented to the vendor agencies in March for their review and feedback. The final version was released in April of 2022. </w:t>
      </w:r>
      <w:r w:rsidRPr="00ED172B">
        <w:rPr>
          <w:rFonts w:cs="Arial"/>
          <w:b w:val="0"/>
          <w:color w:val="000000" w:themeColor="text1"/>
          <w:szCs w:val="16"/>
        </w:rPr>
        <w:br/>
      </w:r>
      <w:r w:rsidRPr="00ED172B">
        <w:rPr>
          <w:rFonts w:cs="Arial"/>
          <w:b w:val="0"/>
          <w:color w:val="000000" w:themeColor="text1"/>
          <w:szCs w:val="16"/>
        </w:rPr>
        <w:br/>
        <w:t>OSSE conducted two sessions to obtain feedback on the new data system and invited stakeholders who use the data system to participate in these efforts. The stakeholders who participated in these sessions included a group of managers at the vendor agencies, the transition personnel at Early Stages (the program from DC Public Schools that identifies and address developmental delays and disabilities in children over 3 years old), and a group of case managers from the MCOs. Their input was valuable to understand different improvements needed to incorporate in the new Special Education System (SEDS) being developed.</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2" w:name="_Hlk109647088"/>
      <w:r w:rsidRPr="000F3CCC">
        <w:rPr>
          <w:rFonts w:cs="Arial"/>
          <w:b/>
          <w:bCs/>
        </w:rPr>
        <w:t xml:space="preserve">Describe the specific strategies implemented to engage stakeholders in key improvement efforts. </w:t>
      </w:r>
    </w:p>
    <w:bookmarkEnd w:id="82"/>
    <w:p w14:paraId="7A97D15A" w14:textId="346F07A8" w:rsidR="00D96943" w:rsidRPr="00B50A83" w:rsidRDefault="00D96943" w:rsidP="00D96943">
      <w:pPr>
        <w:rPr>
          <w:b/>
          <w:bCs/>
        </w:rPr>
      </w:pPr>
      <w:r w:rsidRPr="00ED172B">
        <w:rPr>
          <w:color w:val="000000" w:themeColor="text1"/>
        </w:rPr>
        <w:t xml:space="preserve">OSSE worked with Strong Start clinical team to develop the framework of the fidelity assessment implementation team. Framework was shared with vendor agencies for review and feedback was requested at one of the monthly meetings. </w:t>
      </w:r>
      <w:r w:rsidRPr="00ED172B">
        <w:rPr>
          <w:color w:val="000000" w:themeColor="text1"/>
        </w:rPr>
        <w:br/>
      </w:r>
      <w:r w:rsidRPr="00ED172B">
        <w:rPr>
          <w:color w:val="000000" w:themeColor="text1"/>
        </w:rPr>
        <w:br/>
        <w:t>OSSE engaged with all stakeholders that use the current data system and solicited feedback that is going to be used in the new data system. During the testing phase, OSSE will engage with those stakeholder groups to ensure that the new SEDS functionality meets the requirement of the program.</w:t>
      </w:r>
      <w:r w:rsidRPr="00ED172B">
        <w:rPr>
          <w:color w:val="000000" w:themeColor="text1"/>
        </w:rPr>
        <w:br/>
      </w:r>
      <w:r w:rsidRPr="00ED172B">
        <w:rPr>
          <w:color w:val="000000" w:themeColor="text1"/>
        </w:rPr>
        <w:br/>
        <w:t xml:space="preserve">OSSE uses the family survey and the quarterly newsletter to obtain feedback on the services provided and areas to improve.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3"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3"/>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4"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4"/>
    <w:p w14:paraId="54FDC4CC" w14:textId="4E342817" w:rsidR="00917FC3" w:rsidRPr="00F85A5B" w:rsidRDefault="00917FC3" w:rsidP="004E393A">
      <w:pPr>
        <w:rPr>
          <w:color w:val="000000" w:themeColor="text1"/>
        </w:rPr>
      </w:pPr>
      <w:r w:rsidRPr="00ED172B">
        <w:rPr>
          <w:color w:val="000000" w:themeColor="text1"/>
        </w:rPr>
        <w:t>None</w:t>
      </w:r>
    </w:p>
    <w:p w14:paraId="7E4D8D02" w14:textId="77777777" w:rsidR="00297898" w:rsidRPr="00297898" w:rsidRDefault="00297898" w:rsidP="00297898">
      <w:pPr>
        <w:rPr>
          <w:rFonts w:cs="Arial"/>
          <w:b/>
          <w:bCs/>
        </w:rPr>
      </w:pPr>
      <w:bookmarkStart w:id="85"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5"/>
    <w:p w14:paraId="08124F49" w14:textId="4CDFC9D0" w:rsidR="006237B0" w:rsidRDefault="007B151D" w:rsidP="00067F9F">
      <w:pPr>
        <w:spacing w:before="0" w:after="0"/>
        <w:rPr>
          <w:color w:val="000000" w:themeColor="text1"/>
        </w:rPr>
      </w:pPr>
      <w:r w:rsidRPr="00ED172B">
        <w:rPr>
          <w:color w:val="000000" w:themeColor="text1"/>
        </w:rPr>
        <w:t>None</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6" w:name="_Hlk109647121"/>
      <w:r w:rsidRPr="009E0726">
        <w:rPr>
          <w:rFonts w:cs="Arial"/>
          <w:b/>
          <w:bCs/>
        </w:rPr>
        <w:t>Describe any newly identified barriers and include steps to address these barriers.</w:t>
      </w:r>
    </w:p>
    <w:bookmarkEnd w:id="86"/>
    <w:p w14:paraId="6E8B2008" w14:textId="0F892B41" w:rsidR="00F40121" w:rsidRDefault="00F40121" w:rsidP="00F40121">
      <w:pPr>
        <w:rPr>
          <w:color w:val="000000" w:themeColor="text1"/>
        </w:rPr>
      </w:pPr>
      <w:r w:rsidRPr="00ED172B">
        <w:rPr>
          <w:color w:val="000000" w:themeColor="text1"/>
        </w:rPr>
        <w:t>None</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7" w:name="_Hlk109647123"/>
      <w:r w:rsidRPr="00261010">
        <w:rPr>
          <w:rFonts w:cs="Arial"/>
          <w:b/>
          <w:bCs/>
        </w:rPr>
        <w:t>Provide additional information about this indicator (optional).</w:t>
      </w:r>
    </w:p>
    <w:bookmarkEnd w:id="87"/>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DC did not provide the descriptions of the numerator and denominator in the FFY 2020 data table. DC must provide the required information within the data table in the FFY 2021 SPP/APR.</w:t>
      </w:r>
    </w:p>
    <w:p w14:paraId="459F79AC" w14:textId="580116A5" w:rsidR="00F5460E" w:rsidRPr="00ED172B" w:rsidRDefault="00F5460E" w:rsidP="00F5460E">
      <w:pPr>
        <w:rPr>
          <w:color w:val="000000" w:themeColor="text1"/>
        </w:rPr>
      </w:pPr>
      <w:r w:rsidRPr="00ED172B">
        <w:rPr>
          <w:b/>
          <w:color w:val="000000" w:themeColor="text1"/>
        </w:rPr>
        <w:t>Response to actions required in FFY 2020 SPP/APR</w:t>
      </w:r>
      <w:r w:rsidRPr="00ED172B">
        <w:rPr>
          <w:color w:val="000000" w:themeColor="text1"/>
        </w:rPr>
        <w:t xml:space="preserve"> </w:t>
      </w:r>
    </w:p>
    <w:p w14:paraId="120B9B78" w14:textId="6874B425" w:rsidR="00F5460E" w:rsidRPr="00ED172B" w:rsidRDefault="00F5460E" w:rsidP="00F5460E">
      <w:pPr>
        <w:rPr>
          <w:color w:val="000000" w:themeColor="text1"/>
        </w:rPr>
      </w:pP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Andres Alvarado</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State Part C Director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andres.alvarado@dc.gov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202-215-8126</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04/24/</w:t>
      </w:r>
      <w:proofErr w:type="gramStart"/>
      <w:r w:rsidRPr="00ED172B">
        <w:rPr>
          <w:rFonts w:cs="Arial"/>
          <w:bCs/>
          <w:color w:val="000000" w:themeColor="text1"/>
          <w:szCs w:val="16"/>
        </w:rPr>
        <w:t>23  4:25:29</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07F96FCB" w14:textId="0D58209B" w:rsidR="00696C7D" w:rsidRPr="00696C7D" w:rsidRDefault="00696C7D" w:rsidP="00696C7D">
      <w:pPr>
        <w:rPr>
          <w:b/>
          <w:bCs/>
          <w:sz w:val="20"/>
          <w:szCs w:val="28"/>
        </w:rPr>
      </w:pPr>
      <w:r w:rsidRPr="00696C7D">
        <w:rPr>
          <w:b/>
          <w:bCs/>
          <w:sz w:val="20"/>
          <w:szCs w:val="28"/>
        </w:rPr>
        <w:t>District of Columbia</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71.43%</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4</w:t>
            </w:r>
          </w:p>
        </w:tc>
        <w:tc>
          <w:tcPr>
            <w:tcW w:w="1218" w:type="pct"/>
          </w:tcPr>
          <w:p w14:paraId="4A2646A0" w14:textId="15C11718" w:rsidR="005E363D" w:rsidRPr="00210AC6" w:rsidRDefault="005E363D" w:rsidP="005E363D">
            <w:pPr>
              <w:rPr>
                <w:rFonts w:cs="Arial"/>
                <w:szCs w:val="16"/>
              </w:rPr>
            </w:pPr>
            <w:r w:rsidRPr="009E3CB1">
              <w:t>50.00%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13</w:t>
            </w:r>
          </w:p>
        </w:tc>
        <w:tc>
          <w:tcPr>
            <w:tcW w:w="1218" w:type="pct"/>
          </w:tcPr>
          <w:p w14:paraId="0AF6DC9A" w14:textId="17AC6D6F" w:rsidR="005E363D" w:rsidRPr="00210AC6" w:rsidRDefault="005E363D" w:rsidP="005E363D">
            <w:pPr>
              <w:rPr>
                <w:rFonts w:cs="Arial"/>
                <w:szCs w:val="16"/>
              </w:rPr>
            </w:pPr>
            <w:r w:rsidRPr="009E3CB1">
              <w:t>92.86%</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710</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1,118</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63.51</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1</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0</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83.39%</w:t>
            </w:r>
          </w:p>
        </w:tc>
        <w:tc>
          <w:tcPr>
            <w:tcW w:w="715" w:type="pct"/>
          </w:tcPr>
          <w:p w14:paraId="542CEEB9" w14:textId="37E21014" w:rsidR="00B03B19" w:rsidRPr="00210AC6" w:rsidRDefault="00B03B19" w:rsidP="00B03B19">
            <w:pPr>
              <w:rPr>
                <w:rFonts w:cs="Arial"/>
                <w:szCs w:val="16"/>
              </w:rPr>
            </w:pPr>
            <w:r w:rsidRPr="00A46401">
              <w:t>69.01%</w:t>
            </w:r>
          </w:p>
        </w:tc>
        <w:tc>
          <w:tcPr>
            <w:tcW w:w="714" w:type="pct"/>
          </w:tcPr>
          <w:p w14:paraId="082867DD" w14:textId="7F23B051" w:rsidR="00B03B19" w:rsidRPr="00210AC6" w:rsidRDefault="00B03B19" w:rsidP="00B03B19">
            <w:pPr>
              <w:rPr>
                <w:rFonts w:cs="Arial"/>
                <w:szCs w:val="16"/>
              </w:rPr>
            </w:pPr>
            <w:r w:rsidRPr="00A46401">
              <w:t>63.92%</w:t>
            </w:r>
          </w:p>
        </w:tc>
        <w:tc>
          <w:tcPr>
            <w:tcW w:w="714" w:type="pct"/>
          </w:tcPr>
          <w:p w14:paraId="798EA0C8" w14:textId="2776FB61" w:rsidR="00B03B19" w:rsidRPr="00210AC6" w:rsidRDefault="00B03B19" w:rsidP="00B03B19">
            <w:pPr>
              <w:rPr>
                <w:rFonts w:cs="Arial"/>
                <w:szCs w:val="16"/>
              </w:rPr>
            </w:pPr>
            <w:r w:rsidRPr="00A46401">
              <w:t>56.62%</w:t>
            </w:r>
          </w:p>
        </w:tc>
        <w:tc>
          <w:tcPr>
            <w:tcW w:w="714" w:type="pct"/>
          </w:tcPr>
          <w:p w14:paraId="53B8C0FF" w14:textId="1ABA1A1C" w:rsidR="00B03B19" w:rsidRPr="00210AC6" w:rsidRDefault="00B03B19" w:rsidP="00B03B19">
            <w:pPr>
              <w:rPr>
                <w:rFonts w:cs="Arial"/>
                <w:szCs w:val="16"/>
              </w:rPr>
            </w:pPr>
            <w:r w:rsidRPr="00A46401">
              <w:t>77.16%</w:t>
            </w:r>
          </w:p>
        </w:tc>
        <w:tc>
          <w:tcPr>
            <w:tcW w:w="713" w:type="pct"/>
          </w:tcPr>
          <w:p w14:paraId="71D0CC34" w14:textId="38E23520" w:rsidR="00B03B19" w:rsidRPr="00210AC6" w:rsidRDefault="00B03B19" w:rsidP="00B03B19">
            <w:pPr>
              <w:rPr>
                <w:rFonts w:cs="Arial"/>
                <w:szCs w:val="16"/>
              </w:rPr>
            </w:pPr>
            <w:r w:rsidRPr="00A46401">
              <w:t>74.65%</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87.57%</w:t>
            </w:r>
          </w:p>
        </w:tc>
        <w:tc>
          <w:tcPr>
            <w:tcW w:w="715" w:type="pct"/>
          </w:tcPr>
          <w:p w14:paraId="4A7F27F4" w14:textId="16E8DAC9" w:rsidR="00A96CE2" w:rsidRPr="00210AC6" w:rsidRDefault="00A96CE2" w:rsidP="00A96CE2">
            <w:pPr>
              <w:rPr>
                <w:rFonts w:cs="Arial"/>
                <w:szCs w:val="16"/>
              </w:rPr>
            </w:pPr>
            <w:r w:rsidRPr="00902025">
              <w:t>73.82%</w:t>
            </w:r>
          </w:p>
        </w:tc>
        <w:tc>
          <w:tcPr>
            <w:tcW w:w="714" w:type="pct"/>
          </w:tcPr>
          <w:p w14:paraId="0B2C982E" w14:textId="60B64CC6" w:rsidR="00A96CE2" w:rsidRPr="00210AC6" w:rsidRDefault="00A96CE2" w:rsidP="00A96CE2">
            <w:pPr>
              <w:rPr>
                <w:rFonts w:cs="Arial"/>
                <w:szCs w:val="16"/>
              </w:rPr>
            </w:pPr>
            <w:r w:rsidRPr="00902025">
              <w:t>67.50%</w:t>
            </w:r>
          </w:p>
        </w:tc>
        <w:tc>
          <w:tcPr>
            <w:tcW w:w="714" w:type="pct"/>
          </w:tcPr>
          <w:p w14:paraId="48D6DCB3" w14:textId="035BCB73" w:rsidR="00A96CE2" w:rsidRPr="00210AC6" w:rsidRDefault="00A96CE2" w:rsidP="00A96CE2">
            <w:pPr>
              <w:rPr>
                <w:rFonts w:cs="Arial"/>
                <w:szCs w:val="16"/>
              </w:rPr>
            </w:pPr>
            <w:r w:rsidRPr="00902025">
              <w:t>58.73%</w:t>
            </w:r>
          </w:p>
        </w:tc>
        <w:tc>
          <w:tcPr>
            <w:tcW w:w="714" w:type="pct"/>
          </w:tcPr>
          <w:p w14:paraId="75DD9D82" w14:textId="41901A3C" w:rsidR="00A96CE2" w:rsidRPr="00210AC6" w:rsidRDefault="00A96CE2" w:rsidP="00A96CE2">
            <w:pPr>
              <w:rPr>
                <w:rFonts w:cs="Arial"/>
                <w:szCs w:val="16"/>
              </w:rPr>
            </w:pPr>
            <w:r w:rsidRPr="00902025">
              <w:t>84.34%</w:t>
            </w:r>
          </w:p>
        </w:tc>
        <w:tc>
          <w:tcPr>
            <w:tcW w:w="713" w:type="pct"/>
          </w:tcPr>
          <w:p w14:paraId="51F0864D" w14:textId="7593AA05" w:rsidR="00A96CE2" w:rsidRPr="00210AC6" w:rsidRDefault="00A96CE2" w:rsidP="00A96CE2">
            <w:pPr>
              <w:rPr>
                <w:rFonts w:cs="Arial"/>
                <w:szCs w:val="16"/>
              </w:rPr>
            </w:pPr>
            <w:r w:rsidRPr="00902025">
              <w:t>80.62%</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85.36%</w:t>
            </w:r>
          </w:p>
        </w:tc>
        <w:tc>
          <w:tcPr>
            <w:tcW w:w="832" w:type="pct"/>
          </w:tcPr>
          <w:p w14:paraId="6ABF6AB2" w14:textId="6D5B638F" w:rsidR="00CD6106" w:rsidRPr="00210AC6" w:rsidRDefault="00CD6106" w:rsidP="00CD6106">
            <w:pPr>
              <w:rPr>
                <w:rFonts w:cs="Arial"/>
                <w:szCs w:val="16"/>
              </w:rPr>
            </w:pPr>
            <w:r w:rsidRPr="00952E24">
              <w:t>N/A</w:t>
            </w:r>
          </w:p>
        </w:tc>
        <w:tc>
          <w:tcPr>
            <w:tcW w:w="832" w:type="pct"/>
          </w:tcPr>
          <w:p w14:paraId="4C6D12D8" w14:textId="0B3C844F" w:rsidR="00CD6106" w:rsidRPr="00210AC6" w:rsidRDefault="00CD6106" w:rsidP="00CD6106">
            <w:pPr>
              <w:rPr>
                <w:rFonts w:cs="Arial"/>
                <w:szCs w:val="16"/>
              </w:rPr>
            </w:pPr>
            <w:r w:rsidRPr="00A55644">
              <w:t>1</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96.32%</w:t>
            </w:r>
          </w:p>
        </w:tc>
        <w:tc>
          <w:tcPr>
            <w:tcW w:w="832" w:type="pct"/>
          </w:tcPr>
          <w:p w14:paraId="5F183FEF" w14:textId="40ACE9C9" w:rsidR="00CD6106" w:rsidRPr="00210AC6" w:rsidRDefault="00CD6106" w:rsidP="00CD6106">
            <w:pPr>
              <w:rPr>
                <w:rFonts w:cs="Arial"/>
                <w:szCs w:val="16"/>
              </w:rPr>
            </w:pPr>
            <w:r w:rsidRPr="00952E24">
              <w:t>N/A</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100.00%</w:t>
            </w:r>
          </w:p>
        </w:tc>
        <w:tc>
          <w:tcPr>
            <w:tcW w:w="832" w:type="pct"/>
          </w:tcPr>
          <w:p w14:paraId="082F4D46" w14:textId="2147F3C3" w:rsidR="00CD6106" w:rsidRPr="00210AC6" w:rsidRDefault="00CD6106" w:rsidP="00CD6106">
            <w:pPr>
              <w:rPr>
                <w:rFonts w:cs="Arial"/>
                <w:szCs w:val="16"/>
              </w:rPr>
            </w:pPr>
            <w:r w:rsidRPr="00952E24">
              <w:t>N/A</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97.32%</w:t>
            </w:r>
          </w:p>
        </w:tc>
        <w:tc>
          <w:tcPr>
            <w:tcW w:w="832" w:type="pct"/>
          </w:tcPr>
          <w:p w14:paraId="5F278F03" w14:textId="64084F84" w:rsidR="00CD6106" w:rsidRPr="00210AC6" w:rsidRDefault="00CD6106" w:rsidP="00CD6106">
            <w:pPr>
              <w:rPr>
                <w:rFonts w:cs="Arial"/>
                <w:szCs w:val="16"/>
              </w:rPr>
            </w:pPr>
            <w:r w:rsidRPr="00952E24">
              <w:t>N/A</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710</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7</w:t>
            </w:r>
          </w:p>
        </w:tc>
        <w:tc>
          <w:tcPr>
            <w:tcW w:w="833" w:type="pct"/>
          </w:tcPr>
          <w:p w14:paraId="5470A154" w14:textId="77777777" w:rsidR="00B25161" w:rsidRPr="00E0465B" w:rsidRDefault="00B25161" w:rsidP="00B25161">
            <w:pPr>
              <w:rPr>
                <w:rFonts w:cs="Arial"/>
                <w:bCs/>
                <w:szCs w:val="16"/>
              </w:rPr>
            </w:pPr>
            <w:r w:rsidRPr="00E0465B">
              <w:rPr>
                <w:rFonts w:cs="Arial"/>
                <w:bCs/>
                <w:szCs w:val="16"/>
              </w:rPr>
              <w:t>86</w:t>
            </w:r>
          </w:p>
        </w:tc>
        <w:tc>
          <w:tcPr>
            <w:tcW w:w="833" w:type="pct"/>
          </w:tcPr>
          <w:p w14:paraId="7FE9EEED" w14:textId="77777777" w:rsidR="00B25161" w:rsidRPr="00E0465B" w:rsidRDefault="00B25161" w:rsidP="00B25161">
            <w:pPr>
              <w:rPr>
                <w:rFonts w:cs="Arial"/>
                <w:bCs/>
                <w:szCs w:val="16"/>
              </w:rPr>
            </w:pPr>
            <w:r w:rsidRPr="00E0465B">
              <w:rPr>
                <w:rFonts w:cs="Arial"/>
                <w:bCs/>
                <w:szCs w:val="16"/>
              </w:rPr>
              <w:t>127</w:t>
            </w:r>
          </w:p>
        </w:tc>
        <w:tc>
          <w:tcPr>
            <w:tcW w:w="833" w:type="pct"/>
          </w:tcPr>
          <w:p w14:paraId="4C7FEB04" w14:textId="77777777" w:rsidR="00B25161" w:rsidRPr="00E0465B" w:rsidRDefault="00B25161" w:rsidP="00B25161">
            <w:pPr>
              <w:rPr>
                <w:rFonts w:cs="Arial"/>
                <w:bCs/>
                <w:szCs w:val="16"/>
              </w:rPr>
            </w:pPr>
            <w:r w:rsidRPr="00E0465B">
              <w:rPr>
                <w:rFonts w:cs="Arial"/>
                <w:bCs/>
                <w:szCs w:val="16"/>
              </w:rPr>
              <w:t>340</w:t>
            </w:r>
          </w:p>
        </w:tc>
        <w:tc>
          <w:tcPr>
            <w:tcW w:w="835" w:type="pct"/>
          </w:tcPr>
          <w:p w14:paraId="6267C81A" w14:textId="77777777" w:rsidR="00B25161" w:rsidRPr="00E0465B" w:rsidRDefault="00B25161" w:rsidP="00B25161">
            <w:pPr>
              <w:rPr>
                <w:rFonts w:cs="Arial"/>
                <w:bCs/>
                <w:szCs w:val="16"/>
              </w:rPr>
            </w:pPr>
            <w:r w:rsidRPr="00E0465B">
              <w:rPr>
                <w:rFonts w:cs="Arial"/>
                <w:bCs/>
                <w:szCs w:val="16"/>
              </w:rPr>
              <w:t>150</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0.99%</w:t>
            </w:r>
          </w:p>
        </w:tc>
        <w:tc>
          <w:tcPr>
            <w:tcW w:w="833" w:type="pct"/>
          </w:tcPr>
          <w:p w14:paraId="2E20C0BF" w14:textId="0AF39490" w:rsidR="00B25161" w:rsidRPr="00E0465B" w:rsidRDefault="00B25161" w:rsidP="00B25161">
            <w:pPr>
              <w:rPr>
                <w:rFonts w:cs="Arial"/>
                <w:bCs/>
                <w:szCs w:val="16"/>
              </w:rPr>
            </w:pPr>
            <w:r w:rsidRPr="00E0465B">
              <w:rPr>
                <w:rFonts w:cs="Arial"/>
                <w:bCs/>
                <w:szCs w:val="16"/>
              </w:rPr>
              <w:t>12.11%</w:t>
            </w:r>
          </w:p>
        </w:tc>
        <w:tc>
          <w:tcPr>
            <w:tcW w:w="833" w:type="pct"/>
          </w:tcPr>
          <w:p w14:paraId="398F2D3D" w14:textId="68B45EA5" w:rsidR="00B25161" w:rsidRPr="00E0465B" w:rsidRDefault="00B25161" w:rsidP="00B25161">
            <w:pPr>
              <w:rPr>
                <w:rFonts w:cs="Arial"/>
                <w:bCs/>
                <w:szCs w:val="16"/>
              </w:rPr>
            </w:pPr>
            <w:r w:rsidRPr="00E0465B">
              <w:rPr>
                <w:rFonts w:cs="Arial"/>
                <w:bCs/>
                <w:szCs w:val="16"/>
              </w:rPr>
              <w:t>17.89%</w:t>
            </w:r>
          </w:p>
        </w:tc>
        <w:tc>
          <w:tcPr>
            <w:tcW w:w="833" w:type="pct"/>
          </w:tcPr>
          <w:p w14:paraId="44C74C6F" w14:textId="0FC8FB40" w:rsidR="00B25161" w:rsidRPr="00E0465B" w:rsidRDefault="00B25161" w:rsidP="00B25161">
            <w:pPr>
              <w:rPr>
                <w:rFonts w:cs="Arial"/>
                <w:bCs/>
                <w:szCs w:val="16"/>
              </w:rPr>
            </w:pPr>
            <w:r w:rsidRPr="00E0465B">
              <w:rPr>
                <w:rFonts w:cs="Arial"/>
                <w:bCs/>
                <w:szCs w:val="16"/>
              </w:rPr>
              <w:t>47.89%</w:t>
            </w:r>
          </w:p>
        </w:tc>
        <w:tc>
          <w:tcPr>
            <w:tcW w:w="835" w:type="pct"/>
          </w:tcPr>
          <w:p w14:paraId="2CCC1EE9" w14:textId="4C738514" w:rsidR="00B25161" w:rsidRPr="00E0465B" w:rsidRDefault="00B25161" w:rsidP="00B25161">
            <w:pPr>
              <w:rPr>
                <w:rFonts w:cs="Arial"/>
                <w:bCs/>
                <w:szCs w:val="16"/>
              </w:rPr>
            </w:pPr>
            <w:r w:rsidRPr="00E0465B">
              <w:rPr>
                <w:rFonts w:cs="Arial"/>
                <w:bCs/>
                <w:szCs w:val="16"/>
              </w:rPr>
              <w:t>21.13%</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0</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10</w:t>
            </w:r>
          </w:p>
        </w:tc>
        <w:tc>
          <w:tcPr>
            <w:tcW w:w="833" w:type="pct"/>
          </w:tcPr>
          <w:p w14:paraId="6AACF40D" w14:textId="77777777" w:rsidR="00B25161" w:rsidRPr="00E0465B" w:rsidRDefault="00B25161" w:rsidP="00B25161">
            <w:pPr>
              <w:rPr>
                <w:rFonts w:cs="Arial"/>
                <w:bCs/>
                <w:szCs w:val="16"/>
              </w:rPr>
            </w:pPr>
            <w:r w:rsidRPr="00E0465B">
              <w:rPr>
                <w:rFonts w:cs="Arial"/>
                <w:bCs/>
                <w:szCs w:val="16"/>
              </w:rPr>
              <w:t>213</w:t>
            </w:r>
          </w:p>
        </w:tc>
        <w:tc>
          <w:tcPr>
            <w:tcW w:w="833" w:type="pct"/>
          </w:tcPr>
          <w:p w14:paraId="081B7FED" w14:textId="77777777" w:rsidR="00B25161" w:rsidRPr="00E0465B" w:rsidRDefault="00B25161" w:rsidP="00B25161">
            <w:pPr>
              <w:rPr>
                <w:rFonts w:cs="Arial"/>
                <w:bCs/>
                <w:szCs w:val="16"/>
              </w:rPr>
            </w:pPr>
            <w:r w:rsidRPr="00E0465B">
              <w:rPr>
                <w:rFonts w:cs="Arial"/>
                <w:bCs/>
                <w:szCs w:val="16"/>
              </w:rPr>
              <w:t>85</w:t>
            </w:r>
          </w:p>
        </w:tc>
        <w:tc>
          <w:tcPr>
            <w:tcW w:w="833" w:type="pct"/>
          </w:tcPr>
          <w:p w14:paraId="22075B7A" w14:textId="77777777" w:rsidR="00B25161" w:rsidRPr="00E0465B" w:rsidRDefault="00B25161" w:rsidP="00B25161">
            <w:pPr>
              <w:rPr>
                <w:rFonts w:cs="Arial"/>
                <w:bCs/>
                <w:szCs w:val="16"/>
              </w:rPr>
            </w:pPr>
            <w:r w:rsidRPr="00E0465B">
              <w:rPr>
                <w:rFonts w:cs="Arial"/>
                <w:bCs/>
                <w:szCs w:val="16"/>
              </w:rPr>
              <w:t>310</w:t>
            </w:r>
          </w:p>
        </w:tc>
        <w:tc>
          <w:tcPr>
            <w:tcW w:w="833" w:type="pct"/>
          </w:tcPr>
          <w:p w14:paraId="0F4D0987" w14:textId="77777777" w:rsidR="00B25161" w:rsidRPr="00E0465B" w:rsidRDefault="00B25161" w:rsidP="00B25161">
            <w:pPr>
              <w:rPr>
                <w:rFonts w:cs="Arial"/>
                <w:bCs/>
                <w:szCs w:val="16"/>
              </w:rPr>
            </w:pPr>
            <w:r w:rsidRPr="00E0465B">
              <w:rPr>
                <w:rFonts w:cs="Arial"/>
                <w:bCs/>
                <w:szCs w:val="16"/>
              </w:rPr>
              <w:t>92</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1.41%</w:t>
            </w:r>
          </w:p>
        </w:tc>
        <w:tc>
          <w:tcPr>
            <w:tcW w:w="833" w:type="pct"/>
          </w:tcPr>
          <w:p w14:paraId="0C63E60D" w14:textId="01DF065D" w:rsidR="00B25161" w:rsidRPr="00E0465B" w:rsidRDefault="00B25161" w:rsidP="00B25161">
            <w:pPr>
              <w:rPr>
                <w:rFonts w:cs="Arial"/>
                <w:bCs/>
                <w:szCs w:val="16"/>
              </w:rPr>
            </w:pPr>
            <w:r w:rsidRPr="00E0465B">
              <w:rPr>
                <w:rFonts w:cs="Arial"/>
                <w:bCs/>
                <w:szCs w:val="16"/>
              </w:rPr>
              <w:t>30.00%</w:t>
            </w:r>
          </w:p>
        </w:tc>
        <w:tc>
          <w:tcPr>
            <w:tcW w:w="833" w:type="pct"/>
          </w:tcPr>
          <w:p w14:paraId="6F7D3253" w14:textId="7E946AA3" w:rsidR="00B25161" w:rsidRPr="00E0465B" w:rsidRDefault="00B25161" w:rsidP="00B25161">
            <w:pPr>
              <w:rPr>
                <w:rFonts w:cs="Arial"/>
                <w:bCs/>
                <w:szCs w:val="16"/>
              </w:rPr>
            </w:pPr>
            <w:r w:rsidRPr="00E0465B">
              <w:rPr>
                <w:rFonts w:cs="Arial"/>
                <w:bCs/>
                <w:szCs w:val="16"/>
              </w:rPr>
              <w:t>11.97%</w:t>
            </w:r>
          </w:p>
        </w:tc>
        <w:tc>
          <w:tcPr>
            <w:tcW w:w="833" w:type="pct"/>
          </w:tcPr>
          <w:p w14:paraId="31007D6F" w14:textId="0DE6AD7D" w:rsidR="00B25161" w:rsidRPr="00E0465B" w:rsidRDefault="00B25161" w:rsidP="00B25161">
            <w:pPr>
              <w:rPr>
                <w:rFonts w:cs="Arial"/>
                <w:bCs/>
                <w:szCs w:val="16"/>
              </w:rPr>
            </w:pPr>
            <w:r w:rsidRPr="00E0465B">
              <w:rPr>
                <w:rFonts w:cs="Arial"/>
                <w:bCs/>
                <w:szCs w:val="16"/>
              </w:rPr>
              <w:t>43.66%</w:t>
            </w:r>
          </w:p>
        </w:tc>
        <w:tc>
          <w:tcPr>
            <w:tcW w:w="833" w:type="pct"/>
          </w:tcPr>
          <w:p w14:paraId="7AD8D8B9" w14:textId="6DC41E9B" w:rsidR="00B25161" w:rsidRPr="00E0465B" w:rsidRDefault="00B25161" w:rsidP="00B25161">
            <w:pPr>
              <w:rPr>
                <w:rFonts w:cs="Arial"/>
                <w:bCs/>
                <w:szCs w:val="16"/>
              </w:rPr>
            </w:pPr>
            <w:r w:rsidRPr="00E0465B">
              <w:rPr>
                <w:rFonts w:cs="Arial"/>
                <w:bCs/>
                <w:szCs w:val="16"/>
              </w:rPr>
              <w:t>12.96%</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6</w:t>
            </w:r>
          </w:p>
        </w:tc>
        <w:tc>
          <w:tcPr>
            <w:tcW w:w="833" w:type="pct"/>
          </w:tcPr>
          <w:p w14:paraId="13413534" w14:textId="77777777" w:rsidR="00B25161" w:rsidRPr="00E0465B" w:rsidRDefault="00B25161" w:rsidP="00B25161">
            <w:pPr>
              <w:rPr>
                <w:rFonts w:cs="Arial"/>
                <w:bCs/>
                <w:szCs w:val="16"/>
              </w:rPr>
            </w:pPr>
            <w:r w:rsidRPr="00E0465B">
              <w:rPr>
                <w:rFonts w:cs="Arial"/>
                <w:bCs/>
                <w:szCs w:val="16"/>
              </w:rPr>
              <w:t>105</w:t>
            </w:r>
          </w:p>
        </w:tc>
        <w:tc>
          <w:tcPr>
            <w:tcW w:w="833" w:type="pct"/>
          </w:tcPr>
          <w:p w14:paraId="47A2BC12" w14:textId="77777777" w:rsidR="00B25161" w:rsidRPr="00E0465B" w:rsidRDefault="00B25161" w:rsidP="00B25161">
            <w:pPr>
              <w:rPr>
                <w:rFonts w:cs="Arial"/>
                <w:bCs/>
                <w:szCs w:val="16"/>
              </w:rPr>
            </w:pPr>
            <w:r w:rsidRPr="00E0465B">
              <w:rPr>
                <w:rFonts w:cs="Arial"/>
                <w:bCs/>
                <w:szCs w:val="16"/>
              </w:rPr>
              <w:t>69</w:t>
            </w:r>
          </w:p>
        </w:tc>
        <w:tc>
          <w:tcPr>
            <w:tcW w:w="833" w:type="pct"/>
          </w:tcPr>
          <w:p w14:paraId="4915D083" w14:textId="77777777" w:rsidR="00B25161" w:rsidRPr="00E0465B" w:rsidRDefault="00B25161" w:rsidP="00B25161">
            <w:pPr>
              <w:rPr>
                <w:rFonts w:cs="Arial"/>
                <w:bCs/>
                <w:szCs w:val="16"/>
              </w:rPr>
            </w:pPr>
            <w:r w:rsidRPr="00E0465B">
              <w:rPr>
                <w:rFonts w:cs="Arial"/>
                <w:bCs/>
                <w:szCs w:val="16"/>
              </w:rPr>
              <w:t>306</w:t>
            </w:r>
          </w:p>
        </w:tc>
        <w:tc>
          <w:tcPr>
            <w:tcW w:w="833" w:type="pct"/>
          </w:tcPr>
          <w:p w14:paraId="64ED007D" w14:textId="77777777" w:rsidR="00B25161" w:rsidRPr="00E0465B" w:rsidRDefault="00B25161" w:rsidP="00B25161">
            <w:pPr>
              <w:rPr>
                <w:rFonts w:cs="Arial"/>
                <w:bCs/>
                <w:szCs w:val="16"/>
              </w:rPr>
            </w:pPr>
            <w:r w:rsidRPr="00E0465B">
              <w:rPr>
                <w:rFonts w:cs="Arial"/>
                <w:bCs/>
                <w:szCs w:val="16"/>
              </w:rPr>
              <w:t>224</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0.85%</w:t>
            </w:r>
          </w:p>
        </w:tc>
        <w:tc>
          <w:tcPr>
            <w:tcW w:w="833" w:type="pct"/>
          </w:tcPr>
          <w:p w14:paraId="127BF181" w14:textId="3BECFE2D" w:rsidR="00B25161" w:rsidRPr="00E0465B" w:rsidRDefault="00B25161" w:rsidP="00B25161">
            <w:pPr>
              <w:rPr>
                <w:rFonts w:cs="Arial"/>
                <w:bCs/>
                <w:szCs w:val="16"/>
              </w:rPr>
            </w:pPr>
            <w:r w:rsidRPr="00E0465B">
              <w:rPr>
                <w:rFonts w:cs="Arial"/>
                <w:bCs/>
                <w:szCs w:val="16"/>
              </w:rPr>
              <w:t>14.79%</w:t>
            </w:r>
          </w:p>
        </w:tc>
        <w:tc>
          <w:tcPr>
            <w:tcW w:w="833" w:type="pct"/>
          </w:tcPr>
          <w:p w14:paraId="37EC9364" w14:textId="61A07A7E" w:rsidR="00B25161" w:rsidRPr="00E0465B" w:rsidRDefault="00B25161" w:rsidP="00B25161">
            <w:pPr>
              <w:rPr>
                <w:rFonts w:cs="Arial"/>
                <w:bCs/>
                <w:szCs w:val="16"/>
              </w:rPr>
            </w:pPr>
            <w:r w:rsidRPr="00E0465B">
              <w:rPr>
                <w:rFonts w:cs="Arial"/>
                <w:bCs/>
                <w:szCs w:val="16"/>
              </w:rPr>
              <w:t>9.72%</w:t>
            </w:r>
          </w:p>
        </w:tc>
        <w:tc>
          <w:tcPr>
            <w:tcW w:w="833" w:type="pct"/>
          </w:tcPr>
          <w:p w14:paraId="09DF3FA5" w14:textId="57617973" w:rsidR="00B25161" w:rsidRPr="00E0465B" w:rsidRDefault="00B25161" w:rsidP="00B25161">
            <w:pPr>
              <w:rPr>
                <w:rFonts w:cs="Arial"/>
                <w:bCs/>
                <w:szCs w:val="16"/>
              </w:rPr>
            </w:pPr>
            <w:r w:rsidRPr="00E0465B">
              <w:rPr>
                <w:rFonts w:cs="Arial"/>
                <w:bCs/>
                <w:szCs w:val="16"/>
              </w:rPr>
              <w:t>43.10%</w:t>
            </w:r>
          </w:p>
        </w:tc>
        <w:tc>
          <w:tcPr>
            <w:tcW w:w="833" w:type="pct"/>
          </w:tcPr>
          <w:p w14:paraId="54994806" w14:textId="468B6FDF" w:rsidR="00B25161" w:rsidRPr="00E0465B" w:rsidRDefault="00B25161" w:rsidP="00B25161">
            <w:pPr>
              <w:rPr>
                <w:rFonts w:cs="Arial"/>
                <w:bCs/>
                <w:szCs w:val="16"/>
              </w:rPr>
            </w:pPr>
            <w:r w:rsidRPr="00E0465B">
              <w:rPr>
                <w:rFonts w:cs="Arial"/>
                <w:bCs/>
                <w:szCs w:val="16"/>
              </w:rPr>
              <w:t>31.55%</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4</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14</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83.39%</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69.01%</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63.92%</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56.62%</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77.16%</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74.65%</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2</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2</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8</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539</w:t>
            </w:r>
          </w:p>
        </w:tc>
        <w:tc>
          <w:tcPr>
            <w:tcW w:w="451" w:type="pct"/>
          </w:tcPr>
          <w:p w14:paraId="71B260CE" w14:textId="08E9F3B4" w:rsidR="002163B7" w:rsidRPr="002163B7" w:rsidRDefault="002163B7" w:rsidP="002163B7">
            <w:pPr>
              <w:rPr>
                <w:rFonts w:cs="Arial"/>
                <w:bCs/>
                <w:szCs w:val="16"/>
              </w:rPr>
            </w:pPr>
            <w:r w:rsidRPr="002163B7">
              <w:rPr>
                <w:rFonts w:cs="Arial"/>
                <w:bCs/>
                <w:szCs w:val="16"/>
              </w:rPr>
              <w:t>87.57%</w:t>
            </w:r>
          </w:p>
        </w:tc>
        <w:tc>
          <w:tcPr>
            <w:tcW w:w="409" w:type="pct"/>
          </w:tcPr>
          <w:p w14:paraId="6338C1B2" w14:textId="7BC386DE" w:rsidR="002163B7" w:rsidRPr="002163B7" w:rsidRDefault="002163B7" w:rsidP="002163B7">
            <w:pPr>
              <w:rPr>
                <w:rFonts w:cs="Arial"/>
                <w:bCs/>
                <w:szCs w:val="16"/>
              </w:rPr>
            </w:pPr>
            <w:r w:rsidRPr="002163B7">
              <w:rPr>
                <w:rFonts w:cs="Arial"/>
                <w:bCs/>
                <w:szCs w:val="16"/>
              </w:rPr>
              <w:t>560</w:t>
            </w:r>
          </w:p>
        </w:tc>
        <w:tc>
          <w:tcPr>
            <w:tcW w:w="451" w:type="pct"/>
          </w:tcPr>
          <w:p w14:paraId="136BBFD4" w14:textId="1CEB9412" w:rsidR="002163B7" w:rsidRPr="002163B7" w:rsidRDefault="002163B7" w:rsidP="002163B7">
            <w:pPr>
              <w:rPr>
                <w:rFonts w:cs="Arial"/>
                <w:bCs/>
                <w:szCs w:val="16"/>
              </w:rPr>
            </w:pPr>
            <w:r w:rsidRPr="002163B7">
              <w:rPr>
                <w:rFonts w:cs="Arial"/>
                <w:bCs/>
                <w:szCs w:val="16"/>
              </w:rPr>
              <w:t>83.39%</w:t>
            </w:r>
          </w:p>
        </w:tc>
        <w:tc>
          <w:tcPr>
            <w:tcW w:w="579" w:type="pct"/>
          </w:tcPr>
          <w:p w14:paraId="27AAECA7" w14:textId="77777777" w:rsidR="002163B7" w:rsidRPr="002163B7" w:rsidRDefault="002163B7" w:rsidP="002163B7">
            <w:pPr>
              <w:rPr>
                <w:rFonts w:cs="Arial"/>
                <w:bCs/>
                <w:szCs w:val="16"/>
              </w:rPr>
            </w:pPr>
            <w:r w:rsidRPr="002163B7">
              <w:rPr>
                <w:rFonts w:cs="Arial"/>
                <w:bCs/>
                <w:szCs w:val="16"/>
              </w:rPr>
              <w:t>-4.18</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0.0212</w:t>
            </w:r>
          </w:p>
        </w:tc>
        <w:tc>
          <w:tcPr>
            <w:tcW w:w="386" w:type="pct"/>
          </w:tcPr>
          <w:p w14:paraId="7D05A1C3" w14:textId="77777777" w:rsidR="002163B7" w:rsidRPr="002163B7" w:rsidRDefault="002163B7" w:rsidP="002163B7">
            <w:pPr>
              <w:rPr>
                <w:rFonts w:cs="Arial"/>
                <w:bCs/>
                <w:szCs w:val="16"/>
              </w:rPr>
            </w:pPr>
            <w:r w:rsidRPr="002163B7">
              <w:rPr>
                <w:rFonts w:cs="Arial"/>
                <w:bCs/>
                <w:szCs w:val="16"/>
              </w:rPr>
              <w:t>-1.9705</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0.0488</w:t>
            </w:r>
          </w:p>
        </w:tc>
        <w:tc>
          <w:tcPr>
            <w:tcW w:w="386" w:type="pct"/>
          </w:tcPr>
          <w:p w14:paraId="2DC1DA24" w14:textId="77777777" w:rsidR="002163B7" w:rsidRPr="002163B7" w:rsidRDefault="002163B7" w:rsidP="002163B7">
            <w:pPr>
              <w:rPr>
                <w:rFonts w:cs="Arial"/>
                <w:bCs/>
                <w:szCs w:val="16"/>
              </w:rPr>
            </w:pPr>
            <w:r w:rsidRPr="002163B7">
              <w:rPr>
                <w:rFonts w:cs="Arial"/>
                <w:bCs/>
                <w:szCs w:val="16"/>
              </w:rPr>
              <w:t>YES</w:t>
            </w:r>
          </w:p>
        </w:tc>
        <w:tc>
          <w:tcPr>
            <w:tcW w:w="575" w:type="pct"/>
          </w:tcPr>
          <w:p w14:paraId="00DA6A1A" w14:textId="77777777" w:rsidR="002163B7" w:rsidRPr="002163B7" w:rsidRDefault="002163B7" w:rsidP="002163B7">
            <w:pPr>
              <w:rPr>
                <w:rFonts w:cs="Arial"/>
                <w:bCs/>
                <w:szCs w:val="16"/>
              </w:rPr>
            </w:pPr>
            <w:r w:rsidRPr="002163B7">
              <w:rPr>
                <w:rFonts w:cs="Arial"/>
                <w:bCs/>
                <w:szCs w:val="16"/>
              </w:rPr>
              <w:t>0</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603</w:t>
            </w:r>
          </w:p>
        </w:tc>
        <w:tc>
          <w:tcPr>
            <w:tcW w:w="451" w:type="pct"/>
          </w:tcPr>
          <w:p w14:paraId="7784492F" w14:textId="617B5A37" w:rsidR="002163B7" w:rsidRPr="002163B7" w:rsidRDefault="002163B7" w:rsidP="002163B7">
            <w:pPr>
              <w:rPr>
                <w:rFonts w:cs="Arial"/>
                <w:bCs/>
                <w:szCs w:val="16"/>
              </w:rPr>
            </w:pPr>
            <w:r w:rsidRPr="002163B7">
              <w:rPr>
                <w:rFonts w:cs="Arial"/>
                <w:bCs/>
                <w:szCs w:val="16"/>
              </w:rPr>
              <w:t>67.50%</w:t>
            </w:r>
          </w:p>
        </w:tc>
        <w:tc>
          <w:tcPr>
            <w:tcW w:w="409" w:type="pct"/>
          </w:tcPr>
          <w:p w14:paraId="28F8936D" w14:textId="5A09EDE1" w:rsidR="002163B7" w:rsidRPr="002163B7" w:rsidRDefault="002163B7" w:rsidP="002163B7">
            <w:pPr>
              <w:rPr>
                <w:rFonts w:cs="Arial"/>
                <w:bCs/>
                <w:szCs w:val="16"/>
              </w:rPr>
            </w:pPr>
            <w:r w:rsidRPr="002163B7">
              <w:rPr>
                <w:rFonts w:cs="Arial"/>
                <w:bCs/>
                <w:szCs w:val="16"/>
              </w:rPr>
              <w:t>618</w:t>
            </w:r>
          </w:p>
        </w:tc>
        <w:tc>
          <w:tcPr>
            <w:tcW w:w="451" w:type="pct"/>
          </w:tcPr>
          <w:p w14:paraId="633C801B" w14:textId="4A295D67" w:rsidR="002163B7" w:rsidRPr="002163B7" w:rsidRDefault="002163B7" w:rsidP="002163B7">
            <w:pPr>
              <w:rPr>
                <w:rFonts w:cs="Arial"/>
                <w:bCs/>
                <w:szCs w:val="16"/>
              </w:rPr>
            </w:pPr>
            <w:r w:rsidRPr="002163B7">
              <w:rPr>
                <w:rFonts w:cs="Arial"/>
                <w:bCs/>
                <w:szCs w:val="16"/>
              </w:rPr>
              <w:t>63.92%</w:t>
            </w:r>
          </w:p>
        </w:tc>
        <w:tc>
          <w:tcPr>
            <w:tcW w:w="579" w:type="pct"/>
          </w:tcPr>
          <w:p w14:paraId="230B7EE7" w14:textId="77777777" w:rsidR="002163B7" w:rsidRPr="002163B7" w:rsidRDefault="002163B7" w:rsidP="002163B7">
            <w:pPr>
              <w:rPr>
                <w:rFonts w:cs="Arial"/>
                <w:bCs/>
                <w:szCs w:val="16"/>
              </w:rPr>
            </w:pPr>
            <w:r w:rsidRPr="002163B7">
              <w:rPr>
                <w:rFonts w:cs="Arial"/>
                <w:bCs/>
                <w:szCs w:val="16"/>
              </w:rPr>
              <w:t>-3.58</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0.0271</w:t>
            </w:r>
          </w:p>
        </w:tc>
        <w:tc>
          <w:tcPr>
            <w:tcW w:w="386" w:type="pct"/>
          </w:tcPr>
          <w:p w14:paraId="035E4F5E" w14:textId="77777777" w:rsidR="002163B7" w:rsidRPr="002163B7" w:rsidRDefault="002163B7" w:rsidP="002163B7">
            <w:pPr>
              <w:rPr>
                <w:rFonts w:cs="Arial"/>
                <w:bCs/>
                <w:szCs w:val="16"/>
              </w:rPr>
            </w:pPr>
            <w:r w:rsidRPr="002163B7">
              <w:rPr>
                <w:rFonts w:cs="Arial"/>
                <w:bCs/>
                <w:szCs w:val="16"/>
              </w:rPr>
              <w:t>-1.3187</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0.1873</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447</w:t>
            </w:r>
          </w:p>
        </w:tc>
        <w:tc>
          <w:tcPr>
            <w:tcW w:w="451" w:type="pct"/>
          </w:tcPr>
          <w:p w14:paraId="540692E3" w14:textId="56E6F3CD" w:rsidR="002163B7" w:rsidRPr="002163B7" w:rsidRDefault="002163B7" w:rsidP="002163B7">
            <w:pPr>
              <w:rPr>
                <w:rFonts w:cs="Arial"/>
                <w:bCs/>
                <w:szCs w:val="16"/>
              </w:rPr>
            </w:pPr>
            <w:r w:rsidRPr="002163B7">
              <w:rPr>
                <w:rFonts w:cs="Arial"/>
                <w:bCs/>
                <w:szCs w:val="16"/>
              </w:rPr>
              <w:t>84.34%</w:t>
            </w:r>
          </w:p>
        </w:tc>
        <w:tc>
          <w:tcPr>
            <w:tcW w:w="409" w:type="pct"/>
          </w:tcPr>
          <w:p w14:paraId="1B3E02C2" w14:textId="2CE8465F" w:rsidR="002163B7" w:rsidRPr="002163B7" w:rsidRDefault="002163B7" w:rsidP="002163B7">
            <w:pPr>
              <w:rPr>
                <w:rFonts w:cs="Arial"/>
                <w:bCs/>
                <w:szCs w:val="16"/>
              </w:rPr>
            </w:pPr>
            <w:r w:rsidRPr="002163B7">
              <w:rPr>
                <w:rFonts w:cs="Arial"/>
                <w:bCs/>
                <w:szCs w:val="16"/>
              </w:rPr>
              <w:t>486</w:t>
            </w:r>
          </w:p>
        </w:tc>
        <w:tc>
          <w:tcPr>
            <w:tcW w:w="451" w:type="pct"/>
          </w:tcPr>
          <w:p w14:paraId="34FC7C5B" w14:textId="5058C880" w:rsidR="002163B7" w:rsidRPr="002163B7" w:rsidRDefault="002163B7" w:rsidP="002163B7">
            <w:pPr>
              <w:rPr>
                <w:rFonts w:cs="Arial"/>
                <w:bCs/>
                <w:szCs w:val="16"/>
              </w:rPr>
            </w:pPr>
            <w:r w:rsidRPr="002163B7">
              <w:rPr>
                <w:rFonts w:cs="Arial"/>
                <w:bCs/>
                <w:szCs w:val="16"/>
              </w:rPr>
              <w:t>77.16%</w:t>
            </w:r>
          </w:p>
        </w:tc>
        <w:tc>
          <w:tcPr>
            <w:tcW w:w="579" w:type="pct"/>
          </w:tcPr>
          <w:p w14:paraId="553B8B85" w14:textId="77777777" w:rsidR="002163B7" w:rsidRPr="002163B7" w:rsidRDefault="002163B7" w:rsidP="002163B7">
            <w:pPr>
              <w:rPr>
                <w:rFonts w:cs="Arial"/>
                <w:bCs/>
                <w:szCs w:val="16"/>
              </w:rPr>
            </w:pPr>
            <w:r w:rsidRPr="002163B7">
              <w:rPr>
                <w:rFonts w:cs="Arial"/>
                <w:bCs/>
                <w:szCs w:val="16"/>
              </w:rPr>
              <w:t>-7.18</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0.0257</w:t>
            </w:r>
          </w:p>
        </w:tc>
        <w:tc>
          <w:tcPr>
            <w:tcW w:w="386" w:type="pct"/>
          </w:tcPr>
          <w:p w14:paraId="6ADF51A1" w14:textId="77777777" w:rsidR="002163B7" w:rsidRPr="002163B7" w:rsidRDefault="002163B7" w:rsidP="002163B7">
            <w:pPr>
              <w:rPr>
                <w:rFonts w:cs="Arial"/>
                <w:bCs/>
                <w:szCs w:val="16"/>
              </w:rPr>
            </w:pPr>
            <w:r w:rsidRPr="002163B7">
              <w:rPr>
                <w:rFonts w:cs="Arial"/>
                <w:bCs/>
                <w:szCs w:val="16"/>
              </w:rPr>
              <w:t>-2.7987</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0.0051</w:t>
            </w:r>
          </w:p>
        </w:tc>
        <w:tc>
          <w:tcPr>
            <w:tcW w:w="386" w:type="pct"/>
          </w:tcPr>
          <w:p w14:paraId="31C10E76" w14:textId="77777777" w:rsidR="002163B7" w:rsidRPr="002163B7" w:rsidRDefault="002163B7" w:rsidP="002163B7">
            <w:pPr>
              <w:rPr>
                <w:rFonts w:cs="Arial"/>
                <w:bCs/>
                <w:szCs w:val="16"/>
              </w:rPr>
            </w:pPr>
            <w:r w:rsidRPr="002163B7">
              <w:rPr>
                <w:rFonts w:cs="Arial"/>
                <w:bCs/>
                <w:szCs w:val="16"/>
              </w:rPr>
              <w:t>YES</w:t>
            </w:r>
          </w:p>
        </w:tc>
        <w:tc>
          <w:tcPr>
            <w:tcW w:w="575" w:type="pct"/>
          </w:tcPr>
          <w:p w14:paraId="56549F88" w14:textId="77777777" w:rsidR="002163B7" w:rsidRPr="002163B7" w:rsidRDefault="002163B7" w:rsidP="002163B7">
            <w:pPr>
              <w:rPr>
                <w:rFonts w:cs="Arial"/>
                <w:bCs/>
                <w:szCs w:val="16"/>
              </w:rPr>
            </w:pPr>
            <w:r w:rsidRPr="002163B7">
              <w:rPr>
                <w:rFonts w:cs="Arial"/>
                <w:bCs/>
                <w:szCs w:val="16"/>
              </w:rPr>
              <w:t>0</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676</w:t>
            </w:r>
          </w:p>
        </w:tc>
        <w:tc>
          <w:tcPr>
            <w:tcW w:w="451" w:type="pct"/>
          </w:tcPr>
          <w:p w14:paraId="194DF487" w14:textId="7DCD0747" w:rsidR="002163B7" w:rsidRPr="002163B7" w:rsidRDefault="002163B7" w:rsidP="002163B7">
            <w:pPr>
              <w:rPr>
                <w:rFonts w:cs="Arial"/>
                <w:bCs/>
                <w:szCs w:val="16"/>
              </w:rPr>
            </w:pPr>
            <w:r w:rsidRPr="002163B7">
              <w:rPr>
                <w:rFonts w:cs="Arial"/>
                <w:bCs/>
                <w:szCs w:val="16"/>
              </w:rPr>
              <w:t>73.82%</w:t>
            </w:r>
          </w:p>
        </w:tc>
        <w:tc>
          <w:tcPr>
            <w:tcW w:w="409" w:type="pct"/>
          </w:tcPr>
          <w:p w14:paraId="5EAAAE8A" w14:textId="57AB6E77" w:rsidR="002163B7" w:rsidRPr="002163B7" w:rsidRDefault="002163B7" w:rsidP="002163B7">
            <w:pPr>
              <w:rPr>
                <w:rFonts w:cs="Arial"/>
                <w:bCs/>
                <w:szCs w:val="16"/>
              </w:rPr>
            </w:pPr>
            <w:r w:rsidRPr="002163B7">
              <w:rPr>
                <w:rFonts w:cs="Arial"/>
                <w:bCs/>
                <w:szCs w:val="16"/>
              </w:rPr>
              <w:t>710</w:t>
            </w:r>
          </w:p>
        </w:tc>
        <w:tc>
          <w:tcPr>
            <w:tcW w:w="451" w:type="pct"/>
          </w:tcPr>
          <w:p w14:paraId="54F6D99F" w14:textId="0EE83B30" w:rsidR="002163B7" w:rsidRPr="002163B7" w:rsidRDefault="002163B7" w:rsidP="002163B7">
            <w:pPr>
              <w:rPr>
                <w:rFonts w:cs="Arial"/>
                <w:bCs/>
                <w:szCs w:val="16"/>
              </w:rPr>
            </w:pPr>
            <w:r w:rsidRPr="002163B7">
              <w:rPr>
                <w:rFonts w:cs="Arial"/>
                <w:bCs/>
                <w:szCs w:val="16"/>
              </w:rPr>
              <w:t>69.01%</w:t>
            </w:r>
          </w:p>
        </w:tc>
        <w:tc>
          <w:tcPr>
            <w:tcW w:w="579" w:type="pct"/>
          </w:tcPr>
          <w:p w14:paraId="1D077B69" w14:textId="77777777" w:rsidR="002163B7" w:rsidRPr="002163B7" w:rsidRDefault="002163B7" w:rsidP="002163B7">
            <w:pPr>
              <w:rPr>
                <w:rFonts w:cs="Arial"/>
                <w:bCs/>
                <w:szCs w:val="16"/>
              </w:rPr>
            </w:pPr>
            <w:r w:rsidRPr="002163B7">
              <w:rPr>
                <w:rFonts w:cs="Arial"/>
                <w:bCs/>
                <w:szCs w:val="16"/>
              </w:rPr>
              <w:t>-4.80</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0.0242</w:t>
            </w:r>
          </w:p>
        </w:tc>
        <w:tc>
          <w:tcPr>
            <w:tcW w:w="386" w:type="pct"/>
          </w:tcPr>
          <w:p w14:paraId="44A41449" w14:textId="77777777" w:rsidR="002163B7" w:rsidRPr="002163B7" w:rsidRDefault="002163B7" w:rsidP="002163B7">
            <w:pPr>
              <w:rPr>
                <w:rFonts w:cs="Arial"/>
                <w:bCs/>
                <w:szCs w:val="16"/>
              </w:rPr>
            </w:pPr>
            <w:r w:rsidRPr="002163B7">
              <w:rPr>
                <w:rFonts w:cs="Arial"/>
                <w:bCs/>
                <w:szCs w:val="16"/>
              </w:rPr>
              <w:t>-1.9820</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0.0475</w:t>
            </w:r>
          </w:p>
        </w:tc>
        <w:tc>
          <w:tcPr>
            <w:tcW w:w="386" w:type="pct"/>
          </w:tcPr>
          <w:p w14:paraId="6CF12100" w14:textId="77777777" w:rsidR="002163B7" w:rsidRPr="002163B7" w:rsidRDefault="002163B7" w:rsidP="002163B7">
            <w:pPr>
              <w:rPr>
                <w:rFonts w:cs="Arial"/>
                <w:bCs/>
                <w:szCs w:val="16"/>
              </w:rPr>
            </w:pPr>
            <w:r w:rsidRPr="002163B7">
              <w:rPr>
                <w:rFonts w:cs="Arial"/>
                <w:bCs/>
                <w:szCs w:val="16"/>
              </w:rPr>
              <w:t>YES</w:t>
            </w:r>
          </w:p>
        </w:tc>
        <w:tc>
          <w:tcPr>
            <w:tcW w:w="575" w:type="pct"/>
          </w:tcPr>
          <w:p w14:paraId="798BDE8E" w14:textId="77777777" w:rsidR="002163B7" w:rsidRPr="002163B7" w:rsidRDefault="002163B7" w:rsidP="002163B7">
            <w:pPr>
              <w:rPr>
                <w:rFonts w:cs="Arial"/>
                <w:bCs/>
                <w:szCs w:val="16"/>
              </w:rPr>
            </w:pPr>
            <w:r w:rsidRPr="002163B7">
              <w:rPr>
                <w:rFonts w:cs="Arial"/>
                <w:bCs/>
                <w:szCs w:val="16"/>
              </w:rPr>
              <w:t>0</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676</w:t>
            </w:r>
          </w:p>
        </w:tc>
        <w:tc>
          <w:tcPr>
            <w:tcW w:w="451" w:type="pct"/>
          </w:tcPr>
          <w:p w14:paraId="2CE4E688" w14:textId="5431A696" w:rsidR="002163B7" w:rsidRPr="002163B7" w:rsidRDefault="002163B7" w:rsidP="002163B7">
            <w:pPr>
              <w:rPr>
                <w:rFonts w:cs="Arial"/>
                <w:bCs/>
                <w:szCs w:val="16"/>
              </w:rPr>
            </w:pPr>
            <w:r w:rsidRPr="002163B7">
              <w:rPr>
                <w:rFonts w:cs="Arial"/>
                <w:bCs/>
                <w:szCs w:val="16"/>
              </w:rPr>
              <w:t>58.73%</w:t>
            </w:r>
          </w:p>
        </w:tc>
        <w:tc>
          <w:tcPr>
            <w:tcW w:w="409" w:type="pct"/>
          </w:tcPr>
          <w:p w14:paraId="646CA85A" w14:textId="3C895BAE" w:rsidR="002163B7" w:rsidRPr="002163B7" w:rsidRDefault="002163B7" w:rsidP="002163B7">
            <w:pPr>
              <w:rPr>
                <w:rFonts w:cs="Arial"/>
                <w:bCs/>
                <w:szCs w:val="16"/>
              </w:rPr>
            </w:pPr>
            <w:r w:rsidRPr="002163B7">
              <w:rPr>
                <w:rFonts w:cs="Arial"/>
                <w:bCs/>
                <w:szCs w:val="16"/>
              </w:rPr>
              <w:t>710</w:t>
            </w:r>
          </w:p>
        </w:tc>
        <w:tc>
          <w:tcPr>
            <w:tcW w:w="451" w:type="pct"/>
          </w:tcPr>
          <w:p w14:paraId="37836055" w14:textId="1351FC3C" w:rsidR="002163B7" w:rsidRPr="002163B7" w:rsidRDefault="002163B7" w:rsidP="002163B7">
            <w:pPr>
              <w:rPr>
                <w:rFonts w:cs="Arial"/>
                <w:bCs/>
                <w:szCs w:val="16"/>
              </w:rPr>
            </w:pPr>
            <w:r w:rsidRPr="002163B7">
              <w:rPr>
                <w:rFonts w:cs="Arial"/>
                <w:bCs/>
                <w:szCs w:val="16"/>
              </w:rPr>
              <w:t>56.62%</w:t>
            </w:r>
          </w:p>
        </w:tc>
        <w:tc>
          <w:tcPr>
            <w:tcW w:w="579" w:type="pct"/>
          </w:tcPr>
          <w:p w14:paraId="46137C56" w14:textId="77777777" w:rsidR="002163B7" w:rsidRPr="002163B7" w:rsidRDefault="002163B7" w:rsidP="002163B7">
            <w:pPr>
              <w:rPr>
                <w:rFonts w:cs="Arial"/>
                <w:bCs/>
                <w:szCs w:val="16"/>
              </w:rPr>
            </w:pPr>
            <w:r w:rsidRPr="002163B7">
              <w:rPr>
                <w:rFonts w:cs="Arial"/>
                <w:bCs/>
                <w:szCs w:val="16"/>
              </w:rPr>
              <w:t>-2.11</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0.0265</w:t>
            </w:r>
          </w:p>
        </w:tc>
        <w:tc>
          <w:tcPr>
            <w:tcW w:w="386" w:type="pct"/>
          </w:tcPr>
          <w:p w14:paraId="33ABA125" w14:textId="77777777" w:rsidR="002163B7" w:rsidRPr="002163B7" w:rsidRDefault="002163B7" w:rsidP="002163B7">
            <w:pPr>
              <w:rPr>
                <w:rFonts w:cs="Arial"/>
                <w:bCs/>
                <w:szCs w:val="16"/>
              </w:rPr>
            </w:pPr>
            <w:r w:rsidRPr="002163B7">
              <w:rPr>
                <w:rFonts w:cs="Arial"/>
                <w:bCs/>
                <w:szCs w:val="16"/>
              </w:rPr>
              <w:t>-0.7942</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0.4271</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676</w:t>
            </w:r>
          </w:p>
        </w:tc>
        <w:tc>
          <w:tcPr>
            <w:tcW w:w="451" w:type="pct"/>
          </w:tcPr>
          <w:p w14:paraId="11697454" w14:textId="54436DC8" w:rsidR="002163B7" w:rsidRPr="002163B7" w:rsidRDefault="002163B7" w:rsidP="002163B7">
            <w:pPr>
              <w:rPr>
                <w:rFonts w:cs="Arial"/>
                <w:bCs/>
                <w:szCs w:val="16"/>
              </w:rPr>
            </w:pPr>
            <w:r w:rsidRPr="002163B7">
              <w:rPr>
                <w:rFonts w:cs="Arial"/>
                <w:bCs/>
                <w:szCs w:val="16"/>
              </w:rPr>
              <w:t>80.62%</w:t>
            </w:r>
          </w:p>
        </w:tc>
        <w:tc>
          <w:tcPr>
            <w:tcW w:w="409" w:type="pct"/>
          </w:tcPr>
          <w:p w14:paraId="15A07783" w14:textId="7CD02A10" w:rsidR="002163B7" w:rsidRPr="002163B7" w:rsidRDefault="002163B7" w:rsidP="002163B7">
            <w:pPr>
              <w:rPr>
                <w:rFonts w:cs="Arial"/>
                <w:bCs/>
                <w:szCs w:val="16"/>
              </w:rPr>
            </w:pPr>
            <w:r w:rsidRPr="002163B7">
              <w:rPr>
                <w:rFonts w:cs="Arial"/>
                <w:bCs/>
                <w:szCs w:val="16"/>
              </w:rPr>
              <w:t>710</w:t>
            </w:r>
          </w:p>
        </w:tc>
        <w:tc>
          <w:tcPr>
            <w:tcW w:w="451" w:type="pct"/>
          </w:tcPr>
          <w:p w14:paraId="48158A85" w14:textId="5FA103FF" w:rsidR="002163B7" w:rsidRPr="002163B7" w:rsidRDefault="002163B7" w:rsidP="002163B7">
            <w:pPr>
              <w:rPr>
                <w:rFonts w:cs="Arial"/>
                <w:bCs/>
                <w:szCs w:val="16"/>
              </w:rPr>
            </w:pPr>
            <w:r w:rsidRPr="002163B7">
              <w:rPr>
                <w:rFonts w:cs="Arial"/>
                <w:bCs/>
                <w:szCs w:val="16"/>
              </w:rPr>
              <w:t>74.65%</w:t>
            </w:r>
          </w:p>
        </w:tc>
        <w:tc>
          <w:tcPr>
            <w:tcW w:w="579" w:type="pct"/>
          </w:tcPr>
          <w:p w14:paraId="7D6FF76A" w14:textId="77777777" w:rsidR="002163B7" w:rsidRPr="002163B7" w:rsidRDefault="002163B7" w:rsidP="002163B7">
            <w:pPr>
              <w:rPr>
                <w:rFonts w:cs="Arial"/>
                <w:bCs/>
                <w:szCs w:val="16"/>
              </w:rPr>
            </w:pPr>
            <w:r w:rsidRPr="002163B7">
              <w:rPr>
                <w:rFonts w:cs="Arial"/>
                <w:bCs/>
                <w:szCs w:val="16"/>
              </w:rPr>
              <w:t>-5.97</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0.0223</w:t>
            </w:r>
          </w:p>
        </w:tc>
        <w:tc>
          <w:tcPr>
            <w:tcW w:w="386" w:type="pct"/>
          </w:tcPr>
          <w:p w14:paraId="2D1A2501" w14:textId="77777777" w:rsidR="002163B7" w:rsidRPr="002163B7" w:rsidRDefault="002163B7" w:rsidP="002163B7">
            <w:pPr>
              <w:rPr>
                <w:rFonts w:cs="Arial"/>
                <w:bCs/>
                <w:szCs w:val="16"/>
              </w:rPr>
            </w:pPr>
            <w:r w:rsidRPr="002163B7">
              <w:rPr>
                <w:rFonts w:cs="Arial"/>
                <w:bCs/>
                <w:szCs w:val="16"/>
              </w:rPr>
              <w:t>-2.6777</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0.0074</w:t>
            </w:r>
          </w:p>
        </w:tc>
        <w:tc>
          <w:tcPr>
            <w:tcW w:w="386" w:type="pct"/>
          </w:tcPr>
          <w:p w14:paraId="2C63E38F" w14:textId="77777777" w:rsidR="002163B7" w:rsidRPr="002163B7" w:rsidRDefault="002163B7" w:rsidP="002163B7">
            <w:pPr>
              <w:rPr>
                <w:rFonts w:cs="Arial"/>
                <w:bCs/>
                <w:szCs w:val="16"/>
              </w:rPr>
            </w:pPr>
            <w:r w:rsidRPr="002163B7">
              <w:rPr>
                <w:rFonts w:cs="Arial"/>
                <w:bCs/>
                <w:szCs w:val="16"/>
              </w:rPr>
              <w:t>YES</w:t>
            </w:r>
          </w:p>
        </w:tc>
        <w:tc>
          <w:tcPr>
            <w:tcW w:w="575" w:type="pct"/>
          </w:tcPr>
          <w:p w14:paraId="0F1DAEAF" w14:textId="77777777" w:rsidR="002163B7" w:rsidRPr="002163B7" w:rsidRDefault="002163B7" w:rsidP="002163B7">
            <w:pPr>
              <w:rPr>
                <w:rFonts w:cs="Arial"/>
                <w:bCs/>
                <w:szCs w:val="16"/>
              </w:rPr>
            </w:pPr>
            <w:r w:rsidRPr="002163B7">
              <w:rPr>
                <w:rFonts w:cs="Arial"/>
                <w:bCs/>
                <w:szCs w:val="16"/>
              </w:rPr>
              <w:t>0</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2</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0</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70F8350A" w14:textId="77777777" w:rsidR="00696C7D" w:rsidRPr="00696C7D" w:rsidRDefault="00696C7D" w:rsidP="00696C7D">
      <w:pPr>
        <w:rPr>
          <w:b/>
          <w:bCs/>
          <w:sz w:val="20"/>
          <w:szCs w:val="28"/>
        </w:rPr>
      </w:pPr>
      <w:r w:rsidRPr="00696C7D">
        <w:rPr>
          <w:b/>
          <w:bCs/>
          <w:sz w:val="20"/>
          <w:szCs w:val="28"/>
        </w:rPr>
        <w:t>District of Columbia</w:t>
      </w:r>
    </w:p>
    <w:p w14:paraId="1B24E1D4" w14:textId="77777777" w:rsidR="00696C7D" w:rsidRPr="00696C7D" w:rsidRDefault="00696C7D" w:rsidP="00696C7D"/>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1</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1</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13</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18</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18</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36.00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0</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36.00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48ECD16B" w14:textId="77777777" w:rsidR="00D26284" w:rsidRDefault="00D26284">
      <w:pPr>
        <w:spacing w:before="0" w:after="200" w:line="276" w:lineRule="auto"/>
      </w:pPr>
    </w:p>
    <w:p w14:paraId="2D73293C" w14:textId="0BF36E7A" w:rsidR="00A241E8" w:rsidRDefault="00696C7D">
      <w:pPr>
        <w:spacing w:before="0" w:after="200" w:line="276" w:lineRule="auto"/>
      </w:pPr>
      <w:r>
        <w:object w:dxaOrig="1540" w:dyaOrig="997" w14:anchorId="43A6C63A">
          <v:shape id="_x0000_i1026" type="#_x0000_t75" alt="DC-C-DR-2021-22&#10;" style="width:79.2pt;height:50.4pt" o:ole="">
            <v:imagedata r:id="rId14" o:title=""/>
          </v:shape>
          <o:OLEObject Type="Embed" ProgID="Acrobat.Document.2020" ShapeID="_x0000_i1026" DrawAspect="Icon" ObjectID="_1749221441"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696C7D"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1.6pt;height:21.6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103574286">
    <w:abstractNumId w:val="7"/>
  </w:num>
  <w:num w:numId="2" w16cid:durableId="2042245807">
    <w:abstractNumId w:val="16"/>
  </w:num>
  <w:num w:numId="3" w16cid:durableId="122235581">
    <w:abstractNumId w:val="9"/>
  </w:num>
  <w:num w:numId="4" w16cid:durableId="2025396950">
    <w:abstractNumId w:val="8"/>
  </w:num>
  <w:num w:numId="5" w16cid:durableId="2020349569">
    <w:abstractNumId w:val="18"/>
  </w:num>
  <w:num w:numId="6" w16cid:durableId="1303539921">
    <w:abstractNumId w:val="0"/>
  </w:num>
  <w:num w:numId="7" w16cid:durableId="1525317186">
    <w:abstractNumId w:val="1"/>
  </w:num>
  <w:num w:numId="8" w16cid:durableId="1364744875">
    <w:abstractNumId w:val="14"/>
  </w:num>
  <w:num w:numId="9" w16cid:durableId="728959825">
    <w:abstractNumId w:val="13"/>
  </w:num>
  <w:num w:numId="10" w16cid:durableId="2317493">
    <w:abstractNumId w:val="3"/>
  </w:num>
  <w:num w:numId="11" w16cid:durableId="1816482123">
    <w:abstractNumId w:val="2"/>
  </w:num>
  <w:num w:numId="12" w16cid:durableId="2075002634">
    <w:abstractNumId w:val="5"/>
  </w:num>
  <w:num w:numId="13" w16cid:durableId="1892690599">
    <w:abstractNumId w:val="11"/>
  </w:num>
  <w:num w:numId="14" w16cid:durableId="312414692">
    <w:abstractNumId w:val="10"/>
  </w:num>
  <w:num w:numId="15" w16cid:durableId="702294160">
    <w:abstractNumId w:val="12"/>
  </w:num>
  <w:num w:numId="16" w16cid:durableId="126317508">
    <w:abstractNumId w:val="15"/>
  </w:num>
  <w:num w:numId="17" w16cid:durableId="619188697">
    <w:abstractNumId w:val="4"/>
  </w:num>
  <w:num w:numId="18" w16cid:durableId="1179126526">
    <w:abstractNumId w:val="6"/>
  </w:num>
  <w:num w:numId="19" w16cid:durableId="2333619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6C7D"/>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284"/>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2.xml><?xml version="1.0" encoding="utf-8"?>
<ds:datastoreItem xmlns:ds="http://schemas.openxmlformats.org/officeDocument/2006/customXml" ds:itemID="{63B11730-0B3D-456E-86CF-BEBF9AF65742}"/>
</file>

<file path=customXml/itemProps3.xml><?xml version="1.0" encoding="utf-8"?>
<ds:datastoreItem xmlns:ds="http://schemas.openxmlformats.org/officeDocument/2006/customXml" ds:itemID="{E34A9DCB-E3D8-4048-BDD4-1F7881EB959B}">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292db1e8-b3d0-4356-8ef3-2a6d7ed77883"/>
    <ds:schemaRef ds:uri="http://purl.org/dc/elements/1.1/"/>
    <ds:schemaRef ds:uri="4f36bac4-6705-4a36-974b-7c07450fedf2"/>
    <ds:schemaRef ds:uri="http://schemas.microsoft.com/sharepoint/v3"/>
    <ds:schemaRef ds:uri="http://purl.org/dc/terms/"/>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64</Pages>
  <Words>34732</Words>
  <Characters>197978</Characters>
  <Application>Microsoft Office Word</Application>
  <DocSecurity>0</DocSecurity>
  <Lines>1649</Lines>
  <Paragraphs>464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2023-06-25T22:03:00Z</dcterms:created>
  <dcterms:modified xsi:type="dcterms:W3CDTF">2023-06-25T22:03:00Z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