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3B12B6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District of Columbia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This report is provided during an extraordinary time as the District of Columbia, like the rest of the country, continues to address the ongoing effects of the global COVID-19 pandemic. This public health emergency necessitated the sudden closing of public schools in March 2020 with an unexpected shift to remote instruction and service delivery for students. The school year 2020-2021 proved equally challenging as students received instruction virtually beginning in August 2020 with a gradual return to partial in-person learning beginning the following February 2021 for specific subgroups of students, including students with disabilities. These circumstances have continued to adversely affect the District of Columbia's ability to meet targets required by the Annual Performance Report (APR), which generally had been on an upward trajectory. Despite these events, during this reporting period - July 1, 2021 to June 30, 2022 (FFY21) - the District made notable progress in the area of parent involvement, significantly increasing its survey's response rate from 7.00% to 20%.</w:t>
      </w:r>
      <w:r w:rsidRPr="00781112">
        <w:rPr>
          <w:rFonts w:cs="Arial"/>
          <w:color w:val="000000" w:themeColor="text1"/>
          <w:szCs w:val="16"/>
        </w:rPr>
        <w:br/>
      </w:r>
      <w:r w:rsidRPr="00781112">
        <w:rPr>
          <w:rFonts w:cs="Arial"/>
          <w:color w:val="000000" w:themeColor="text1"/>
          <w:szCs w:val="16"/>
        </w:rPr>
        <w:br/>
        <w:t>Since Spring 2020, the District has been working diligently to address the new realities of operating in a rapidly changing environment under unprecedented circumstances. As part of its ongoing recovery planning and implementation, OSSE continues to develop and deploy a virtual professional development series and data-informed decision-making toolkit to support LEA activities and put these expectations to practice. OSSE also continues to provide LEAs with technical assistance in utilizing these tools to develop and implement school-wide and student-specific recovery plans to address learning loss and regression for students with disabilities. These supports include professional development training series, one-to-one technical assistance, and State facilitated communities of practice. OSSE continues to explore new and creative means to connect with families about their needs, provide families support to navigate special education process, and engage families in providing actionable feedback.</w:t>
      </w:r>
      <w:r w:rsidRPr="00781112">
        <w:rPr>
          <w:rFonts w:cs="Arial"/>
          <w:color w:val="000000" w:themeColor="text1"/>
          <w:szCs w:val="16"/>
        </w:rPr>
        <w:br/>
      </w:r>
      <w:r w:rsidRPr="00781112">
        <w:rPr>
          <w:rFonts w:cs="Arial"/>
          <w:color w:val="000000" w:themeColor="text1"/>
          <w:szCs w:val="16"/>
        </w:rPr>
        <w:br/>
        <w:t>A link to D.C.'s guidance in response to COVID-19 can be found here: https://osse.dc.gov/page/covid-19-guidance-and-resources</w:t>
      </w:r>
      <w:r w:rsidRPr="00781112">
        <w:rPr>
          <w:rFonts w:cs="Arial"/>
          <w:color w:val="000000" w:themeColor="text1"/>
          <w:szCs w:val="16"/>
        </w:rPr>
        <w:br/>
      </w:r>
      <w:r w:rsidRPr="00781112">
        <w:rPr>
          <w:rFonts w:cs="Arial"/>
          <w:color w:val="000000" w:themeColor="text1"/>
          <w:szCs w:val="16"/>
        </w:rPr>
        <w:br/>
        <w:t>OSSE required all LEAs to submit a Continuous Education and Recovery Plan Application for the school year 2020-21 that included specific information on LEA activities to ensure continued IDEA service delivery and procedures through distance learning. OSSE additionally required all LEAs to communicate plans for continuous student data collection to ensure progress monitoring. OSSE required LEAs to update their CEPs for the full return to in-person learning for the school year 2021-22 and OSSE monitored implementation of these plans throughout the school year.</w:t>
      </w:r>
      <w:r w:rsidRPr="00781112">
        <w:rPr>
          <w:rFonts w:cs="Arial"/>
          <w:color w:val="000000" w:themeColor="text1"/>
          <w:szCs w:val="16"/>
        </w:rPr>
        <w:br/>
      </w:r>
      <w:r w:rsidRPr="00781112">
        <w:rPr>
          <w:rFonts w:cs="Arial"/>
          <w:color w:val="000000" w:themeColor="text1"/>
          <w:szCs w:val="16"/>
        </w:rPr>
        <w:br/>
        <w:t>OSSE continues to dedicate significant resources to improving outcomes for students with disabilities by setting clear and high expectations, improved special education service delivery, providing LEAs actionable data, and meaningfully engaging families.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LEA Structure in the District of Columbia</w:t>
      </w:r>
      <w:r w:rsidRPr="00781112">
        <w:rPr>
          <w:rFonts w:cs="Arial"/>
          <w:color w:val="000000" w:themeColor="text1"/>
          <w:szCs w:val="16"/>
        </w:rPr>
        <w:br/>
        <w:t>As the SEA for the District of Columbia, OSSE ensures compliance with IDEA for children with disabilities who receive special education and related services from LEAs and other public agencies in the District.</w:t>
      </w:r>
      <w:r w:rsidRPr="00781112">
        <w:rPr>
          <w:rFonts w:cs="Arial"/>
          <w:color w:val="000000" w:themeColor="text1"/>
          <w:szCs w:val="16"/>
        </w:rPr>
        <w:br/>
      </w:r>
      <w:r w:rsidRPr="00781112">
        <w:rPr>
          <w:rFonts w:cs="Arial"/>
          <w:color w:val="000000" w:themeColor="text1"/>
          <w:szCs w:val="16"/>
        </w:rPr>
        <w:br/>
        <w:t>In FFY 2021, the District of Columbia's student population included 14,319 children with disabilities served by 65 LEAs.</w:t>
      </w:r>
      <w:r w:rsidRPr="00781112">
        <w:rPr>
          <w:rFonts w:cs="Arial"/>
          <w:color w:val="000000" w:themeColor="text1"/>
          <w:szCs w:val="16"/>
        </w:rPr>
        <w:br/>
      </w:r>
      <w:r w:rsidRPr="00781112">
        <w:rPr>
          <w:rFonts w:cs="Arial"/>
          <w:color w:val="000000" w:themeColor="text1"/>
          <w:szCs w:val="16"/>
        </w:rPr>
        <w:br/>
        <w:t>OSSE's System of General Supervision</w:t>
      </w:r>
      <w:r w:rsidRPr="00781112">
        <w:rPr>
          <w:rFonts w:cs="Arial"/>
          <w:color w:val="000000" w:themeColor="text1"/>
          <w:szCs w:val="16"/>
        </w:rPr>
        <w:br/>
        <w:t>OSSE’s general supervision system consists of eight general supervisory components identified by the US Department of Education’s Office of Special Education Programs (OSEP):</w:t>
      </w:r>
      <w:r w:rsidRPr="00781112">
        <w:rPr>
          <w:rFonts w:cs="Arial"/>
          <w:color w:val="000000" w:themeColor="text1"/>
          <w:szCs w:val="16"/>
        </w:rPr>
        <w:br/>
        <w:t>1. State Performance Plan (SPP)</w:t>
      </w:r>
      <w:r w:rsidRPr="00781112">
        <w:rPr>
          <w:rFonts w:cs="Arial"/>
          <w:color w:val="000000" w:themeColor="text1"/>
          <w:szCs w:val="16"/>
        </w:rPr>
        <w:br/>
        <w:t>2. Policies, Procedures, and Effective Implementation</w:t>
      </w:r>
      <w:r w:rsidRPr="00781112">
        <w:rPr>
          <w:rFonts w:cs="Arial"/>
          <w:color w:val="000000" w:themeColor="text1"/>
          <w:szCs w:val="16"/>
        </w:rPr>
        <w:br/>
        <w:t>3. Integrated Monitoring Activities</w:t>
      </w:r>
      <w:r w:rsidRPr="00781112">
        <w:rPr>
          <w:rFonts w:cs="Arial"/>
          <w:color w:val="000000" w:themeColor="text1"/>
          <w:szCs w:val="16"/>
        </w:rPr>
        <w:br/>
        <w:t>4. Fiscal Management</w:t>
      </w:r>
      <w:r w:rsidRPr="00781112">
        <w:rPr>
          <w:rFonts w:cs="Arial"/>
          <w:color w:val="000000" w:themeColor="text1"/>
          <w:szCs w:val="16"/>
        </w:rPr>
        <w:br/>
        <w:t>5. Data</w:t>
      </w:r>
      <w:r w:rsidRPr="00781112">
        <w:rPr>
          <w:rFonts w:cs="Arial"/>
          <w:color w:val="000000" w:themeColor="text1"/>
          <w:szCs w:val="16"/>
        </w:rPr>
        <w:br/>
        <w:t>6. Improvement, Correction, Incentives, and Sanctions</w:t>
      </w:r>
      <w:r w:rsidRPr="00781112">
        <w:rPr>
          <w:rFonts w:cs="Arial"/>
          <w:color w:val="000000" w:themeColor="text1"/>
          <w:szCs w:val="16"/>
        </w:rPr>
        <w:br/>
        <w:t>7. Effective Dispute Resolution</w:t>
      </w:r>
      <w:r w:rsidRPr="00781112">
        <w:rPr>
          <w:rFonts w:cs="Arial"/>
          <w:color w:val="000000" w:themeColor="text1"/>
          <w:szCs w:val="16"/>
        </w:rPr>
        <w:br/>
        <w:t>8. Targeted Technical Assistance and Professional Development</w:t>
      </w:r>
      <w:r w:rsidRPr="00781112">
        <w:rPr>
          <w:rFonts w:cs="Arial"/>
          <w:color w:val="000000" w:themeColor="text1"/>
          <w:szCs w:val="16"/>
        </w:rPr>
        <w:br/>
      </w:r>
      <w:r w:rsidRPr="00781112">
        <w:rPr>
          <w:rFonts w:cs="Arial"/>
          <w:color w:val="000000" w:themeColor="text1"/>
          <w:szCs w:val="16"/>
        </w:rPr>
        <w:br/>
        <w:t>The District of Columbia's SPP</w:t>
      </w:r>
      <w:r w:rsidRPr="00781112">
        <w:rPr>
          <w:rFonts w:cs="Arial"/>
          <w:color w:val="000000" w:themeColor="text1"/>
          <w:szCs w:val="16"/>
        </w:rPr>
        <w:br/>
        <w:t>At least every six years, states are required to develop a state performance plan/annual performance report (SPP/APR) that evaluates the state's efforts to implement the requirements and purposes of IDEA and describes how the state will improve its implementation. The District's FFY 2021 SPP establishes rigorous and measurable performance goals for IDEA Part B Indicators identified by USED for FFY20 - FFY25. The District of Columbia's SPP serves to keep the State publicly accountable for improving results for children with disabilities and also acts as a roadmap for DC's continuous efforts to improve educational results and functional outcomes for children with disabilities.</w:t>
      </w:r>
      <w:r w:rsidRPr="00781112">
        <w:rPr>
          <w:rFonts w:cs="Arial"/>
          <w:color w:val="000000" w:themeColor="text1"/>
          <w:szCs w:val="16"/>
        </w:rPr>
        <w:br/>
      </w:r>
      <w:r w:rsidRPr="00781112">
        <w:rPr>
          <w:rFonts w:cs="Arial"/>
          <w:color w:val="000000" w:themeColor="text1"/>
          <w:szCs w:val="16"/>
        </w:rPr>
        <w:br/>
        <w:t>Policies, Procedures, and Effective Implementation</w:t>
      </w:r>
      <w:r w:rsidRPr="00781112">
        <w:rPr>
          <w:rFonts w:cs="Arial"/>
          <w:color w:val="000000" w:themeColor="text1"/>
          <w:szCs w:val="16"/>
        </w:rPr>
        <w:br/>
        <w:t xml:space="preserve">The District of Columbia's special education policies and procedures align with and support the implementation of IDEA, and are enforceable under Title 5 of the District of Columbia’s Municipal Regulations. Regulations governing services provided in the District of Columbia Public Schools and charter schools are found in Subtitle E, Title 5, Chapter 30 (5 DCMR §E-3000-3033). LEA implementation of policies, procedures and programs consistent with </w:t>
      </w:r>
      <w:r w:rsidRPr="00781112">
        <w:rPr>
          <w:rFonts w:cs="Arial"/>
          <w:color w:val="000000" w:themeColor="text1"/>
          <w:szCs w:val="16"/>
        </w:rPr>
        <w:lastRenderedPageBreak/>
        <w:t>IDEA and State policies and procedures is assured annually through the LEA IDEA grant application process.</w:t>
      </w:r>
      <w:r w:rsidRPr="00781112">
        <w:rPr>
          <w:rFonts w:cs="Arial"/>
          <w:color w:val="000000" w:themeColor="text1"/>
          <w:szCs w:val="16"/>
        </w:rPr>
        <w:br/>
      </w:r>
      <w:r w:rsidRPr="00781112">
        <w:rPr>
          <w:rFonts w:cs="Arial"/>
          <w:color w:val="000000" w:themeColor="text1"/>
          <w:szCs w:val="16"/>
        </w:rPr>
        <w:br/>
        <w:t>OSSE has published a range of policy guidance documents on the compliant implementation of requirements described in various State policies. A link to D.C.'s Special Education Policies and Guidance can be found here: https://osse.dc.gov/service/special-education-laws-and-regulations</w:t>
      </w:r>
      <w:r w:rsidRPr="00781112">
        <w:rPr>
          <w:rFonts w:cs="Arial"/>
          <w:color w:val="000000" w:themeColor="text1"/>
          <w:szCs w:val="16"/>
        </w:rPr>
        <w:br/>
      </w:r>
      <w:r w:rsidRPr="00781112">
        <w:rPr>
          <w:rFonts w:cs="Arial"/>
          <w:color w:val="000000" w:themeColor="text1"/>
          <w:szCs w:val="16"/>
        </w:rPr>
        <w:br/>
        <w:t>Integrated Monitoring Activities</w:t>
      </w:r>
      <w:r w:rsidRPr="00781112">
        <w:rPr>
          <w:rFonts w:cs="Arial"/>
          <w:color w:val="000000" w:themeColor="text1"/>
          <w:szCs w:val="16"/>
        </w:rPr>
        <w:br/>
        <w:t>OSSE works collaboratively with LEAs and public agencies to engage in shared accountability practices to maximize success for all children with disabilities. OSSE uses multiple data sources to monitor LEAs and public agencies, including database reviews, on-site compliance monitoring, focused monitoring, review of dispute resolution activities, self-assessments, oversight of nonpublic special education schools, Phase I and Phase II IDEA Part B grant applications, and reviews of audit findings.</w:t>
      </w:r>
      <w:r w:rsidRPr="00781112">
        <w:rPr>
          <w:rFonts w:cs="Arial"/>
          <w:color w:val="000000" w:themeColor="text1"/>
          <w:szCs w:val="16"/>
        </w:rPr>
        <w:br/>
      </w:r>
      <w:r w:rsidRPr="00781112">
        <w:rPr>
          <w:rFonts w:cs="Arial"/>
          <w:color w:val="000000" w:themeColor="text1"/>
          <w:szCs w:val="16"/>
        </w:rPr>
        <w:br/>
        <w:t>OSSE's integrated monitoring system is designed to ensure identification and timely correction of noncompliance in accordance with OSEP Memo 09-02. Findings of non-compliance are issued in writing through the District of Columbia's Corrective Action Tracking System (DC-CATS). The system allows OSSE and LEAs to electronically track each finding of noncompliance, the required corrective action(s), and timelines and documentation of correction.</w:t>
      </w:r>
      <w:r w:rsidRPr="00781112">
        <w:rPr>
          <w:rFonts w:cs="Arial"/>
          <w:color w:val="000000" w:themeColor="text1"/>
          <w:szCs w:val="16"/>
        </w:rPr>
        <w:br/>
      </w:r>
      <w:r w:rsidRPr="00781112">
        <w:rPr>
          <w:rFonts w:cs="Arial"/>
          <w:color w:val="000000" w:themeColor="text1"/>
          <w:szCs w:val="16"/>
        </w:rPr>
        <w:br/>
        <w:t>OSSE's fiscal team also oversees the annual fiscal audit process. In FFY 2021, LEAs that spent $750,000 or more in federal funds were required to receive a Single audit and submit a copy of the management letter to OSSE within 30 days of receipt or nine months after the end of the audit period, whichever date comes first. Additionally, all public charter schools in the District receive an annual audit regardless of the level of expenditures.</w:t>
      </w:r>
      <w:r w:rsidRPr="00781112">
        <w:rPr>
          <w:rFonts w:cs="Arial"/>
          <w:color w:val="000000" w:themeColor="text1"/>
          <w:szCs w:val="16"/>
        </w:rPr>
        <w:br/>
      </w:r>
      <w:r w:rsidRPr="00781112">
        <w:rPr>
          <w:rFonts w:cs="Arial"/>
          <w:color w:val="000000" w:themeColor="text1"/>
          <w:szCs w:val="16"/>
        </w:rPr>
        <w:br/>
        <w:t>Data on Processes and Results</w:t>
      </w:r>
      <w:r w:rsidRPr="00781112">
        <w:rPr>
          <w:rFonts w:cs="Arial"/>
          <w:color w:val="000000" w:themeColor="text1"/>
          <w:szCs w:val="16"/>
        </w:rPr>
        <w:br/>
        <w:t>OSSE's general supervision system is driven by ongoing, systemic data review processes including monitoring, dispute resolution, Section 618 data submissions, reviewing LEA data by indicator, and other regularly scheduled data reviews.</w:t>
      </w:r>
      <w:r w:rsidRPr="00781112">
        <w:rPr>
          <w:rFonts w:cs="Arial"/>
          <w:color w:val="000000" w:themeColor="text1"/>
          <w:szCs w:val="16"/>
        </w:rPr>
        <w:br/>
      </w:r>
      <w:r w:rsidRPr="00781112">
        <w:rPr>
          <w:rFonts w:cs="Arial"/>
          <w:color w:val="000000" w:themeColor="text1"/>
          <w:szCs w:val="16"/>
        </w:rPr>
        <w:br/>
        <w:t>OSSE has several data systems that are key to accomplishing the systemic reviews described above. First, the Statewide Longitudinal Education Data System (SLED) houses student-level enrollment, attendance, graduation, and other data for all children in the District of Columbia. Second, the Special Education Data System (SEDS) houses Individualized Education Programs (IEPs) and Part B special education-related documentation for the District of Columbia.</w:t>
      </w:r>
      <w:r w:rsidRPr="00781112">
        <w:rPr>
          <w:rFonts w:cs="Arial"/>
          <w:color w:val="000000" w:themeColor="text1"/>
          <w:szCs w:val="16"/>
        </w:rPr>
        <w:br/>
      </w:r>
      <w:r w:rsidRPr="00781112">
        <w:rPr>
          <w:rFonts w:cs="Arial"/>
          <w:color w:val="000000" w:themeColor="text1"/>
          <w:szCs w:val="16"/>
        </w:rPr>
        <w:br/>
        <w:t>In December 2021, OSSE entered its fourth year of employing the School Transparency and Reporting (STAR) accountability system and the DC School Report Card to align with the Every Student Succeeds Act (ESSA) requirements. The report card includes each school’s rating on the STAR Framework and breadth of qualitative and quantitative information about each school. The DC School Report Card can be found here: https://dcschoolreportcard.org/.</w:t>
      </w:r>
      <w:r w:rsidRPr="00781112">
        <w:rPr>
          <w:rFonts w:cs="Arial"/>
          <w:color w:val="000000" w:themeColor="text1"/>
          <w:szCs w:val="16"/>
        </w:rPr>
        <w:br/>
      </w:r>
      <w:r w:rsidRPr="00781112">
        <w:rPr>
          <w:rFonts w:cs="Arial"/>
          <w:color w:val="000000" w:themeColor="text1"/>
          <w:szCs w:val="16"/>
        </w:rPr>
        <w:br/>
        <w:t>Annual IDEA LEA Performance Determinations</w:t>
      </w:r>
      <w:r w:rsidRPr="00781112">
        <w:rPr>
          <w:rFonts w:cs="Arial"/>
          <w:color w:val="000000" w:themeColor="text1"/>
          <w:szCs w:val="16"/>
        </w:rPr>
        <w:br/>
        <w:t>The State uses data from multiple sources to produce annual LEA determinations per the Part B regulations at 34 CFR §§300.600 and 300.603. Annual determinations are based upon each LEA's performance, as indicated by information provided in the SPP/APR, information obtained through monitoring visits, and any other public information made available. In making such determinations, OSSE annually assigns LEAs one of the following determination levels:</w:t>
      </w:r>
      <w:r w:rsidRPr="00781112">
        <w:rPr>
          <w:rFonts w:cs="Arial"/>
          <w:color w:val="000000" w:themeColor="text1"/>
          <w:szCs w:val="16"/>
        </w:rPr>
        <w:br/>
        <w:t>1. Meets Requirements</w:t>
      </w:r>
      <w:r w:rsidRPr="00781112">
        <w:rPr>
          <w:rFonts w:cs="Arial"/>
          <w:color w:val="000000" w:themeColor="text1"/>
          <w:szCs w:val="16"/>
        </w:rPr>
        <w:br/>
        <w:t>2. Needs Assistance</w:t>
      </w:r>
      <w:r w:rsidRPr="00781112">
        <w:rPr>
          <w:rFonts w:cs="Arial"/>
          <w:color w:val="000000" w:themeColor="text1"/>
          <w:szCs w:val="16"/>
        </w:rPr>
        <w:br/>
        <w:t>3. Needs Intervention</w:t>
      </w:r>
      <w:r w:rsidRPr="00781112">
        <w:rPr>
          <w:rFonts w:cs="Arial"/>
          <w:color w:val="000000" w:themeColor="text1"/>
          <w:szCs w:val="16"/>
        </w:rPr>
        <w:br/>
        <w:t>4. Needs Substantial Intervention</w:t>
      </w:r>
      <w:r w:rsidRPr="00781112">
        <w:rPr>
          <w:rFonts w:cs="Arial"/>
          <w:color w:val="000000" w:themeColor="text1"/>
          <w:szCs w:val="16"/>
        </w:rPr>
        <w:br/>
      </w:r>
      <w:r w:rsidRPr="00781112">
        <w:rPr>
          <w:rFonts w:cs="Arial"/>
          <w:color w:val="000000" w:themeColor="text1"/>
          <w:szCs w:val="16"/>
        </w:rPr>
        <w:br/>
        <w:t xml:space="preserve">Improvement, Correction, Incentives, and Sanctions </w:t>
      </w:r>
      <w:r w:rsidRPr="00781112">
        <w:rPr>
          <w:rFonts w:cs="Arial"/>
          <w:color w:val="000000" w:themeColor="text1"/>
          <w:szCs w:val="16"/>
        </w:rPr>
        <w:br/>
        <w:t xml:space="preserve">OSSE’s Division of Systems and Supports, K-12, implements a coordinated risk-based monitoring approach across key K-12 grants. In this model, OSSE is deliberate in providing differentiated levels of oversight to LEAs based on a review of financial and programmatic data across indicators. </w:t>
      </w:r>
      <w:r w:rsidRPr="00781112">
        <w:rPr>
          <w:rFonts w:cs="Arial"/>
          <w:color w:val="000000" w:themeColor="text1"/>
          <w:szCs w:val="16"/>
        </w:rPr>
        <w:br/>
      </w:r>
      <w:r w:rsidRPr="00781112">
        <w:rPr>
          <w:rFonts w:cs="Arial"/>
          <w:color w:val="000000" w:themeColor="text1"/>
          <w:szCs w:val="16"/>
        </w:rPr>
        <w:br/>
        <w:t>OSSE also employs a range of corrections and sanctions during the annual LEA determinations process. As required by section 34 CFR sections 300.600(a) and 300.604, OSSE will apply the following enforcement actions to programs based on the program’s Determination Level, which can include but are not limited to:</w:t>
      </w:r>
      <w:r w:rsidRPr="00781112">
        <w:rPr>
          <w:rFonts w:cs="Arial"/>
          <w:color w:val="000000" w:themeColor="text1"/>
          <w:szCs w:val="16"/>
        </w:rPr>
        <w:br/>
        <w:t>• Advising the LEA of available sources of technical assistance and requiring the LEA to work with appropriate entities</w:t>
      </w:r>
      <w:r w:rsidRPr="00781112">
        <w:rPr>
          <w:rFonts w:cs="Arial"/>
          <w:color w:val="000000" w:themeColor="text1"/>
          <w:szCs w:val="16"/>
        </w:rPr>
        <w:br/>
        <w:t>• Directing the use of funds</w:t>
      </w:r>
      <w:r w:rsidRPr="00781112">
        <w:rPr>
          <w:rFonts w:cs="Arial"/>
          <w:color w:val="000000" w:themeColor="text1"/>
          <w:szCs w:val="16"/>
        </w:rPr>
        <w:br/>
        <w:t>• Imposing special conditions</w:t>
      </w:r>
      <w:r w:rsidRPr="00781112">
        <w:rPr>
          <w:rFonts w:cs="Arial"/>
          <w:color w:val="000000" w:themeColor="text1"/>
          <w:szCs w:val="16"/>
        </w:rPr>
        <w:br/>
        <w:t>• Requiring corrective action plans, continuous improvement plans, or compliance agreements</w:t>
      </w:r>
      <w:r w:rsidRPr="00781112">
        <w:rPr>
          <w:rFonts w:cs="Arial"/>
          <w:color w:val="000000" w:themeColor="text1"/>
          <w:szCs w:val="16"/>
        </w:rPr>
        <w:br/>
        <w:t xml:space="preserve">• Recovering funds or withholding further payments </w:t>
      </w:r>
      <w:r w:rsidRPr="00781112">
        <w:rPr>
          <w:rFonts w:cs="Arial"/>
          <w:color w:val="000000" w:themeColor="text1"/>
          <w:szCs w:val="16"/>
        </w:rPr>
        <w:br/>
      </w:r>
      <w:r w:rsidRPr="00781112">
        <w:rPr>
          <w:rFonts w:cs="Arial"/>
          <w:color w:val="000000" w:themeColor="text1"/>
          <w:szCs w:val="16"/>
        </w:rPr>
        <w:br/>
        <w:t>Effective Dispute Resolution</w:t>
      </w:r>
      <w:r w:rsidRPr="00781112">
        <w:rPr>
          <w:rFonts w:cs="Arial"/>
          <w:color w:val="000000" w:themeColor="text1"/>
          <w:szCs w:val="16"/>
        </w:rPr>
        <w:br/>
        <w:t>There are several dispute resolution options available to the community in the District of Columbia, including due process hearings, mediation, and administrative state complaints. OSSE’s Office of Dispute Resolution (ODR) oversees the District of Columbia’s independent hearing office, which manages the state's due process and mediation programs.</w:t>
      </w:r>
      <w:r w:rsidRPr="00781112">
        <w:rPr>
          <w:rFonts w:cs="Arial"/>
          <w:color w:val="000000" w:themeColor="text1"/>
          <w:szCs w:val="16"/>
        </w:rPr>
        <w:br/>
      </w:r>
      <w:r w:rsidRPr="00781112">
        <w:rPr>
          <w:rFonts w:cs="Arial"/>
          <w:color w:val="000000" w:themeColor="text1"/>
          <w:szCs w:val="16"/>
        </w:rPr>
        <w:br/>
        <w:t>In FFY 2021, OSSE continued to administer the state complaint process within the Division of Systems and Support, K-12. OSSE reviews dispute resolution data collected from complaints, hearing officer determinations, letters of decision, and settlement agreements to determine whether there are District-wide or LEA level issues that can be addressed through the OSSE’s monitoring system or technical assistance systems.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OSSE utilizes a range of mechanisms to ensure the timely delivery of high-quality, evidence-based technical assistance and support to LEAs. As noted above, data collected from monitoring activities, dispute resolution, state and federal data submissions, grant applications and assurances, and fiscal audits are used to determine the state, LEA, and school-level needs for technical assistance, which is customized to address particular practice challenges or implementation questions that arise.</w:t>
      </w:r>
      <w:r w:rsidRPr="00781112">
        <w:rPr>
          <w:rFonts w:cs="Arial"/>
          <w:color w:val="000000" w:themeColor="text1"/>
          <w:szCs w:val="16"/>
        </w:rPr>
        <w:br/>
      </w:r>
      <w:r w:rsidRPr="00781112">
        <w:rPr>
          <w:rFonts w:cs="Arial"/>
          <w:color w:val="000000" w:themeColor="text1"/>
          <w:szCs w:val="16"/>
        </w:rPr>
        <w:br/>
        <w:t>Also, OSSE publishes resource documents on regulations, policies, and best practices in special education and provides webinar training modules on all state-level special education policies.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A calendar of training and technical assistance opportunities is maintained on OSSE's website: https://osse.dc.gov/events.</w:t>
      </w:r>
      <w:r w:rsidRPr="00781112">
        <w:rPr>
          <w:rFonts w:cs="Arial"/>
          <w:color w:val="000000" w:themeColor="text1"/>
          <w:szCs w:val="16"/>
        </w:rPr>
        <w:br/>
      </w:r>
      <w:r w:rsidRPr="00781112">
        <w:rPr>
          <w:rFonts w:cs="Arial"/>
          <w:color w:val="000000" w:themeColor="text1"/>
          <w:szCs w:val="16"/>
        </w:rPr>
        <w:br/>
        <w:t>Additionally, to ensure that LEA/public agency staff are proficient in using state data systems, OSSE offers regular training on the various State data systems.</w:t>
      </w:r>
      <w:r w:rsidRPr="00781112">
        <w:rPr>
          <w:rFonts w:cs="Arial"/>
          <w:color w:val="000000" w:themeColor="text1"/>
          <w:szCs w:val="16"/>
        </w:rPr>
        <w:br/>
      </w:r>
      <w:r w:rsidRPr="00781112">
        <w:rPr>
          <w:rFonts w:cs="Arial"/>
          <w:color w:val="000000" w:themeColor="text1"/>
          <w:szCs w:val="16"/>
        </w:rPr>
        <w:br/>
        <w:t>Below is an overview of the technical assistance sources from which the State received assistance related to the results for which the State received a score of zero on Part B Results Driven Accountability Matrix-2021:</w:t>
      </w:r>
      <w:r w:rsidRPr="00781112">
        <w:rPr>
          <w:rFonts w:cs="Arial"/>
          <w:color w:val="000000" w:themeColor="text1"/>
          <w:szCs w:val="16"/>
        </w:rPr>
        <w:br/>
      </w:r>
      <w:r w:rsidRPr="00781112">
        <w:rPr>
          <w:rFonts w:cs="Arial"/>
          <w:color w:val="000000" w:themeColor="text1"/>
          <w:szCs w:val="16"/>
        </w:rPr>
        <w:br/>
        <w:t>4th and 8th grade National Assessment of Educational Progress (NAEP) results (reading/math), Graduation and Dropout</w:t>
      </w:r>
      <w:r w:rsidRPr="00781112">
        <w:rPr>
          <w:rFonts w:cs="Arial"/>
          <w:color w:val="000000" w:themeColor="text1"/>
          <w:szCs w:val="16"/>
        </w:rPr>
        <w:br/>
        <w:t>OSSE continues to take advantage of technical assistance opportunities as members of the NCSI Results-Based Accountability Cross-State Learning Collaborative. OSSE joined the Results-Based Accountability Collaborative to thought-partner ways in which monitoring activities can further support LEAs with improving academic outcomes while they maintain compliance with IDEA regulations. (Check with TAL)</w:t>
      </w:r>
      <w:r w:rsidRPr="00781112">
        <w:rPr>
          <w:rFonts w:cs="Arial"/>
          <w:color w:val="000000" w:themeColor="text1"/>
          <w:szCs w:val="16"/>
        </w:rPr>
        <w:br/>
      </w:r>
      <w:r w:rsidRPr="00781112">
        <w:rPr>
          <w:rFonts w:cs="Arial"/>
          <w:color w:val="000000" w:themeColor="text1"/>
          <w:szCs w:val="16"/>
        </w:rPr>
        <w:br/>
        <w:t>During the 2021-2022 school year, OSSE participated in the virtual Results-Based Accountability (RBA) Cross-State Learning Collaborative (CSLC) monthly series hosted by the NCSI as well as IDC's SPP/APR Summit. OSSE collaborated with other states to learn and develop effective strategies to shift its focus from compliance-driven to results-driven accountability, specifically focusing on the better use of data to support root cause analysis and drive technical assistance. OSSE will continue to receive additional support and resources from technical assistance centers to ensure the improvements in desired outcomes for students with disabilities.</w:t>
      </w:r>
      <w:r w:rsidRPr="00781112">
        <w:rPr>
          <w:rFonts w:cs="Arial"/>
          <w:color w:val="000000" w:themeColor="text1"/>
          <w:szCs w:val="16"/>
        </w:rPr>
        <w:br/>
      </w:r>
      <w:r w:rsidRPr="00781112">
        <w:rPr>
          <w:rFonts w:cs="Arial"/>
          <w:color w:val="000000" w:themeColor="text1"/>
          <w:szCs w:val="16"/>
        </w:rPr>
        <w:br/>
        <w:t xml:space="preserve">In FFY 2021, OSSE released a report intended to help schools in the District of Columbia better serve and improve academic achievement for students with disabilities in the upcoming school year and beyond. The Special Education Performance Report (SEPR) evaluates the performance of special education programs in District public schools and suggests targeted supports to improve teaching practices, ensure understanding of requirements and best practices for addressing key areas of special education programming, and establish transparent and meaningful engagement with parents and caregivers. The SEPR outlines the steps the District is taking to accelerate outcomes for students with disabilities and pinpoints supports OSSE can provide LEAs, such as teacher training on classroom practices, school leader training on requirements and best practices for addressing key areas of special education programming, and LEA supports for transparent and meaningful parent engagement. OSSE will issue LEA-level SEPR reports annually, beginning in Summer 2023. Additional information on the SEPR can be found on OSSE’s website: https://osse.dc.gov/page/osse%E2%80%99s-special-education-performance-report-sepr. </w:t>
      </w:r>
      <w:r w:rsidRPr="00781112">
        <w:rPr>
          <w:rFonts w:cs="Arial"/>
          <w:color w:val="000000" w:themeColor="text1"/>
          <w:szCs w:val="16"/>
        </w:rPr>
        <w:br/>
      </w:r>
      <w:r w:rsidRPr="00781112">
        <w:rPr>
          <w:rFonts w:cs="Arial"/>
          <w:color w:val="000000" w:themeColor="text1"/>
          <w:szCs w:val="16"/>
        </w:rPr>
        <w:br/>
        <w:t>Longstanding Noncompliance</w:t>
      </w:r>
      <w:r w:rsidRPr="00781112">
        <w:rPr>
          <w:rFonts w:cs="Arial"/>
          <w:color w:val="000000" w:themeColor="text1"/>
          <w:szCs w:val="16"/>
        </w:rPr>
        <w:br/>
        <w:t>OSSE continues to work directly with OSEP to address challenges related to closing out longstanding non-compliance in an appropriate manner and meets requirements pursuant to OSEP Memorandum 09-02.</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OSSE’s system of general supervision includes OSSE's Division of Teaching and Learning. The Division of Teaching and Learning oversees the professional development offered to professionals in the District of Columbia and is devoted to increasing knowledge and competence for all staff who provide services to children with disabilities. This team is comprised of subject matter experts in the areas of secondary transition, positive behavioral supports, response to intervention, content-specific instructional best practices, and requirements related to special education law and regulation.</w:t>
      </w:r>
      <w:r w:rsidRPr="00781112">
        <w:rPr>
          <w:rFonts w:cs="Arial"/>
          <w:color w:val="000000" w:themeColor="text1"/>
          <w:szCs w:val="16"/>
        </w:rPr>
        <w:br/>
      </w:r>
      <w:r w:rsidRPr="00781112">
        <w:rPr>
          <w:rFonts w:cs="Arial"/>
          <w:color w:val="000000" w:themeColor="text1"/>
          <w:szCs w:val="16"/>
        </w:rPr>
        <w:br/>
        <w:t>The State also provides multiple professional development opportunities to service providers in the District of Columbia. Professional development is geared toward ensuring that District of Columbia teachers and service providers can implement evidence-based strategies for improving student outcomes. The State provides both introductory-level professional development opportunities and advanced skill-building opportunities to encourage growth regardless of the individual practitioner’s current skill level. OSSE’s technical assistance team also works closely with its assessment team to ensure alignment and coherence between instruction and assessment.</w:t>
      </w:r>
      <w:r w:rsidRPr="00781112">
        <w:rPr>
          <w:rFonts w:cs="Arial"/>
          <w:color w:val="000000" w:themeColor="text1"/>
          <w:szCs w:val="16"/>
        </w:rPr>
        <w:br/>
      </w:r>
      <w:r w:rsidRPr="00781112">
        <w:rPr>
          <w:rFonts w:cs="Arial"/>
          <w:color w:val="000000" w:themeColor="text1"/>
          <w:szCs w:val="16"/>
        </w:rPr>
        <w:br/>
        <w:t>OSSE believes that sustained engagement with materials and concepts is most likely to result in lasting and systemic gains in professional understanding. To this end, OSSE has established multiple communities of practice in which LEAs learn strategies proven effective to help children with disabilities be successful while being educated in the least restrictive environment.</w:t>
      </w:r>
      <w:r w:rsidRPr="00781112">
        <w:rPr>
          <w:rFonts w:cs="Arial"/>
          <w:color w:val="000000" w:themeColor="text1"/>
          <w:szCs w:val="16"/>
        </w:rPr>
        <w:br/>
      </w:r>
      <w:r w:rsidRPr="00781112">
        <w:rPr>
          <w:rFonts w:cs="Arial"/>
          <w:color w:val="000000" w:themeColor="text1"/>
          <w:szCs w:val="16"/>
        </w:rPr>
        <w:br/>
        <w:t>In addition to the provision of ongoing professional development opportunities, OSSE also supports the continued skill-building of service providers in partnership with other child-serving agencies such as the Child and Family Services Administration (CFSA), the Department of Behavioral Health (DBH), and the Department of Youth Rehabilitation Services (DYRS).</w:t>
      </w:r>
      <w:r w:rsidRPr="00781112">
        <w:rPr>
          <w:rFonts w:cs="Arial"/>
          <w:color w:val="000000" w:themeColor="text1"/>
          <w:szCs w:val="16"/>
        </w:rPr>
        <w:br/>
      </w:r>
      <w:r w:rsidRPr="00781112">
        <w:rPr>
          <w:rFonts w:cs="Arial"/>
          <w:color w:val="000000" w:themeColor="text1"/>
          <w:szCs w:val="16"/>
        </w:rPr>
        <w:br/>
        <w:t>Lastly, OSSE works closely with the District of Columbia Public Charter School Board to ensure that charter schools receive timely information and that concerns are addressed in a coordinated manner. Past examples of such efforts are the joint special education training offered each spring to opening charter schools as well as coordinated support to LEAs. OSSE uses data collected from participant surveys, focus groups, and other SEA activities to determine the need for additional areas of training, and to determine whether professional development offerings are effective in building expert knowledge and skill.</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r>
      <w:r w:rsidRPr="00781112">
        <w:rPr>
          <w:rFonts w:cs="Arial"/>
          <w:color w:val="000000" w:themeColor="text1"/>
          <w:szCs w:val="16"/>
        </w:rPr>
        <w:lastRenderedPageBreak/>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OSSE engaged parent member stakeholders by facilitating a parent advocacy-specific feedback session as outlined below:</w:t>
      </w:r>
      <w:r w:rsidRPr="00781112">
        <w:rPr>
          <w:color w:val="000000" w:themeColor="text1"/>
          <w:szCs w:val="16"/>
        </w:rPr>
        <w:br/>
        <w:t>1.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parent advocacy groups. OSSE solicited feedback in the areas of appropriate baselines, targets, data analysis, and strategies and evaluation for improvement.</w:t>
      </w:r>
      <w:r w:rsidRPr="00781112">
        <w:rPr>
          <w:color w:val="000000" w:themeColor="text1"/>
          <w:szCs w:val="16"/>
        </w:rPr>
        <w:br/>
        <w:t>2. OSSE subject matter experts reviewed all stakeholder questions and comments and consulted with State leadership to revise baselines and targets as appropriate.</w:t>
      </w:r>
      <w:r w:rsidRPr="00781112">
        <w:rPr>
          <w:color w:val="000000" w:themeColor="text1"/>
          <w:szCs w:val="16"/>
        </w:rPr>
        <w:br/>
        <w:t>3. External Stakeholder Feedback Round 2: OSSE created a draft SPP/APR Resource Guide with proposed baselines and targets. The Resource Guide was distributed to its SAPSE, local parent advocacy groups with requests for feedback.</w:t>
      </w:r>
      <w:r w:rsidRPr="00781112">
        <w:rPr>
          <w:color w:val="000000" w:themeColor="text1"/>
          <w:szCs w:val="16"/>
        </w:rPr>
        <w:br/>
        <w:t>4. OSSE subject matter experts reviewed all additional stakeholder questions and comments and consulted with State leadership to finalize baselines and targets as appropriate.</w:t>
      </w:r>
      <w:r w:rsidRPr="00781112">
        <w:rPr>
          <w:color w:val="000000" w:themeColor="text1"/>
          <w:szCs w:val="16"/>
        </w:rPr>
        <w:br/>
        <w:t xml:space="preserve">5.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 </w:t>
      </w:r>
      <w:r w:rsidRPr="00781112">
        <w:rPr>
          <w:color w:val="000000" w:themeColor="text1"/>
          <w:szCs w:val="16"/>
        </w:rPr>
        <w:br/>
      </w:r>
      <w:r w:rsidRPr="00781112">
        <w:rPr>
          <w:color w:val="000000" w:themeColor="text1"/>
          <w:szCs w:val="16"/>
        </w:rPr>
        <w:br/>
        <w:t xml:space="preserve">OSSE facilitated stakeholder sessions with the following parent organizations and advocacy groups: </w:t>
      </w:r>
      <w:r w:rsidRPr="00781112">
        <w:rPr>
          <w:color w:val="000000" w:themeColor="text1"/>
          <w:szCs w:val="16"/>
        </w:rPr>
        <w:br/>
        <w:t>District's State Advisory Panel on Special Education (SAPSE)</w:t>
      </w:r>
      <w:r w:rsidRPr="00781112">
        <w:rPr>
          <w:color w:val="000000" w:themeColor="text1"/>
          <w:szCs w:val="16"/>
        </w:rPr>
        <w:br/>
        <w:t>Parent Training and Information Center (PTI)</w:t>
      </w:r>
      <w:r w:rsidRPr="00781112">
        <w:rPr>
          <w:color w:val="000000" w:themeColor="text1"/>
          <w:szCs w:val="16"/>
        </w:rPr>
        <w:br/>
        <w:t>Parents Amplifying Voices in Education (PAVE)</w:t>
      </w:r>
      <w:r w:rsidRPr="00781112">
        <w:rPr>
          <w:color w:val="000000" w:themeColor="text1"/>
          <w:szCs w:val="16"/>
        </w:rPr>
        <w:br/>
        <w:t>Special Education Advisory Council (SEAC)</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OSSE facilitated multiple activities for parents to support the development of implementation activities designed to improve outcomes for children with disabilities. OSSE sought feedback from parents via virtual presentations that included an "office hours" session providing an open question-and-answer forum. Participants were also encouraged to provide feedback using a written form that could be completed and submitted via email to OSSE. In addition, OSSE provided a draft of its SPP/APR Resource Guide to all stakeholders with a corresponding online feedback form. Information in both modalities was made accessible and included simplified information and data modeling visuals. OSSE will continue to take lessons learned from the feedback process to increase engagement moving forward and build participation and capacity.</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OSSE sought public input targeting advocacy organizations, parent community groups, and LEAs. These activities took place beginning in the spring of 2021 and concluded in the fall of 2021.</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OSSE made its SPP/APR Resource Guide publicly available by publishing this resource on its website prior to submission to the U.S. Department of Education.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 xml:space="preserve">How and where the State reported to the public on the FFY 2020 performance of each LEA located in the State on the targets in the SPP/APR as soon as practicable, but no later than 120 days following the State’s submission of its FFY 2020 APR, as required by 34 CFR </w:t>
      </w:r>
      <w:r w:rsidRPr="00781112">
        <w:rPr>
          <w:b/>
          <w:color w:val="000000" w:themeColor="text1"/>
        </w:rPr>
        <w:lastRenderedPageBreak/>
        <w:t>§300.602(b)(1)(i)(A);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As required by 34 CFR Section 300.602(b)(1)(i)(A), OSSE reports to the public annually on each LEA's performance on the State's SPP/APR targets. To ensure compliance with Section 300.602(b)(1)(i)(A), OSSE posts the annual public reporting document to its website no later than 120 days following submission of the APR.</w:t>
      </w:r>
      <w:r w:rsidRPr="00781112">
        <w:rPr>
          <w:rFonts w:cs="Arial"/>
          <w:color w:val="000000" w:themeColor="text1"/>
          <w:szCs w:val="16"/>
        </w:rPr>
        <w:br/>
      </w:r>
      <w:r w:rsidRPr="00781112">
        <w:rPr>
          <w:rFonts w:cs="Arial"/>
          <w:color w:val="000000" w:themeColor="text1"/>
          <w:szCs w:val="16"/>
        </w:rPr>
        <w:br/>
        <w:t>The District of Columbia's public reporting documents are posted to OSSE's website and can be found here: https://osse.dc.gov/sites/default/files/dc/sites/osse/service_content/attachments/FFY%202020%20APR%20Public%20Reporting.pdf</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DC's IDEA Part B determination for both 2021 and 2022 is Needs Assistance. In DC's 2022 determination letter, the Department advised DC of available sources of technical assistance, including OSEP-funded technical assistance centers, and required DC to work with appropriate entities. The Department directed DC to determine the results elements and/or compliance indicators, and improvement strategies, on which it will focus its use of available technical assistance, in order to improve its performance. DC must report, with its FFY 2021 SPP/APR submission, due February 1, 2023, on: (1) the technical assistance sources from which DC received assistance; and (2) the actions DC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During the 2021-2022 school year, OSSE participated in the virtual Results-Based Accountability (RBA) Cross-State Learning Collaborative (CSLC) monthly series hosted by the NCSI as well as IDC's SPP/APR Summit.  OSSE collaborated with other states to learn and develop effective strategies to shift its focus from compliance-driven to results-driven accountability, specifically focusing on the better use of data to support root cause analysis and drive technical assistance. OSSE will continue to receive additional support and resources from technical assistance centers to ensure the improvements in desired outcomes for students with disabilities.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OSEP has imposed Specific Conditions on the District of Columbia's (DC) IDEA Part B grant award each year from FFY 2009 through FFY 2022, and those Specific Conditions are in effect at the time of the determination. Under the FFY 2022 Specific Conditions, DC was required to submit data demonstrating compliance with the IDEA Part B requirements related to timely reevaluations and secondary transition.  OSEP will respond separately to DC's submissions in its FFY 2023 IDEA Part B grant award letter to DC.</w:t>
      </w:r>
      <w:r w:rsidRPr="00781112">
        <w:rPr>
          <w:rFonts w:cs="Arial"/>
          <w:color w:val="000000" w:themeColor="text1"/>
          <w:szCs w:val="16"/>
        </w:rPr>
        <w:br/>
      </w:r>
      <w:r w:rsidRPr="00781112">
        <w:rPr>
          <w:rFonts w:cs="Arial"/>
          <w:color w:val="000000" w:themeColor="text1"/>
          <w:szCs w:val="16"/>
        </w:rPr>
        <w:br/>
        <w:t>DC's determinations for both 2021 and 2022 were Needs Assistance. Pursuant to section 616(e)(1) of the IDEA and 34 C.F.R. § 300.604(a), OSEP's June 24, 2022 determination letter informed DC that it must report with its FFY 2021 SPP/APR submission, due February 1, 2023, on: (1) the technical assistance sources from which DC received assistance; and (2) the actions DC took as a result of that technical assistance. DC provided the required information.</w:t>
      </w:r>
      <w:r w:rsidRPr="00781112">
        <w:rPr>
          <w:rFonts w:cs="Arial"/>
          <w:color w:val="000000" w:themeColor="text1"/>
          <w:szCs w:val="16"/>
        </w:rPr>
        <w:br/>
      </w:r>
      <w:r w:rsidRPr="00781112">
        <w:rPr>
          <w:rFonts w:cs="Arial"/>
          <w:color w:val="000000" w:themeColor="text1"/>
          <w:szCs w:val="16"/>
        </w:rPr>
        <w:br/>
        <w:t>OSEP issued a monitoring report to DC on January 25, 2021. OSEP is reviewing documents DC has already submitted and will review any additional documents DC wishes to submit that address the outstanding findings. Longstanding noncompliance (from unresolved findings issued by OSEP during and prior to FFY 2020) may be a factor in the Department’s 2024 determinations.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DC's IDEA Part B determination for both 2022 and 2023 is Needs Assistance. In DC's 2023 determination letter, the Department advised DC of available sources of technical assistance, including OSEP-funded technical assistance centers, and required DC to work with appropriate entities. The Department directed DC to determine the results elements and/or compliance indicators, and improvement strategies, on which it will focus its use of available technical assistance, in order to improve its performance. DC must report, with its FFY 2022 SPP/APR submission, due February 1, 2024, on: (1) the technical assistance sources from which DC received assistance; and (2) the actions DC took as a result of that technical assistance.</w:t>
      </w:r>
      <w:r w:rsidRPr="00781112">
        <w:rPr>
          <w:rFonts w:cs="Arial"/>
          <w:color w:val="000000" w:themeColor="text1"/>
          <w:szCs w:val="16"/>
        </w:rPr>
        <w:br/>
      </w:r>
      <w:r w:rsidRPr="00781112">
        <w:rPr>
          <w:rFonts w:cs="Arial"/>
          <w:color w:val="000000" w:themeColor="text1"/>
          <w:szCs w:val="16"/>
        </w:rPr>
        <w:br/>
        <w:t>OSEP has imposed Specific Conditions on DC's IDEA Part B grant award each year from FFY 2009 through FFY 2022 and those Specific Conditions are in effect at the time of the Department’s 2023 determination. Under the FFY 2022 Specific Conditions, DC was required to submit data demonstrating compliance with the IDEA Part B requirements related to timely reevaluations and secondary transition.  OSEP will respond separately to DC's Specific Conditions submissions in its FFY 2023 IDEA Part B grant award letter to DC.</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76CB7D0A" w:rsidR="005E59DB" w:rsidRPr="00781112" w:rsidRDefault="005E59DB" w:rsidP="00B65C2C">
      <w:pPr>
        <w:rPr>
          <w:b/>
          <w:color w:val="000000" w:themeColor="text1"/>
        </w:rPr>
      </w:pPr>
      <w:r w:rsidRPr="00781112">
        <w:rPr>
          <w:b/>
          <w:color w:val="000000" w:themeColor="text1"/>
        </w:rPr>
        <w:t>Historical Data</w:t>
      </w:r>
      <w:r w:rsidR="005D69E8">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61.60%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54.80%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52.70%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52.00%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49.51%</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53.12%</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46.89%</w:t>
            </w:r>
          </w:p>
        </w:tc>
        <w:tc>
          <w:tcPr>
            <w:tcW w:w="833" w:type="pct"/>
            <w:tcBorders>
              <w:bottom w:val="single" w:sz="4" w:space="0" w:color="auto"/>
            </w:tcBorders>
            <w:shd w:val="clear" w:color="auto" w:fill="auto"/>
            <w:vAlign w:val="center"/>
          </w:tcPr>
          <w:p w14:paraId="180CBFE9" w14:textId="35C2B5AA" w:rsidR="007F24E2" w:rsidRPr="00781112" w:rsidRDefault="002B7490" w:rsidP="00E0321D">
            <w:pPr>
              <w:jc w:val="center"/>
              <w:rPr>
                <w:rFonts w:cs="Arial"/>
                <w:color w:val="000000" w:themeColor="text1"/>
                <w:szCs w:val="16"/>
              </w:rPr>
            </w:pPr>
            <w:r w:rsidRPr="00781112">
              <w:rPr>
                <w:rFonts w:cs="Arial"/>
                <w:color w:val="000000" w:themeColor="text1"/>
                <w:szCs w:val="16"/>
              </w:rPr>
              <w:t>51%</w:t>
            </w:r>
            <w:r w:rsidR="00624E80">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61.60%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54.00%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56.00%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58.00%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60.00%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63.00%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 xml:space="preserve">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w:t>
      </w:r>
      <w:r w:rsidRPr="00781112">
        <w:rPr>
          <w:rFonts w:cs="Arial"/>
          <w:color w:val="000000" w:themeColor="text1"/>
          <w:szCs w:val="16"/>
        </w:rPr>
        <w:lastRenderedPageBreak/>
        <w:t>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570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37</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178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570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785</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72.61%</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minimum conditions youth, including youth with IEPs, must meet to graduate with a regular diploma during the relevant time period, are specified in Title 5-A of the District of Columbia Municipal Regulations. The current relevant regulatory sections are as follows:</w:t>
      </w:r>
      <w:r w:rsidRPr="00781112">
        <w:rPr>
          <w:rFonts w:cs="Arial"/>
          <w:color w:val="000000" w:themeColor="text1"/>
          <w:szCs w:val="16"/>
        </w:rPr>
        <w:br/>
      </w:r>
      <w:r w:rsidRPr="00781112">
        <w:rPr>
          <w:rFonts w:cs="Arial"/>
          <w:color w:val="000000" w:themeColor="text1"/>
          <w:szCs w:val="16"/>
        </w:rPr>
        <w:br/>
        <w:t>TITLE 5-A, OFFICE OF THE STATE SUPERINTENDENT OF EDUCATION</w:t>
      </w:r>
      <w:r w:rsidRPr="00781112">
        <w:rPr>
          <w:rFonts w:cs="Arial"/>
          <w:color w:val="000000" w:themeColor="text1"/>
          <w:szCs w:val="16"/>
        </w:rPr>
        <w:br/>
        <w:t>CHAPTER 22, GRADUATION</w:t>
      </w:r>
      <w:r w:rsidRPr="00781112">
        <w:rPr>
          <w:rFonts w:cs="Arial"/>
          <w:color w:val="000000" w:themeColor="text1"/>
          <w:szCs w:val="16"/>
        </w:rPr>
        <w:br/>
        <w:t>2203 ACADEMIC REQUIREMENTS</w:t>
      </w:r>
      <w:r w:rsidRPr="00781112">
        <w:rPr>
          <w:rFonts w:cs="Arial"/>
          <w:color w:val="000000" w:themeColor="text1"/>
          <w:szCs w:val="16"/>
        </w:rPr>
        <w:br/>
      </w:r>
      <w:r w:rsidRPr="00781112">
        <w:rPr>
          <w:rFonts w:cs="Arial"/>
          <w:color w:val="000000" w:themeColor="text1"/>
          <w:szCs w:val="16"/>
        </w:rPr>
        <w:br/>
        <w:t>2203.1 The course work set forth in Subsections 2203.3 shall be required of students who enrolled in ninth (9th) grade in the school year 2007-2008 and thereafter in order to be certified as eligible to receive a high school diploma.</w:t>
      </w:r>
      <w:r w:rsidRPr="00781112">
        <w:rPr>
          <w:rFonts w:cs="Arial"/>
          <w:color w:val="000000" w:themeColor="text1"/>
          <w:szCs w:val="16"/>
        </w:rPr>
        <w:br/>
      </w:r>
      <w:r w:rsidRPr="00781112">
        <w:rPr>
          <w:rFonts w:cs="Arial"/>
          <w:color w:val="000000" w:themeColor="text1"/>
          <w:szCs w:val="16"/>
        </w:rPr>
        <w:br/>
        <w:t>2203.2 At the beginning of the ninth (9th) grade, students shall develop a graduation plan pacing the courses they will take to complete high school. This shall be done with the assistance of the school counselor or other school official designated by the local education agency (LEA).</w:t>
      </w:r>
      <w:r w:rsidRPr="00781112">
        <w:rPr>
          <w:rFonts w:cs="Arial"/>
          <w:color w:val="000000" w:themeColor="text1"/>
          <w:szCs w:val="16"/>
        </w:rPr>
        <w:br/>
      </w:r>
      <w:r w:rsidRPr="00781112">
        <w:rPr>
          <w:rFonts w:cs="Arial"/>
          <w:color w:val="000000" w:themeColor="text1"/>
          <w:szCs w:val="16"/>
        </w:rPr>
        <w:br/>
        <w:t>2203.3 (a) A total of twenty-four (24) Carnegie Units in corresponding subjects and required volunteer community service hours shall have been satisfactorily completed for graduation.</w:t>
      </w:r>
      <w:r w:rsidRPr="00781112">
        <w:rPr>
          <w:rFonts w:cs="Arial"/>
          <w:color w:val="000000" w:themeColor="text1"/>
          <w:szCs w:val="16"/>
        </w:rPr>
        <w:br/>
      </w:r>
      <w:r w:rsidRPr="00781112">
        <w:rPr>
          <w:rFonts w:cs="Arial"/>
          <w:color w:val="000000" w:themeColor="text1"/>
          <w:szCs w:val="16"/>
        </w:rPr>
        <w:br/>
        <w:t>(b) The following Carnegie Units in the following subjects shall be required:</w:t>
      </w:r>
      <w:r w:rsidRPr="00781112">
        <w:rPr>
          <w:rFonts w:cs="Arial"/>
          <w:color w:val="000000" w:themeColor="text1"/>
          <w:szCs w:val="16"/>
        </w:rPr>
        <w:br/>
        <w:t>COURSES UNIT(S)</w:t>
      </w:r>
      <w:r w:rsidRPr="00781112">
        <w:rPr>
          <w:rFonts w:cs="Arial"/>
          <w:color w:val="000000" w:themeColor="text1"/>
          <w:szCs w:val="16"/>
        </w:rPr>
        <w:br/>
        <w:t>English 4.0</w:t>
      </w:r>
      <w:r w:rsidRPr="00781112">
        <w:rPr>
          <w:rFonts w:cs="Arial"/>
          <w:color w:val="000000" w:themeColor="text1"/>
          <w:szCs w:val="16"/>
        </w:rPr>
        <w:br/>
        <w:t>Mathematics; must include Algebra 1, Geometry, and Algebra II at a minimum 4.0</w:t>
      </w:r>
      <w:r w:rsidRPr="00781112">
        <w:rPr>
          <w:rFonts w:cs="Arial"/>
          <w:color w:val="000000" w:themeColor="text1"/>
          <w:szCs w:val="16"/>
        </w:rPr>
        <w:br/>
        <w:t>Science; must include three (3) lab sciences 4.0</w:t>
      </w:r>
      <w:r w:rsidRPr="00781112">
        <w:rPr>
          <w:rFonts w:cs="Arial"/>
          <w:color w:val="000000" w:themeColor="text1"/>
          <w:szCs w:val="16"/>
        </w:rPr>
        <w:br/>
        <w:t xml:space="preserve">Social Studies; must include World History 1 and 2, United States History; United States Government, and District of Columbia History 4.0 </w:t>
      </w:r>
      <w:r w:rsidRPr="00781112">
        <w:rPr>
          <w:rFonts w:cs="Arial"/>
          <w:color w:val="000000" w:themeColor="text1"/>
          <w:szCs w:val="16"/>
        </w:rPr>
        <w:br/>
        <w:t xml:space="preserve">World Language 2.0 </w:t>
      </w:r>
      <w:r w:rsidRPr="00781112">
        <w:rPr>
          <w:rFonts w:cs="Arial"/>
          <w:color w:val="000000" w:themeColor="text1"/>
          <w:szCs w:val="16"/>
        </w:rPr>
        <w:br/>
        <w:t>Art 0.5</w:t>
      </w:r>
      <w:r w:rsidRPr="00781112">
        <w:rPr>
          <w:rFonts w:cs="Arial"/>
          <w:color w:val="000000" w:themeColor="text1"/>
          <w:szCs w:val="16"/>
        </w:rPr>
        <w:br/>
        <w:t>Music 0.5</w:t>
      </w:r>
      <w:r w:rsidRPr="00781112">
        <w:rPr>
          <w:rFonts w:cs="Arial"/>
          <w:color w:val="000000" w:themeColor="text1"/>
          <w:szCs w:val="16"/>
        </w:rPr>
        <w:br/>
        <w:t>Physical Education/Health 1.5</w:t>
      </w:r>
      <w:r w:rsidRPr="00781112">
        <w:rPr>
          <w:rFonts w:cs="Arial"/>
          <w:color w:val="000000" w:themeColor="text1"/>
          <w:szCs w:val="16"/>
        </w:rPr>
        <w:br/>
      </w:r>
      <w:r w:rsidRPr="00781112">
        <w:rPr>
          <w:rFonts w:cs="Arial"/>
          <w:color w:val="000000" w:themeColor="text1"/>
          <w:szCs w:val="16"/>
        </w:rPr>
        <w:lastRenderedPageBreak/>
        <w:t>Electives 3.5</w:t>
      </w:r>
      <w:r w:rsidRPr="00781112">
        <w:rPr>
          <w:rFonts w:cs="Arial"/>
          <w:color w:val="000000" w:themeColor="text1"/>
          <w:szCs w:val="16"/>
        </w:rPr>
        <w:br/>
        <w:t xml:space="preserve">TOTAL 24.0 </w:t>
      </w:r>
      <w:r w:rsidRPr="00781112">
        <w:rPr>
          <w:rFonts w:cs="Arial"/>
          <w:color w:val="000000" w:themeColor="text1"/>
          <w:szCs w:val="16"/>
        </w:rPr>
        <w:br/>
      </w:r>
      <w:r w:rsidRPr="00781112">
        <w:rPr>
          <w:rFonts w:cs="Arial"/>
          <w:color w:val="000000" w:themeColor="text1"/>
          <w:szCs w:val="16"/>
        </w:rPr>
        <w:br/>
        <w:t>(c) At least two (2) of the twenty four (24) Carnegie Units for graduation must include a College Level or Career Preparatory (CLCP) course approved by the LEA and successfully completed by the student. The course may fulfill subject matter or elective unit requirements as deemed appropriate by the LEA. CLCP courses approved by the LEA may include courses at other institutions.</w:t>
      </w:r>
      <w:r w:rsidRPr="00781112">
        <w:rPr>
          <w:rFonts w:cs="Arial"/>
          <w:color w:val="000000" w:themeColor="text1"/>
          <w:szCs w:val="16"/>
        </w:rPr>
        <w:br/>
      </w:r>
      <w:r w:rsidRPr="00781112">
        <w:rPr>
          <w:rFonts w:cs="Arial"/>
          <w:color w:val="000000" w:themeColor="text1"/>
          <w:szCs w:val="16"/>
        </w:rPr>
        <w:br/>
        <w:t>(d) All students must enroll in Algebra I no later than tenth (10th) grade commencing with the 2016-2017 school year, unless the school is approved for a waiver pursuant to Subsection 2203.7.</w:t>
      </w:r>
      <w:r w:rsidRPr="00781112">
        <w:rPr>
          <w:rFonts w:cs="Arial"/>
          <w:color w:val="000000" w:themeColor="text1"/>
          <w:szCs w:val="16"/>
        </w:rPr>
        <w:br/>
      </w:r>
      <w:r w:rsidRPr="00781112">
        <w:rPr>
          <w:rFonts w:cs="Arial"/>
          <w:color w:val="000000" w:themeColor="text1"/>
          <w:szCs w:val="16"/>
        </w:rPr>
        <w:br/>
        <w:t>(e) For all students entering the ninth (9th) grade beginning school year 2009-2010, one (1) of the three (3) lab science units, required by paragraph (a) of this subsection, shall be a course in Biology.</w:t>
      </w:r>
      <w:r w:rsidRPr="00781112">
        <w:rPr>
          <w:rFonts w:cs="Arial"/>
          <w:color w:val="000000" w:themeColor="text1"/>
          <w:szCs w:val="16"/>
        </w:rPr>
        <w:br/>
      </w:r>
      <w:r w:rsidRPr="00781112">
        <w:rPr>
          <w:rFonts w:cs="Arial"/>
          <w:color w:val="000000" w:themeColor="text1"/>
          <w:szCs w:val="16"/>
        </w:rPr>
        <w:br/>
        <w:t>(f) In addition to the twenty-four (24) Carnegie Units, one hundred (100) hours of volunteer community service shall be satisfactorily completed. The specific volunteer community service projects shall be established by the LEA.</w:t>
      </w:r>
      <w:r w:rsidRPr="00781112">
        <w:rPr>
          <w:rFonts w:cs="Arial"/>
          <w:color w:val="000000" w:themeColor="text1"/>
          <w:szCs w:val="16"/>
        </w:rPr>
        <w:br/>
      </w:r>
      <w:r w:rsidRPr="00781112">
        <w:rPr>
          <w:rFonts w:cs="Arial"/>
          <w:color w:val="000000" w:themeColor="text1"/>
          <w:szCs w:val="16"/>
        </w:rPr>
        <w:br/>
        <w:t>(g) One and one half (1.5) Carnegie Units in health and physical education shall not be required for the evening program high school diploma.</w:t>
      </w:r>
      <w:r w:rsidRPr="00781112">
        <w:rPr>
          <w:rFonts w:cs="Arial"/>
          <w:color w:val="000000" w:themeColor="text1"/>
          <w:szCs w:val="16"/>
        </w:rPr>
        <w:br/>
      </w:r>
      <w:r w:rsidRPr="00781112">
        <w:rPr>
          <w:rFonts w:cs="Arial"/>
          <w:color w:val="000000" w:themeColor="text1"/>
          <w:szCs w:val="16"/>
        </w:rPr>
        <w:br/>
        <w:t>2203.4 An LEA may establish specialized or career-focused programs or courses of study, which lead to the high school diploma in accordance with Subsection 2203.3. These courses of study can include academic, performing arts, science, and mathematics, and career or vocational education focuses or other areas of concentration. The programs or courses of study may require additional coursework.</w:t>
      </w:r>
      <w:r w:rsidRPr="00781112">
        <w:rPr>
          <w:rFonts w:cs="Arial"/>
          <w:color w:val="000000" w:themeColor="text1"/>
          <w:szCs w:val="16"/>
        </w:rPr>
        <w:br/>
      </w:r>
      <w:r w:rsidRPr="00781112">
        <w:rPr>
          <w:rFonts w:cs="Arial"/>
          <w:color w:val="000000" w:themeColor="text1"/>
          <w:szCs w:val="16"/>
        </w:rPr>
        <w:br/>
        <w:t>2203.5 Electives taken to fulfill the requirements of Subsection 2203.4 shall be required to be taken in courses established by the LEA for each area of concentration in order to receive certification in the area of concentration.</w:t>
      </w:r>
      <w:r w:rsidRPr="00781112">
        <w:rPr>
          <w:rFonts w:cs="Arial"/>
          <w:color w:val="000000" w:themeColor="text1"/>
          <w:szCs w:val="16"/>
        </w:rPr>
        <w:br/>
      </w:r>
      <w:r w:rsidRPr="00781112">
        <w:rPr>
          <w:rFonts w:cs="Arial"/>
          <w:color w:val="000000" w:themeColor="text1"/>
          <w:szCs w:val="16"/>
        </w:rPr>
        <w:br/>
        <w:t>2203.6 Each student who completes the requirements for specialized or career-focused courses of study established under Subsection 2203.4 shall receive appropriate recognition on the student's diploma.</w:t>
      </w:r>
      <w:r w:rsidRPr="00781112">
        <w:rPr>
          <w:rFonts w:cs="Arial"/>
          <w:color w:val="000000" w:themeColor="text1"/>
          <w:szCs w:val="16"/>
        </w:rPr>
        <w:br/>
      </w:r>
      <w:r w:rsidRPr="00781112">
        <w:rPr>
          <w:rFonts w:cs="Arial"/>
          <w:color w:val="000000" w:themeColor="text1"/>
          <w:szCs w:val="16"/>
        </w:rPr>
        <w:br/>
        <w:t>2203.7 Beginning with School Year 2016-2017:</w:t>
      </w:r>
      <w:r w:rsidRPr="00781112">
        <w:rPr>
          <w:rFonts w:cs="Arial"/>
          <w:color w:val="000000" w:themeColor="text1"/>
          <w:szCs w:val="16"/>
        </w:rPr>
        <w:br/>
        <w:t>(a) The District of Columbia Public Schools (“DCPS”) or the Public Charter School Board (“PCSB”) may waive the Carnegie Unit requirement set forth in Subsection 2203.3 for a school seeking to award competency-based unit(s), as defined in this chapter, accordingly:</w:t>
      </w:r>
      <w:r w:rsidRPr="00781112">
        <w:rPr>
          <w:rFonts w:cs="Arial"/>
          <w:color w:val="000000" w:themeColor="text1"/>
          <w:szCs w:val="16"/>
        </w:rPr>
        <w:br/>
        <w:t>(1) A school that seeks a waiver from the Carnegie Unit requirement to award competency-based unit(s) shall submit an application to either the DCPS or PCSB. If a charter school is part of an LEA, the application must be submitted to the PCSB through the LEA;</w:t>
      </w:r>
      <w:r w:rsidRPr="00781112">
        <w:rPr>
          <w:rFonts w:cs="Arial"/>
          <w:color w:val="000000" w:themeColor="text1"/>
          <w:szCs w:val="16"/>
        </w:rPr>
        <w:br/>
        <w:t>(2) Applications for a waiver to award competency-based unit(s) shall be in the format established by the Office of the State Superintendent of Education (“OSSE”) and contain the information required by OSSE; and</w:t>
      </w:r>
      <w:r w:rsidRPr="00781112">
        <w:rPr>
          <w:rFonts w:cs="Arial"/>
          <w:color w:val="000000" w:themeColor="text1"/>
          <w:szCs w:val="16"/>
        </w:rPr>
        <w:br/>
        <w:t>(3) The DCPS or PCSB, respectively, shall review the school’s application in accordance with the standards and requirements established by OSSE. If the school’s application meets the standards and requirements established by OSSE, the DCPS or PCSB, respectively shall approve the school’s application for a waiver to award competency-based unit(s);</w:t>
      </w:r>
      <w:r w:rsidRPr="00781112">
        <w:rPr>
          <w:rFonts w:cs="Arial"/>
          <w:color w:val="000000" w:themeColor="text1"/>
          <w:szCs w:val="16"/>
        </w:rPr>
        <w:br/>
      </w:r>
      <w:r w:rsidRPr="00781112">
        <w:rPr>
          <w:rFonts w:cs="Arial"/>
          <w:color w:val="000000" w:themeColor="text1"/>
          <w:szCs w:val="16"/>
        </w:rPr>
        <w:br/>
        <w:t>(b) [RESERVED]</w:t>
      </w:r>
      <w:r w:rsidRPr="00781112">
        <w:rPr>
          <w:rFonts w:cs="Arial"/>
          <w:color w:val="000000" w:themeColor="text1"/>
          <w:szCs w:val="16"/>
        </w:rPr>
        <w:br/>
      </w:r>
      <w:r w:rsidRPr="00781112">
        <w:rPr>
          <w:rFonts w:cs="Arial"/>
          <w:color w:val="000000" w:themeColor="text1"/>
          <w:szCs w:val="16"/>
        </w:rPr>
        <w:br/>
        <w:t>(c) OSSE shall make publicly available aggregated evidence of annual implementation of Subsections 2203.7(a) in a summative report no later than three years after initial implementation, and annually thereafter, to share best practices and lessons learned from implementation.</w:t>
      </w:r>
      <w:r w:rsidRPr="00781112">
        <w:rPr>
          <w:rFonts w:cs="Arial"/>
          <w:color w:val="000000" w:themeColor="text1"/>
          <w:szCs w:val="16"/>
        </w:rPr>
        <w:br/>
      </w:r>
      <w:r w:rsidRPr="00781112">
        <w:rPr>
          <w:rFonts w:cs="Arial"/>
          <w:color w:val="000000" w:themeColor="text1"/>
          <w:szCs w:val="16"/>
        </w:rPr>
        <w:br/>
        <w:t>All other requirements are administrative in nature, e.g. a requirement to enroll and regularly attend for a minimum of eight (8) consecutive months prior to graduation unless certain transfer requirements are met.</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E41D963" w:rsidR="00907A35" w:rsidRPr="00781112" w:rsidRDefault="00907A35" w:rsidP="004369B2">
      <w:pPr>
        <w:rPr>
          <w:b/>
          <w:color w:val="000000" w:themeColor="text1"/>
        </w:rPr>
      </w:pPr>
      <w:r w:rsidRPr="00781112">
        <w:rPr>
          <w:b/>
          <w:color w:val="000000" w:themeColor="text1"/>
        </w:rPr>
        <w:t>Historical Data</w:t>
      </w:r>
      <w:r w:rsidR="005D69E8">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32.63%</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5.10%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4.80%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4.60%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42.00%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19.84%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19.96%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18.45%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15.59%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32.63%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40.00%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38.00%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36.00%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34.00%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32.00%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 xml:space="preserve">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w:t>
      </w:r>
      <w:r w:rsidRPr="00781112">
        <w:rPr>
          <w:rFonts w:cs="Arial"/>
          <w:color w:val="000000" w:themeColor="text1"/>
          <w:szCs w:val="16"/>
        </w:rPr>
        <w:lastRenderedPageBreak/>
        <w:t>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570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37</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178</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178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785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32.63%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22.68%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Consistent with EDFacts specifications for file FS009, students who have dropped out were enrolled at the start of the reporting period but were not enrolled at the end of the reporting period and did not exit special education through any of the other means. This includes dropouts, runaways, GED and IEP certificate recipients who did not have another valid exit reason, expulsions, status unknown, students who moved but are not known to be continuing in another educational program, and other exiters from special education.</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96.70%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91.40%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84.80%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96.20%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91.10%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85.90%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98.00%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97.00%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4B8B8032" w14:textId="2F18F579" w:rsidR="0034094E" w:rsidRDefault="00480083">
      <w:pPr>
        <w:spacing w:before="0" w:after="200" w:line="276" w:lineRule="auto"/>
        <w:rPr>
          <w:b/>
          <w:color w:val="000000" w:themeColor="text1"/>
        </w:rPr>
      </w:pPr>
      <w:r w:rsidRPr="00781112">
        <w:rPr>
          <w:b/>
          <w:color w:val="000000" w:themeColor="text1"/>
        </w:rPr>
        <w:t xml:space="preserve">Targets: Description of Stakeholder Input </w:t>
      </w:r>
      <w:r w:rsidR="005B1AC0">
        <w:rPr>
          <w:b/>
          <w:color w:val="000000" w:themeColor="text1"/>
        </w:rPr>
        <w:br/>
      </w: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 xml:space="preserve">4. OSSE subject matter experts reviewed all stakeholder questions and comments and consulted with State leadership to revise baselines and targets </w:t>
      </w:r>
      <w:r w:rsidRPr="00781112">
        <w:rPr>
          <w:rFonts w:cs="Arial"/>
          <w:color w:val="000000" w:themeColor="text1"/>
          <w:szCs w:val="16"/>
        </w:rPr>
        <w:lastRenderedPageBreak/>
        <w:t>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40561939" w14:textId="77777777" w:rsidR="005B1AC0" w:rsidRPr="00781112" w:rsidRDefault="005B1AC0">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58D68CA7" w14:textId="77777777" w:rsidR="005B1AC0" w:rsidRDefault="005B1AC0" w:rsidP="004F4016">
      <w:pPr>
        <w:rPr>
          <w:rFonts w:cs="Arial"/>
          <w:b/>
          <w:color w:val="000000" w:themeColor="text1"/>
          <w:szCs w:val="16"/>
        </w:rPr>
      </w:pPr>
    </w:p>
    <w:p w14:paraId="0D09503A" w14:textId="4212731A"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1,231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1,216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2,183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157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85</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238</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960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970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1,480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49</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65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57</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1,231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1,216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2,102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61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168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1,010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978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1,456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66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57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Default="003C0975" w:rsidP="004F4016">
      <w:pPr>
        <w:rPr>
          <w:color w:val="000000" w:themeColor="text1"/>
        </w:rPr>
      </w:pPr>
    </w:p>
    <w:p w14:paraId="324009E6" w14:textId="77777777" w:rsidR="005B1AC0" w:rsidRPr="00781112" w:rsidRDefault="005B1AC0"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1,166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1,231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94.72%</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1,120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1,216</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92.11%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1,775</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2,183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81.31%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1,160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1,231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94.23%</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1,105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1,216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90.87%</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1,681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2,102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79.97%</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OSSE hosts all of its statewide assessment results for SY2021-2022, including the public presentation with a summary of the data, on this page: https://osse.dc.gov/page/2021-22-parcc-and-msaa-results-and-resources</w:t>
      </w:r>
      <w:r w:rsidRPr="00781112">
        <w:rPr>
          <w:rFonts w:cs="Arial"/>
          <w:color w:val="000000" w:themeColor="text1"/>
          <w:szCs w:val="16"/>
        </w:rPr>
        <w:br/>
      </w:r>
      <w:r w:rsidRPr="00781112">
        <w:rPr>
          <w:rFonts w:cs="Arial"/>
          <w:color w:val="000000" w:themeColor="text1"/>
          <w:szCs w:val="16"/>
        </w:rPr>
        <w:br/>
        <w:t>The direct link to the file specifically for students with disabilities is available here: https://osse.dc.gov/sites/default/files/dc/sites/osse/page_content/attachments/%5B7%5D%202021-22%20PARCC%20and%20MSAA%20Participation%20and%20Performance%20Results%20for%20Students%20with%20Disabilities.xlsx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Due to the circumstances created by the COVID-19 pandemic, the State asked for and received waivers from the US Department of Education of the assessment requirements in section 1111(b)(2) of the ESEA for both SY2019-20 and SY2020-21. In SY2021-22, the State returned to administering statewide assessments. The COVID-19 pandemic had a negative impact on both daily attendance and assessment participation as students fully returned to in-person instruction during the 2021-22 school year; the State is hopeful that rates of daily attendance and assessment participation will naturally improve to pre-pandemic levels for the 2022-23 school year. However, the State has been and will continue to engage stakeholders and District staff to innovate and implement strategies for increasing student participation and performance on statewide assessments.</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7.70%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8.60%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10.20%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4.50%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5.00%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2C104549" w14:textId="7086D1A8" w:rsidR="002D145D" w:rsidRPr="00781112" w:rsidRDefault="002B7490" w:rsidP="002D145D">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r>
      <w:r w:rsidRPr="00781112">
        <w:rPr>
          <w:rFonts w:cs="Arial"/>
          <w:color w:val="000000" w:themeColor="text1"/>
          <w:szCs w:val="16"/>
        </w:rPr>
        <w:lastRenderedPageBreak/>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1,117</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1,055</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1,718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84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33DEC24F" w14:textId="5DC88442" w:rsidR="005D18BE" w:rsidRPr="00781112" w:rsidRDefault="002B7490" w:rsidP="00552927">
      <w:pPr>
        <w:rPr>
          <w:rFonts w:cs="Arial"/>
          <w:color w:val="000000" w:themeColor="text1"/>
          <w:szCs w:val="16"/>
        </w:rPr>
      </w:pPr>
      <w:r w:rsidRPr="00781112">
        <w:rPr>
          <w:rFonts w:cs="Arial"/>
          <w:color w:val="000000" w:themeColor="text1"/>
          <w:szCs w:val="16"/>
        </w:rPr>
        <w:t>04/05/2023</w:t>
      </w: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1,111</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1,039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1,624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18</w:t>
            </w:r>
          </w:p>
        </w:tc>
        <w:tc>
          <w:tcPr>
            <w:tcW w:w="1292" w:type="pct"/>
            <w:shd w:val="clear" w:color="auto" w:fill="auto"/>
            <w:vAlign w:val="center"/>
          </w:tcPr>
          <w:p w14:paraId="0501C27C" w14:textId="552D17E6" w:rsidR="00EB6900" w:rsidRPr="00781112" w:rsidRDefault="00C75A44" w:rsidP="00360DD6">
            <w:pPr>
              <w:jc w:val="center"/>
              <w:rPr>
                <w:rFonts w:cs="Arial"/>
                <w:color w:val="000000" w:themeColor="text1"/>
                <w:szCs w:val="16"/>
              </w:rPr>
            </w:pPr>
            <w:r>
              <w:rPr>
                <w:rFonts w:cs="Arial"/>
                <w:color w:val="000000" w:themeColor="text1"/>
                <w:szCs w:val="16"/>
              </w:rPr>
              <w:t>x</w:t>
            </w:r>
            <w:r w:rsidR="00817C35">
              <w:rPr>
                <w:rStyle w:val="FootnoteReference"/>
                <w:rFonts w:cs="Arial"/>
                <w:color w:val="000000" w:themeColor="text1"/>
                <w:szCs w:val="16"/>
              </w:rPr>
              <w:footnoteReference w:id="5"/>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55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99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1,117</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8.00%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8.86%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55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1,055</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5.21%</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109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1,718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7.00%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6.34%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73</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1,111</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10.00%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6.57%</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76A00260" w:rsidR="00242D8A" w:rsidRPr="00781112" w:rsidRDefault="00C75A44" w:rsidP="00242D8A">
            <w:pPr>
              <w:jc w:val="center"/>
              <w:rPr>
                <w:rFonts w:cs="Arial"/>
                <w:color w:val="000000" w:themeColor="text1"/>
                <w:szCs w:val="16"/>
              </w:rPr>
            </w:pPr>
            <w:r>
              <w:rPr>
                <w:rFonts w:cs="Arial"/>
                <w:color w:val="000000" w:themeColor="text1"/>
                <w:szCs w:val="16"/>
              </w:rPr>
              <w:t>x</w:t>
            </w:r>
            <w:bookmarkStart w:id="16" w:name="_Ref141249258"/>
            <w:r w:rsidR="00817C35">
              <w:rPr>
                <w:rStyle w:val="FootnoteReference"/>
                <w:rFonts w:cs="Arial"/>
                <w:color w:val="000000" w:themeColor="text1"/>
                <w:szCs w:val="16"/>
              </w:rPr>
              <w:footnoteReference w:id="6"/>
            </w:r>
            <w:bookmarkEnd w:id="16"/>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1,039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5.00%</w:t>
            </w:r>
          </w:p>
        </w:tc>
        <w:tc>
          <w:tcPr>
            <w:tcW w:w="500" w:type="pct"/>
            <w:shd w:val="clear" w:color="auto" w:fill="auto"/>
            <w:vAlign w:val="center"/>
          </w:tcPr>
          <w:p w14:paraId="7DB4B85A" w14:textId="70106105" w:rsidR="00242D8A" w:rsidRPr="00781112" w:rsidRDefault="00817C35"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_Ref141249258 \f \h </w:instrText>
            </w:r>
            <w:r>
              <w:rPr>
                <w:rFonts w:cs="Arial"/>
                <w:color w:val="000000" w:themeColor="text1"/>
                <w:szCs w:val="16"/>
              </w:rPr>
            </w:r>
            <w:r>
              <w:rPr>
                <w:rFonts w:cs="Arial"/>
                <w:color w:val="000000" w:themeColor="text1"/>
                <w:szCs w:val="16"/>
              </w:rPr>
              <w:fldChar w:fldCharType="separate"/>
            </w:r>
            <w:r w:rsidR="00A059C3" w:rsidRPr="00A059C3">
              <w:rPr>
                <w:rStyle w:val="FootnoteReference"/>
              </w:rPr>
              <w:t>5</w:t>
            </w:r>
            <w:r>
              <w:rPr>
                <w:rFonts w:cs="Arial"/>
                <w:color w:val="000000" w:themeColor="text1"/>
                <w:szCs w:val="16"/>
              </w:rPr>
              <w:fldChar w:fldCharType="end"/>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27</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1,624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1.66%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0071F535" w14:textId="050CBCB3" w:rsidR="00585959" w:rsidRPr="00781112" w:rsidRDefault="00497DE4" w:rsidP="005B1AC0">
      <w:pPr>
        <w:spacing w:before="0" w:after="200" w:line="276" w:lineRule="auto"/>
        <w:rPr>
          <w:color w:val="000000" w:themeColor="text1"/>
        </w:rPr>
      </w:pPr>
      <w:r w:rsidRPr="00781112">
        <w:rPr>
          <w:b/>
          <w:color w:val="000000" w:themeColor="text1"/>
        </w:rPr>
        <w:t>Regulatory Information</w:t>
      </w:r>
      <w:r w:rsidR="005B1AC0">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OSSE hosts statewide assessment results for SY2021-2022, including the public presentation with a summary of the data, on this page: https://osse.dc.gov/page/2021-22-parcc-and-msaa-results-and-resources</w:t>
      </w:r>
      <w:r w:rsidRPr="00781112">
        <w:rPr>
          <w:rFonts w:cs="Arial"/>
          <w:color w:val="000000" w:themeColor="text1"/>
          <w:szCs w:val="16"/>
        </w:rPr>
        <w:br/>
      </w:r>
      <w:r w:rsidRPr="00781112">
        <w:rPr>
          <w:rFonts w:cs="Arial"/>
          <w:color w:val="000000" w:themeColor="text1"/>
          <w:szCs w:val="16"/>
        </w:rPr>
        <w:br/>
        <w:t>The direct link to the file for students with disabilities is available here: https://osse.dc.gov/sites/default/files/dc/sites/osse/page_content/attachments/%5B7%5D%202021-22%20PARCC%20and%20MSAA%20Participation%20and%20Performance%20Results%20for%20Students%20with%20Disabilities.xlsx</w:t>
      </w:r>
    </w:p>
    <w:p w14:paraId="2BE473B4" w14:textId="77777777" w:rsidR="00053391" w:rsidRPr="00781112" w:rsidRDefault="00053391" w:rsidP="004369B2">
      <w:pPr>
        <w:rPr>
          <w:b/>
          <w:color w:val="000000" w:themeColor="text1"/>
        </w:rPr>
      </w:pPr>
      <w:bookmarkStart w:id="17" w:name="_Toc382082367"/>
      <w:bookmarkStart w:id="18"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Due to the circumstances created by the COVID-19 pandemic, the State asked for and received waivers from the US Department of Education of the assessment requirements in section 1111(b)(2) of the ESEA for both SY2019-20 and SY2020-21. In SY2021-22, the State returned to administering statewide assessments. As national and local trends suggested prior to assessment administration, the State's results show students already farthest from opportunity before the pandemic also experienced the largest setbacks in proficiency. The data reinforced the State's recovery and restoration efforts that were already underway, including, but not limited to providing high-impact tutoring, launching a family resource center for students with disabilities, leading comprehensive trainings for educators, and creating incentives for general education teachers to complete special education coursework.</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3ED35024" w14:textId="54AFC8C3" w:rsidR="00A869E9" w:rsidRPr="005B1AC0" w:rsidRDefault="00573F6C" w:rsidP="005B1AC0">
      <w:pPr>
        <w:pStyle w:val="Heading2"/>
      </w:pPr>
      <w:r w:rsidRPr="00781112">
        <w:t>3B - OSEP Response</w:t>
      </w:r>
    </w:p>
    <w:p w14:paraId="54E3AE73" w14:textId="76B5C158" w:rsidR="00A869E9" w:rsidRPr="005B1AC0" w:rsidRDefault="00573F6C" w:rsidP="005B1AC0">
      <w:pPr>
        <w:pStyle w:val="Heading2"/>
      </w:pPr>
      <w:r w:rsidRPr="00781112">
        <w:t>3B - Required Actions</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7"/>
      <w:bookmarkEnd w:id="18"/>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9" w:name="_Toc384383330"/>
      <w:bookmarkStart w:id="20" w:name="_Toc392159282"/>
      <w:bookmarkStart w:id="21"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42.40%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41.10%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38.80%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48.30%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50.70%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46.90%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42.00%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43.00%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39.00%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40.00%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41.00%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50.00%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r>
    </w:tbl>
    <w:p w14:paraId="61BF027B" w14:textId="77777777" w:rsidR="005B1AC0" w:rsidRDefault="005B1AC0" w:rsidP="005B1AC0">
      <w:pPr>
        <w:spacing w:before="0" w:after="200" w:line="276" w:lineRule="auto"/>
        <w:rPr>
          <w:b/>
          <w:color w:val="000000" w:themeColor="text1"/>
        </w:rPr>
      </w:pPr>
    </w:p>
    <w:p w14:paraId="08B1A70A" w14:textId="607D485A" w:rsidR="002D145D" w:rsidRPr="005B1AC0" w:rsidRDefault="002D145D" w:rsidP="005B1AC0">
      <w:pPr>
        <w:spacing w:before="0" w:after="200" w:line="276" w:lineRule="auto"/>
        <w:rPr>
          <w:b/>
          <w:color w:val="000000" w:themeColor="text1"/>
        </w:rPr>
      </w:pPr>
      <w:r w:rsidRPr="00781112">
        <w:rPr>
          <w:b/>
          <w:color w:val="000000" w:themeColor="text1"/>
        </w:rPr>
        <w:t xml:space="preserve">Targets: Description of Stakeholder Input </w:t>
      </w:r>
      <w:r w:rsidR="005B1AC0">
        <w:rPr>
          <w:b/>
          <w:color w:val="000000" w:themeColor="text1"/>
        </w:rPr>
        <w:br/>
      </w:r>
      <w:r w:rsidR="002B7490" w:rsidRPr="00781112">
        <w:rPr>
          <w:rFonts w:cs="Arial"/>
          <w:color w:val="000000" w:themeColor="text1"/>
          <w:szCs w:val="16"/>
        </w:rPr>
        <w:t>When soliciting stakeholder feedback on the District's targets for FFY 2020-25:</w:t>
      </w:r>
      <w:r w:rsidR="002B7490"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002B7490" w:rsidRPr="00781112">
        <w:rPr>
          <w:rFonts w:cs="Arial"/>
          <w:color w:val="000000" w:themeColor="text1"/>
          <w:szCs w:val="16"/>
        </w:rPr>
        <w:br/>
        <w:t>2. Subject matter experts identified appropriate baseline data for each APR indicator, proposed targets, and a rationale for each.</w:t>
      </w:r>
      <w:r w:rsidR="002B7490"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002B7490" w:rsidRPr="00781112">
        <w:rPr>
          <w:rFonts w:cs="Arial"/>
          <w:color w:val="000000" w:themeColor="text1"/>
          <w:szCs w:val="16"/>
        </w:rPr>
        <w:br/>
        <w:t xml:space="preserve">4. OSSE subject matter experts reviewed all stakeholder questions and comments and consulted with State leadership to revise baselines and targets </w:t>
      </w:r>
      <w:r w:rsidR="002B7490" w:rsidRPr="00781112">
        <w:rPr>
          <w:rFonts w:cs="Arial"/>
          <w:color w:val="000000" w:themeColor="text1"/>
          <w:szCs w:val="16"/>
        </w:rPr>
        <w:lastRenderedPageBreak/>
        <w:t>as appropriate.</w:t>
      </w:r>
      <w:r w:rsidR="002B7490"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002B7490"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002B7490"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002B7490" w:rsidRPr="00781112">
        <w:rPr>
          <w:rFonts w:cs="Arial"/>
          <w:color w:val="000000" w:themeColor="text1"/>
          <w:szCs w:val="16"/>
        </w:rPr>
        <w:br/>
      </w:r>
      <w:r w:rsidR="002B7490"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002B7490" w:rsidRPr="00781112">
        <w:rPr>
          <w:rFonts w:cs="Arial"/>
          <w:color w:val="000000" w:themeColor="text1"/>
          <w:szCs w:val="16"/>
        </w:rPr>
        <w:br/>
      </w:r>
      <w:r w:rsidR="002B7490"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69C9203" w14:textId="3F9A239A" w:rsidR="005B1AC0"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49</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65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57</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28</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28</w:t>
            </w:r>
          </w:p>
        </w:tc>
      </w:tr>
    </w:tbl>
    <w:p w14:paraId="57B97FE2" w14:textId="77777777" w:rsidR="005B1AC0" w:rsidRDefault="005B1AC0" w:rsidP="00286BDF">
      <w:pPr>
        <w:rPr>
          <w:rFonts w:cs="Arial"/>
          <w:b/>
          <w:color w:val="000000" w:themeColor="text1"/>
          <w:szCs w:val="16"/>
        </w:rPr>
      </w:pPr>
    </w:p>
    <w:p w14:paraId="31899BDA" w14:textId="414D90D1"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03332DC1" w14:textId="77777777" w:rsidR="005B1AC0" w:rsidRPr="00781112" w:rsidRDefault="005B1AC0"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66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57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21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28</w:t>
            </w:r>
          </w:p>
        </w:tc>
      </w:tr>
    </w:tbl>
    <w:p w14:paraId="56C37F05" w14:textId="77777777" w:rsidR="00241BD0" w:rsidRPr="00781112" w:rsidRDefault="00241BD0" w:rsidP="004369B2">
      <w:pPr>
        <w:rPr>
          <w:color w:val="000000" w:themeColor="text1"/>
        </w:rPr>
      </w:pPr>
    </w:p>
    <w:p w14:paraId="27592CA3" w14:textId="77777777" w:rsidR="005B1AC0" w:rsidRDefault="005B1AC0">
      <w:pPr>
        <w:spacing w:before="0" w:after="200" w:line="276" w:lineRule="auto"/>
        <w:rPr>
          <w:b/>
          <w:color w:val="000000" w:themeColor="text1"/>
        </w:rPr>
      </w:pPr>
      <w:r>
        <w:rPr>
          <w:b/>
          <w:color w:val="000000" w:themeColor="text1"/>
        </w:rPr>
        <w:br w:type="page"/>
      </w:r>
    </w:p>
    <w:p w14:paraId="0E0A129D" w14:textId="1754B2B9"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49</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42.00%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26.53%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28</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65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41.00%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43.08%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28</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57</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39.00%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49.12%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21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48.00%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42.86%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66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51.00%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50.00%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57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49.12%</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OSSE hosts statewide assessment results for SY2021-2022, including the public presentation with a summary of the data, on this page: https://osse.dc.gov/page/2021-22-parcc-and-msaa-results-and-resources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direct link to the file for students with disabilities is available here: https://osse.dc.gov/sites/default/files/dc/sites/osse/page_content/attachments/%5B7%5D%202021-22%20PARCC%20and%20MSAA%20Participation%20and%20Performance%20Results%20for%20Students%20with%20Disabilities.xlsx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Due to the circumstances created by the COVID-19 pandemic, the State asked for and received waivers from the US Department of Education of the assessment requirements in section 1111(b)(2) of the ESEA for both SY2019-20 and SY2020-21. In SY2021-22, the State returned to administering statewide assessments. As national and local trends suggested prior to assessment administration, the State's results show students already farthest from opportunity before the pandemic also experienced the largest setbacks in proficiency. The data reinforced the State's recovery and restoration efforts that were already underway, including, but not limited to providing high-impact tutoring, launching a family resource center for students with disabilities, leading comprehensive trainings for educators, and creating incentives for general education teachers to complete special education coursework.</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lastRenderedPageBreak/>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30.60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30.90</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26.10</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28.20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20.10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16.80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31.00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31.00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30.00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29.00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24.00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23.00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28.00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27.00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26.00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25.00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20.00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19.00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17.00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16.00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15.00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14.00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w:t>
      </w:r>
      <w:r w:rsidRPr="00781112">
        <w:rPr>
          <w:rFonts w:cs="Arial"/>
          <w:color w:val="000000" w:themeColor="text1"/>
          <w:szCs w:val="16"/>
        </w:rPr>
        <w:lastRenderedPageBreak/>
        <w:t xml:space="preserve">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6,210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5,255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9,036</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1,117</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1,055</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1,718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1,543</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1,487</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2,708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337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158</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266</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84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6,218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5,249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8,109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1,111</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1,039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1,624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879</w:t>
            </w:r>
          </w:p>
        </w:tc>
        <w:tc>
          <w:tcPr>
            <w:tcW w:w="1083" w:type="pct"/>
            <w:shd w:val="clear" w:color="auto" w:fill="auto"/>
            <w:vAlign w:val="center"/>
          </w:tcPr>
          <w:p w14:paraId="7CCA2E3B" w14:textId="468EBF0E" w:rsidR="0039534D" w:rsidRPr="00781112" w:rsidRDefault="0089165D" w:rsidP="0039534D">
            <w:pPr>
              <w:jc w:val="center"/>
              <w:rPr>
                <w:rFonts w:cs="Arial"/>
                <w:color w:val="000000" w:themeColor="text1"/>
                <w:szCs w:val="16"/>
              </w:rPr>
            </w:pPr>
            <w:r>
              <w:rPr>
                <w:rFonts w:cs="Arial"/>
                <w:color w:val="000000" w:themeColor="text1"/>
                <w:szCs w:val="16"/>
              </w:rPr>
              <w:t>x</w:t>
            </w:r>
            <w:bookmarkStart w:id="22" w:name="_Ref141161787"/>
            <w:r>
              <w:rPr>
                <w:rStyle w:val="FootnoteReference"/>
                <w:rFonts w:cs="Arial"/>
                <w:color w:val="000000" w:themeColor="text1"/>
                <w:szCs w:val="16"/>
              </w:rPr>
              <w:footnoteReference w:id="7"/>
            </w:r>
            <w:bookmarkEnd w:id="22"/>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699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524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209</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134</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18</w:t>
            </w:r>
          </w:p>
        </w:tc>
        <w:tc>
          <w:tcPr>
            <w:tcW w:w="1083" w:type="pct"/>
            <w:shd w:val="clear" w:color="auto" w:fill="auto"/>
            <w:vAlign w:val="center"/>
          </w:tcPr>
          <w:p w14:paraId="0A64567E" w14:textId="37AF3EB1" w:rsidR="0039534D" w:rsidRPr="00781112" w:rsidRDefault="0089165D"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_Ref141161787 \f \h </w:instrText>
            </w:r>
            <w:r>
              <w:rPr>
                <w:rFonts w:cs="Arial"/>
                <w:color w:val="000000" w:themeColor="text1"/>
                <w:szCs w:val="16"/>
              </w:rPr>
            </w:r>
            <w:r>
              <w:rPr>
                <w:rFonts w:cs="Arial"/>
                <w:color w:val="000000" w:themeColor="text1"/>
                <w:szCs w:val="16"/>
              </w:rPr>
              <w:fldChar w:fldCharType="separate"/>
            </w:r>
            <w:r w:rsidR="00A059C3" w:rsidRPr="00A059C3">
              <w:rPr>
                <w:rStyle w:val="FootnoteReference"/>
              </w:rPr>
              <w:t>6</w:t>
            </w:r>
            <w:r>
              <w:rPr>
                <w:rFonts w:cs="Arial"/>
                <w:color w:val="000000" w:themeColor="text1"/>
                <w:szCs w:val="16"/>
              </w:rPr>
              <w:fldChar w:fldCharType="end"/>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55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8.86%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30.27%</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21.41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5.21%</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31.30%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31.00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26.09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6.34%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32.91%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26.00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26.57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6.57%</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22.56%</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15.99</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2C5F805B" w:rsidR="002A19C8" w:rsidRPr="00781112" w:rsidRDefault="0089165D"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_Ref141161787 \f \h </w:instrText>
            </w:r>
            <w:r>
              <w:rPr>
                <w:rFonts w:cs="Arial"/>
                <w:color w:val="000000" w:themeColor="text1"/>
                <w:szCs w:val="16"/>
              </w:rPr>
            </w:r>
            <w:r>
              <w:rPr>
                <w:rFonts w:cs="Arial"/>
                <w:color w:val="000000" w:themeColor="text1"/>
                <w:szCs w:val="16"/>
              </w:rPr>
              <w:fldChar w:fldCharType="separate"/>
            </w:r>
            <w:r w:rsidR="00A059C3" w:rsidRPr="00A059C3">
              <w:rPr>
                <w:rStyle w:val="FootnoteReference"/>
              </w:rPr>
              <w:t>6</w:t>
            </w:r>
            <w:r>
              <w:rPr>
                <w:rFonts w:cs="Arial"/>
                <w:color w:val="000000" w:themeColor="text1"/>
                <w:szCs w:val="16"/>
              </w:rPr>
              <w:fldChar w:fldCharType="end"/>
            </w:r>
          </w:p>
        </w:tc>
        <w:tc>
          <w:tcPr>
            <w:tcW w:w="834" w:type="pct"/>
            <w:shd w:val="clear" w:color="auto" w:fill="auto"/>
            <w:vAlign w:val="center"/>
          </w:tcPr>
          <w:p w14:paraId="11774D79" w14:textId="36E08133" w:rsidR="002A19C8" w:rsidRPr="00781112" w:rsidRDefault="0089165D"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_Ref141161787 \f \h </w:instrText>
            </w:r>
            <w:r>
              <w:rPr>
                <w:rFonts w:cs="Arial"/>
                <w:color w:val="000000" w:themeColor="text1"/>
                <w:szCs w:val="16"/>
              </w:rPr>
            </w:r>
            <w:r>
              <w:rPr>
                <w:rFonts w:cs="Arial"/>
                <w:color w:val="000000" w:themeColor="text1"/>
                <w:szCs w:val="16"/>
              </w:rPr>
              <w:fldChar w:fldCharType="separate"/>
            </w:r>
            <w:r w:rsidR="00A059C3" w:rsidRPr="00A059C3">
              <w:rPr>
                <w:rStyle w:val="FootnoteReference"/>
              </w:rPr>
              <w:t>6</w:t>
            </w:r>
            <w:r>
              <w:rPr>
                <w:rFonts w:cs="Arial"/>
                <w:color w:val="000000" w:themeColor="text1"/>
                <w:szCs w:val="16"/>
              </w:rPr>
              <w:fldChar w:fldCharType="end"/>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20.00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13.62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1.66%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10.27%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17.00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8.61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2FF851DB" w14:textId="4E6572FD" w:rsidR="00DD5B7A" w:rsidRPr="00781112" w:rsidRDefault="005B1AC0" w:rsidP="00DD5B7A">
      <w:pPr>
        <w:rPr>
          <w:b/>
          <w:color w:val="000000" w:themeColor="text1"/>
        </w:rPr>
      </w:pPr>
      <w:r>
        <w:rPr>
          <w:b/>
          <w:color w:val="000000" w:themeColor="text1"/>
        </w:rPr>
        <w:br/>
      </w:r>
      <w:r w:rsidR="00DD5B7A" w:rsidRPr="00781112">
        <w:rPr>
          <w:b/>
          <w:color w:val="000000" w:themeColor="text1"/>
        </w:rPr>
        <w:t>Provide additional information about this indicator (optional)</w:t>
      </w:r>
    </w:p>
    <w:p w14:paraId="2ABFD82D" w14:textId="0EAEC13E" w:rsidR="00764DDE" w:rsidRPr="005B1AC0" w:rsidRDefault="00DD5B7A" w:rsidP="005B1AC0">
      <w:pPr>
        <w:rPr>
          <w:rFonts w:cs="Arial"/>
          <w:color w:val="000000" w:themeColor="text1"/>
          <w:szCs w:val="16"/>
        </w:rPr>
      </w:pPr>
      <w:r w:rsidRPr="00781112">
        <w:rPr>
          <w:rFonts w:cs="Arial"/>
          <w:color w:val="000000" w:themeColor="text1"/>
          <w:szCs w:val="16"/>
        </w:rPr>
        <w:t>Due to the circumstances created by the COVID-19 pandemic, the State asked for and received waivers from the US Department of Education of the assessment requirements in section 1111(b)(2) of the ESEA for both SY2019-20 and SY2020-21. In SY2021-22, the State returned to administering statewide assessments. As national and local trends suggested prior to assessment administration, the State's results show students already farthest from opportunity before the pandemic also experienced the largest setbacks in proficiency. The data reinforced the State's recovery and restoration efforts that were already underway, including, but not limited to providing high-impact tutoring, launching a family resource center for students with disabilities, leading comprehensive trainings for educators, and creating incentives for general education teachers to complete special education coursework.</w:t>
      </w: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6F9D8957" w14:textId="2312435B" w:rsidR="00764DDE" w:rsidRPr="005B1AC0" w:rsidRDefault="00764DDE" w:rsidP="005B1AC0">
      <w:pPr>
        <w:pStyle w:val="Heading2"/>
      </w:pPr>
      <w:r w:rsidRPr="00781112">
        <w:t>3D - OSEP Response</w:t>
      </w:r>
    </w:p>
    <w:p w14:paraId="77AA7102" w14:textId="6E7B0C9A" w:rsidR="00764DDE" w:rsidRPr="005B1AC0" w:rsidRDefault="00764DDE" w:rsidP="005B1AC0">
      <w:pPr>
        <w:pStyle w:val="Heading2"/>
      </w:pPr>
      <w:r w:rsidRPr="00781112">
        <w:t>3D - Required Actions</w:t>
      </w:r>
    </w:p>
    <w:p w14:paraId="43A6BBAF" w14:textId="77777777" w:rsidR="005B1AC0" w:rsidRDefault="005B1AC0">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1E2B07DD" w14:textId="6138306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9"/>
      <w:bookmarkEnd w:id="20"/>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12.90%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12.90%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11.76%</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2.27%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BB7BC9" w:rsidP="00A018D4">
            <w:pPr>
              <w:jc w:val="center"/>
              <w:rPr>
                <w:rFonts w:cs="Arial"/>
                <w:color w:val="000000" w:themeColor="text1"/>
                <w:szCs w:val="16"/>
              </w:rPr>
            </w:pP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5"/>
    <w:bookmarkEnd w:id="2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63</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A862C3" w:rsidP="00A018D4">
            <w:pPr>
              <w:jc w:val="center"/>
              <w:rPr>
                <w:rFonts w:cs="Arial"/>
                <w:color w:val="000000" w:themeColor="text1"/>
                <w:szCs w:val="16"/>
              </w:rPr>
            </w:pP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State defines "significant discrepancy" as the suspension or expulsion of any child with a disability for more than ten days cumulatively in a school year by an LEA at a rate greater than 1.5 times the equivalent rate for children without disabilities in the same LEA. To be identified as having significant discrepancy, an LEA must meet the following criteria: 1) The LEA must meet the minimum "n" size of 40 students with IEPs; and 2) The LEA has suspended and/or expelled at least five students with disabilities (cell size), and 3) The rate of suspensions or expulsions of children with a disability is greater than 1.5 times the rate of suspensions or expulsions of all students without disabilities within the same LEA.</w:t>
      </w:r>
      <w:r w:rsidRPr="00781112">
        <w:rPr>
          <w:rFonts w:cs="Arial"/>
          <w:color w:val="000000" w:themeColor="text1"/>
          <w:szCs w:val="16"/>
        </w:rPr>
        <w:br/>
      </w:r>
      <w:r w:rsidRPr="00781112">
        <w:rPr>
          <w:rFonts w:cs="Arial"/>
          <w:color w:val="000000" w:themeColor="text1"/>
          <w:szCs w:val="16"/>
        </w:rPr>
        <w:br/>
        <w:t>OSSE is moving towards utilizing multi-year data in the calculation for indicator 4a. As indicator 4 utilizes lag data, for the FFY21 review, OSSE identified LEAs as having a significant discrepancy who consecutively met the criteria for the 2019-2020 and 2020-2021 school years in the same analysis category. Beginning with the review of 2021-2022 school year data, OSSE will only flag LEAs that are identified in the same analysis category for three (3) consecutive years.</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lastRenderedPageBreak/>
        <w:t>For the relevant time period (SY 2020-2021), the District had 63 LEAs. Though OSSE reported a total of 67 LEAs on the FFY20 APR, 4 of those LEAs served adult populations, did not receive IDEA funds, and thus are not included in this indicator. In previous years, the District included LEAs that did not receive IDEA funds in its total count of LEAs. Therefore, a comparative analysis between this APR and the FFY20 APR will reflect a discrepancy of four (4) LEAs for data related to SY 2020-2021.</w:t>
      </w:r>
      <w:r w:rsidRPr="00781112">
        <w:rPr>
          <w:rFonts w:cs="Arial"/>
          <w:color w:val="000000" w:themeColor="text1"/>
          <w:szCs w:val="16"/>
        </w:rPr>
        <w:br/>
      </w:r>
      <w:r w:rsidRPr="00781112">
        <w:rPr>
          <w:rFonts w:cs="Arial"/>
          <w:color w:val="000000" w:themeColor="text1"/>
          <w:szCs w:val="16"/>
        </w:rPr>
        <w:br/>
        <w:t>Due to circumstances related to the public health emergency, 95% of school days in the District of Columbia were conducted via virtual instruction, which resulted in substantially lower rates of suspension and expulsion for all students.</w:t>
      </w:r>
    </w:p>
    <w:bookmarkEnd w:id="27"/>
    <w:bookmarkEnd w:id="2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For FFY 2021, there were zero (0) LEAs that met the state’s definition of significant discrepancy as it relates to indicator 4A.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DC included none of its LEAs in its analysis of rates of suspension and expulsion of greater than 10 days in a school year for children with IEPs.  OSEP recognizes that DC reported, "Due to circumstances related to the public health emergency, 95% of school days in the District of Columbia were conducted via virtual instruction, which resulted in substantially lower rates of suspension and expulsion for all students." OSEP reminds DC that if the examination for significant discrepancies in the rates of suspensions and expulsions greater than 10 days in a school year for children with IEPs is not occurring in any meaningful way at the LEA level, OSEP may determine that DC's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DC must explain how its methodology is reasonably designed to determine if significant discrepancies are occurring in the rate of suspensions and expulsions of greater than 10 days in a school year for children with IEPs, including how DC's LEAs are being examined for significant discrepancy under DC's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07B30109" w14:textId="77777777" w:rsidR="005B1AC0" w:rsidRPr="00781112" w:rsidRDefault="005B1AC0"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Default="00CF0A73" w:rsidP="004369B2">
      <w:pPr>
        <w:rPr>
          <w:color w:val="000000" w:themeColor="text1"/>
        </w:rPr>
      </w:pPr>
    </w:p>
    <w:p w14:paraId="7882687A" w14:textId="77777777" w:rsidR="005B1AC0" w:rsidRPr="00781112" w:rsidRDefault="005B1AC0"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2.94%</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2.94%</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11.76%</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4.55%</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2"/>
    <w:bookmarkEnd w:id="33"/>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State defines "significant discrepancy" as the suspension or expulsion of any child with a disability for more than ten days cumulatively in a school year by an LEA with a qualifying subgroup at a rate greater than 1.5 times the equivalent rate for non-disabled peers. To be identified as having significant discrepancy by race or ethnicity, an LEA must meet the following criteria: 1) The LEA must meet the minimum "n" size of 40 students with IEPs; and 2) The LEA has suspended and/or expelled at least three students with disabilities in a particular racial and ethnic category (cell size), and 3) The rate of suspensions or expulsions of children with a disability within a specific racial and ethnic group is greater than 1.5 times the rate of suspensions or expulsions of all students without disabilities. </w:t>
      </w:r>
      <w:r w:rsidRPr="00781112">
        <w:rPr>
          <w:rFonts w:cs="Arial"/>
          <w:color w:val="000000" w:themeColor="text1"/>
          <w:szCs w:val="16"/>
        </w:rPr>
        <w:br/>
      </w:r>
      <w:r w:rsidRPr="00781112">
        <w:rPr>
          <w:rFonts w:cs="Arial"/>
          <w:color w:val="000000" w:themeColor="text1"/>
          <w:szCs w:val="16"/>
        </w:rPr>
        <w:br/>
        <w:t>OSSE is moving towards utilizing multi-year data in the calculation for indicator 4b. As indicator 4 utilizes lag data, for the FFY21 review, OSSE identified LEAs as having a significant discrepancy who consecutively met the criteria for the 2019-2020 and 2020-2021 school years in the same analysis category. Beginning with the review of 2021-2022 school year data, OSSE will only flag LEAs that are identified in the same analysis category for three (3) consecutive years.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For the relevant time period (SY 2020-2021), the District had 63 LEAs. Though OSSE reported a total of 67 LEAs on the FFY20 APR, 4 of those LEAs served adult populations, did not receive IDEA funds, and thus are not included in this indicator. In previous years, the District included LEAs that did not receive IDEA funds in its total count of LEAs. Therefore, a comparative analysis between this APR and the FFY20 APR will reflect a discrepancy of four (4) LEAs for data related to SY 2020-2021.</w:t>
      </w:r>
      <w:r w:rsidRPr="00781112">
        <w:rPr>
          <w:rFonts w:cs="Arial"/>
          <w:color w:val="000000" w:themeColor="text1"/>
          <w:szCs w:val="16"/>
        </w:rPr>
        <w:br/>
      </w:r>
      <w:r w:rsidRPr="00781112">
        <w:rPr>
          <w:rFonts w:cs="Arial"/>
          <w:color w:val="000000" w:themeColor="text1"/>
          <w:szCs w:val="16"/>
        </w:rPr>
        <w:br/>
        <w:t>Due to circumstances related to the public health emergency, 95% of school days in the District of Columbia were conducted via virtual instruction, which resulted in substantially lower rates of suspension and expulsion for all students.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616510" w:rsidP="009C613A">
      <w:pPr>
        <w:rPr>
          <w:rFonts w:cs="Arial"/>
          <w:color w:val="000000" w:themeColor="text1"/>
          <w:szCs w:val="16"/>
        </w:rPr>
      </w:pP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lastRenderedPageBreak/>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DC included none of its LEAs in its analysis of rates of suspension and expulsion of greater than 10 days in a school year for children with IEPs.  OSEP recognizes that DC reported, "Due to circumstances related to the public health emergency, 95% of school days in the District of Columbia were conducted via virtual instruction, which resulted in substantially lower rates of suspension and expulsion for all students." OSEP reminds DC that if the examination for significant discrepancies, by race or ethnicity, in the rates of suspensions and expulsions greater than 10 days in a school year for children with IEPs is not occurring in any meaningful way at the LEA level, OSEP may determine that DC's chosen methodology is not reasonably designed to determine if significant discrepancies, by race or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DC must explain how its methodology is reasonably designed to determine if significant discrepancies, by race or ethnicity, are occurring in the rate of suspensions and expulsions of greater than 10 days in a school year for children with IEPs, including how DC's LEAs are being examined for significant discrepancy, by race or ethnicity, under DC's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1"/>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58.19%</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58.19%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56.47%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57.19%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58.19%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16.80%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16.80%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15.23%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15.61%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15.27%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16.80%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7.73%</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9.41%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9.03%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8.54%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8.10%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7.73%</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60.00%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62.00%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62.00%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65.00%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65.00%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14.00%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14.00%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14.00%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14.00%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14.00%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9.00%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9.00%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8.00%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7.00%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7.00%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r>
      <w:r w:rsidRPr="00781112">
        <w:rPr>
          <w:rFonts w:cs="Arial"/>
          <w:color w:val="000000" w:themeColor="text1"/>
          <w:szCs w:val="16"/>
        </w:rPr>
        <w:lastRenderedPageBreak/>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13,298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7,940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2,263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858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7,940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13,298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58.19%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59.71%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2,263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13,298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16.80%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14.00%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17.02%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lastRenderedPageBreak/>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906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13,298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7.73%</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9.00%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6.81%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For indicators 5A and 5B, the state did not meet its targets, but the increase in students served in these categories is indicative of the natural progression for students moving from the most restrictive setting into lesser restrictive settings. For some students, incremental transition will include moving into an environment with extensive academic and behavioral support outside of the regular classroom to allow for a smoother reintegration into the general education setting. The District continues to make progress in these areas.</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6"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6"/>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59.00%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55.99%</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45.37%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51.70%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48.92%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55.45%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55.99%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18.41%</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16.66%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16.21%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17.26%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15.28%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18.41%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r>
      <w:r w:rsidRPr="00781112">
        <w:rPr>
          <w:rFonts w:cs="Arial"/>
          <w:color w:val="000000" w:themeColor="text1"/>
          <w:szCs w:val="16"/>
        </w:rPr>
        <w:lastRenderedPageBreak/>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55.99%</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18.41%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N/A</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60.00%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60.00%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10.00%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37" w:name="_Toc382082378"/>
      <w:bookmarkStart w:id="38"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p>
        </w:tc>
        <w:tc>
          <w:tcPr>
            <w:tcW w:w="882" w:type="pct"/>
          </w:tcPr>
          <w:p w14:paraId="262E2FD0" w14:textId="77777777" w:rsidR="00B14519" w:rsidRPr="00781112" w:rsidRDefault="00B14519" w:rsidP="00992ACE">
            <w:pPr>
              <w:jc w:val="center"/>
              <w:rPr>
                <w:rFonts w:cs="Arial"/>
                <w:color w:val="000000" w:themeColor="text1"/>
                <w:szCs w:val="16"/>
              </w:rPr>
            </w:pPr>
          </w:p>
        </w:tc>
        <w:tc>
          <w:tcPr>
            <w:tcW w:w="884" w:type="pct"/>
          </w:tcPr>
          <w:p w14:paraId="54ED085E" w14:textId="77777777" w:rsidR="00B14519" w:rsidRPr="00781112" w:rsidRDefault="00B14519" w:rsidP="00992ACE">
            <w:pPr>
              <w:jc w:val="center"/>
              <w:rPr>
                <w:rFonts w:cs="Arial"/>
                <w:color w:val="000000" w:themeColor="text1"/>
                <w:szCs w:val="16"/>
              </w:rPr>
            </w:pPr>
          </w:p>
        </w:tc>
        <w:tc>
          <w:tcPr>
            <w:tcW w:w="883" w:type="pct"/>
          </w:tcPr>
          <w:p w14:paraId="2466D4C4" w14:textId="77777777" w:rsidR="00B14519" w:rsidRPr="00781112" w:rsidRDefault="00B14519" w:rsidP="00992ACE">
            <w:pPr>
              <w:jc w:val="center"/>
              <w:rPr>
                <w:rFonts w:cs="Arial"/>
                <w:color w:val="000000" w:themeColor="text1"/>
                <w:szCs w:val="16"/>
              </w:rPr>
            </w:pPr>
          </w:p>
        </w:tc>
        <w:tc>
          <w:tcPr>
            <w:tcW w:w="883" w:type="pct"/>
          </w:tcPr>
          <w:p w14:paraId="17FD3C25" w14:textId="77777777" w:rsidR="00B14519" w:rsidRPr="00781112" w:rsidRDefault="00B14519" w:rsidP="00992ACE">
            <w:pPr>
              <w:jc w:val="center"/>
              <w:rPr>
                <w:rFonts w:cs="Arial"/>
                <w:color w:val="000000" w:themeColor="text1"/>
                <w:szCs w:val="16"/>
              </w:rPr>
            </w:pP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347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647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1,021</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175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362</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555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93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131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228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lastRenderedPageBreak/>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12</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555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1,021</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55.99%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54.36%</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242</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1,021</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18.41%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23.70%</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1,021</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0.08%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0.10%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Reason - In recent years, the District has strengthened its child find efforts, resulting in a higher identification of children ages 3 to 5 with developmental delays. However, this increase has not translated into an increase in the percentage of children with IEPs in regular early childhood programs. Instead, as confirmed through OSSE data analysis, an increased number of the children identified with developmental delays presented with significant social, emotional, and language deficits that adversely impact their ability to access learning in regular early childhood environments. As a result, these children receive special education and related services in more restrictive environments.</w:t>
      </w:r>
      <w:r w:rsidRPr="00781112">
        <w:rPr>
          <w:rFonts w:cs="Arial"/>
          <w:color w:val="000000" w:themeColor="text1"/>
          <w:szCs w:val="16"/>
        </w:rPr>
        <w:br/>
      </w:r>
      <w:r w:rsidRPr="00781112">
        <w:rPr>
          <w:rFonts w:cs="Arial"/>
          <w:color w:val="000000" w:themeColor="text1"/>
          <w:szCs w:val="16"/>
        </w:rPr>
        <w:br/>
        <w:t>Agency initiative – As part of its new Special Education Performance Report (SEPR), the District will take a more in-depth look at LRE within each LEA and provide technical assistance as appropriate.</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Reason - In recent years, OSSE observed an upward trend in the number of children ages 3 to 5 being identified with developmental delays that present with significant social, emotional, and language deficits that adversely impact their ability to access learning in regular early childhood environments. Student-level data analyses support increases to more restrictive environments which have allowed students to be educated in appropriate environments for their levels of need.</w:t>
      </w:r>
      <w:r w:rsidRPr="00781112">
        <w:rPr>
          <w:rFonts w:cs="Arial"/>
          <w:color w:val="000000" w:themeColor="text1"/>
          <w:szCs w:val="16"/>
        </w:rPr>
        <w:br/>
      </w:r>
      <w:r w:rsidRPr="00781112">
        <w:rPr>
          <w:rFonts w:cs="Arial"/>
          <w:color w:val="000000" w:themeColor="text1"/>
          <w:szCs w:val="16"/>
        </w:rPr>
        <w:br/>
        <w:t>Agency initiative – As part of its new Special Education Performance Report (SEPR), the District will take a more in-depth look at LRE within each LEA and provide technical assistance as appropriate.</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DC reported fewer than ten children receiving special education and related services in the home in FFY 2021. DC is not required to provide targets for Indicator 6C until any fiscal year in which ten or more children receive special education and related services in the home.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7"/>
      <w:bookmarkEnd w:id="38"/>
    </w:p>
    <w:p w14:paraId="1404DCF9" w14:textId="77777777" w:rsidR="00531E54" w:rsidRPr="00781112" w:rsidRDefault="00531E54" w:rsidP="00A018D4">
      <w:pPr>
        <w:rPr>
          <w:color w:val="000000" w:themeColor="text1"/>
          <w:szCs w:val="20"/>
        </w:rPr>
      </w:pPr>
      <w:bookmarkStart w:id="39"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9"/>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74.59%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90.62%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84.62%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74.59%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76.35%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61.47%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73.38%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65.45%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68.99%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61.47%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53.64%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76.43%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90.38%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85.56%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76.43%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69.67%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68.81%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43.68%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56.95%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90.32%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92.03%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67.22%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56.95%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76.19%</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60.10%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84.70%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86.26%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60.10%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54.79%</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80.00%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80.00%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80.00%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80.00%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80.00%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68.00%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68.00%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87.00%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87.00%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68.00%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68.00%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84.00%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84.00%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84.00%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84.00%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84.00%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80.00%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80.00%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80.00%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80.00%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80.00%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15B04992" w14:textId="77777777" w:rsidR="005B1AC0" w:rsidRDefault="005B1AC0">
      <w:pPr>
        <w:rPr>
          <w:b/>
          <w:color w:val="000000" w:themeColor="text1"/>
        </w:rPr>
      </w:pPr>
    </w:p>
    <w:p w14:paraId="4D0201C3" w14:textId="3DEF056F" w:rsidR="008751D3" w:rsidRPr="00781112" w:rsidRDefault="0047313F">
      <w:pPr>
        <w:rPr>
          <w:b/>
          <w:color w:val="000000" w:themeColor="text1"/>
        </w:rPr>
      </w:pPr>
      <w:r>
        <w:rPr>
          <w:b/>
          <w:color w:val="000000" w:themeColor="text1"/>
        </w:rPr>
        <w:lastRenderedPageBreak/>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331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3.63%</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11.78%</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19.94%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104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31.42%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110</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33.23%</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170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221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76.35%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76.92%</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214</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331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53.64%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68.00%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64.65%</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3.93%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32</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9.67%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80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24.17%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103</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31.12%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103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31.12%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183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228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69.67%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80.26%</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206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331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43.68%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62.24%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3.93%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8.76%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18.43%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32.63%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36.25%</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169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211</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76.19%</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80.09%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228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331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54.79%</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68.88%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0" w:name="_Toc382082381"/>
      <w:bookmarkStart w:id="41"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Beginning in 2009, all LEA preschool programs providing services under IDEA, Part B, were required to use the Child Outcomes Summary Process  (COS) to measure the required outcomes outlined above. Programs must collect and report performance data within 90 days of a child's entry into a preschool program and within 60 days prior to a child's exit. Entry and exit data must be reported to OSSE on a rolling basis in the DC-CATS system.  As data is entered on a rolling basis, OSSE conducts bi-annual data verification checks to ensure that all preschool students who receive special education services ages 3-5 have COS scores entered into the system. Upon verification of COS data entry, the DC-CATS system generates a report. This report is used for reporting on APR indicator 7.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lastRenderedPageBreak/>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0"/>
      <w:bookmarkEnd w:id="41"/>
    </w:p>
    <w:p w14:paraId="66FBCA03" w14:textId="77777777" w:rsidR="00B654C1" w:rsidRPr="00781112" w:rsidRDefault="00B654C1" w:rsidP="00A018D4">
      <w:pPr>
        <w:rPr>
          <w:color w:val="000000" w:themeColor="text1"/>
          <w:szCs w:val="20"/>
        </w:rPr>
      </w:pPr>
      <w:bookmarkStart w:id="42"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3"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3"/>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2"/>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 xml:space="preserve">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w:t>
      </w:r>
      <w:r w:rsidRPr="00781112">
        <w:rPr>
          <w:rFonts w:cs="Arial"/>
          <w:color w:val="000000" w:themeColor="text1"/>
          <w:szCs w:val="16"/>
        </w:rPr>
        <w:lastRenderedPageBreak/>
        <w:t>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88.49%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86.44%</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88.87%</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86.56%</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88.49%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77.89%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89.00%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90.00%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90.00%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90.00%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90.00%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3,113</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3,888</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77.89%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89.00%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80.07%</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In the District of Columbia, a single survey is made available to parents of both preschool and school-aged students with IEPs. All questions apply to both parents of preschool and school-aged children. For FY21, OSSE distributed an online survey through public advertisements, LEA notices to parents, advocacy and community organizations, and direct Short Message Service (SMS) text messages to parents. The online survey was translated into the top six languages spoken by parents in the District of Columbia (Spanish, Amharic, Chinese, French, Korean, and Vietnamese). Survey participants could select their preferred language within the online system, and paper and translated versions were made available on OSSE’s website and upon request. OSSE sent direct SMS text messages including a link to the online survey to the telephone numbers of parents as provided by LEAs in the Statewide Longitudinal Education Data (SLED) system, after comparing the school year 2021-22 enrollment data with the school year 2022-23 parent demographic data to ensure the most current data and contact information.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14,319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27.15%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4"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7.00%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27.15%</w:t>
            </w:r>
          </w:p>
        </w:tc>
      </w:tr>
      <w:bookmarkEnd w:id="44"/>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In FY21, OSSE built on FY20’s success in increasing participation in the parent survey through the use of direct SMS text messages and will continue this strategy in future years. The District more than tripled the response rate between FY20 and FY21. OSSE will also consider the feasibility of text messaging in the parent’s identified native language, gathering additional parent phone numbers, and other ways to expand this form of outreach. OSSE also will engage with LEAs to determine how it can better support LEAs in communicating with parents about the parent survey and encouraging participation. OSSE is also considering ways in which the parent survey could be provided to parents immediately following the annual IEP team meeting, including through electronic communication via the new statewide special education data system, which features a parent portal for ease in communication.</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5" w:name="_Hlk81486999"/>
      <w:r w:rsidRPr="0061205F">
        <w:rPr>
          <w:rFonts w:cs="Arial"/>
          <w:b/>
          <w:color w:val="000000" w:themeColor="text1"/>
          <w:szCs w:val="16"/>
        </w:rPr>
        <w:t>of the response rate including any nonresponse bias that was identified,</w:t>
      </w:r>
      <w:bookmarkEnd w:id="45"/>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lastRenderedPageBreak/>
        <w:t>OSSE examined nonresponse bias (as described below), which shows that survey responses are largely representative of the District’s special education population. However, prior to FY20, the District averaged approximately 500 responses to the parent survey for a response rate of approximately 4-7%. In FY20, the response rate increased to 1048 and in FY21 the response rate was nearly six times the prior average (3888). OSSE achieved this increase in response rate by sending direct SMS text messaging to 14,137 parent phone numbers. To improve response rates, in FY21, OSSE expanded use of the direct SMS text messaging by expanding the type of contact number from only parent cellular phone numbers in FY20 to all parent-provided home and cell phone numbers in FY21. OSSE sent SMS text messages three times, and each time experienced a significant influx in responses. OSSE continued to see dramatic increases in parental participation in previously underrepresented geographical locations (Wards), which suggests prior methods of outreach were less successful in accessing that geographical population. Further, as part of OSSE’s collaboration with the District of Columbia Office of the Ombudsman for Education to launch the DC Special Education Hub family resource center, parents were provided with support and training to build capacity to understand and provide feedback through the parent survey. OSSE also engaged with other community partners (including the federally-funded parent training and information center) to advertise and promote the availability of the survey to diverse populations.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6" w:name="_Hlk112070690"/>
      <w:bookmarkStart w:id="47"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6"/>
    <w:bookmarkEnd w:id="47"/>
    <w:p w14:paraId="513A1FE6" w14:textId="77777777" w:rsidR="00090132" w:rsidRDefault="00090132" w:rsidP="006F6351">
      <w:pPr>
        <w:rPr>
          <w:b/>
          <w:bCs/>
        </w:rPr>
      </w:pPr>
      <w:r w:rsidRPr="000A2B9F">
        <w:rPr>
          <w:bCs/>
          <w:color w:val="000000" w:themeColor="text1"/>
        </w:rPr>
        <w:t xml:space="preserve">Overall, survey data are largely representative of the District’s special education population. However, OSSE identified trends across grade band and race/ethnicity, and will continue to explore ways to improve outreach for populations for which participation gaps are identified, based on the following analyses: </w:t>
      </w:r>
      <w:r w:rsidRPr="000A2B9F">
        <w:rPr>
          <w:bCs/>
          <w:color w:val="000000" w:themeColor="text1"/>
        </w:rPr>
        <w:br/>
        <w:t>- Parents of high school students were slightly less likely to respond to the survey (21.6% of total participants compared to comprising 27.9% of the enrolled population), while responsiveness within other grade bands were representative of student enrollments. Although this is consistent with LEA experiences that parents of younger students are generally more engaged and responsive, more must be done to engage parents of high school students.</w:t>
      </w:r>
      <w:r w:rsidRPr="000A2B9F">
        <w:rPr>
          <w:bCs/>
          <w:color w:val="000000" w:themeColor="text1"/>
        </w:rPr>
        <w:br/>
        <w:t xml:space="preserve">- Parents of Hispanic/Latino students were less likely to participate (13.6% of total participants compared to 13.6% of the enrolled population) than other racial and ethnic groups. The response rate for all racial and ethnic groups increased compared to FY20. </w:t>
      </w:r>
      <w:r w:rsidRPr="000A2B9F">
        <w:rPr>
          <w:bCs/>
          <w:color w:val="000000" w:themeColor="text1"/>
        </w:rPr>
        <w:br/>
        <w:t xml:space="preserve">For FY21-25 reporting, the District’s chosen metric related to representativeness is geographic location, which was selected through a rigorous stakeholder engagement process. In the District of Columbia, geographic location is delineated by “ward”, of which the city is divided into eight wards. 21.0% (N=817) of participants indicated their ward was “unknown”. Of the participants who identified a ward, survey participation was representative of enrollment rates of District students with disabilities. </w:t>
      </w:r>
      <w:r w:rsidRPr="000A2B9F">
        <w:rPr>
          <w:bCs/>
          <w:color w:val="000000" w:themeColor="text1"/>
        </w:rPr>
        <w:br/>
        <w:t>1. Participation by Ward (excluding “unknown” responses)</w:t>
      </w:r>
      <w:r w:rsidRPr="000A2B9F">
        <w:rPr>
          <w:bCs/>
          <w:color w:val="000000" w:themeColor="text1"/>
        </w:rPr>
        <w:br/>
        <w:t>Ward of Residence........ Percentage of Total........ Participants Enrollment Rate........... &gt;=1000 students</w:t>
      </w:r>
      <w:r w:rsidRPr="000A2B9F">
        <w:rPr>
          <w:bCs/>
          <w:color w:val="000000" w:themeColor="text1"/>
        </w:rPr>
        <w:br/>
        <w:t>Ward 1 ...........7.5%...........8.6%........... Yes</w:t>
      </w:r>
      <w:r w:rsidRPr="000A2B9F">
        <w:rPr>
          <w:bCs/>
          <w:color w:val="000000" w:themeColor="text1"/>
        </w:rPr>
        <w:br/>
        <w:t>Ward 2 ...........2.5%...........1.5%........... No</w:t>
      </w:r>
      <w:r w:rsidRPr="000A2B9F">
        <w:rPr>
          <w:bCs/>
          <w:color w:val="000000" w:themeColor="text1"/>
        </w:rPr>
        <w:br/>
        <w:t>Ward 3 ...........4.9%........... 3.6%........... No</w:t>
      </w:r>
      <w:r w:rsidRPr="000A2B9F">
        <w:rPr>
          <w:bCs/>
          <w:color w:val="000000" w:themeColor="text1"/>
        </w:rPr>
        <w:br/>
        <w:t>Ward 4 ...........14.8%........... 14.5%........... Yes</w:t>
      </w:r>
      <w:r w:rsidRPr="000A2B9F">
        <w:rPr>
          <w:bCs/>
          <w:color w:val="000000" w:themeColor="text1"/>
        </w:rPr>
        <w:br/>
        <w:t>Ward 5 ...........14.3%........... 15.1%........... Yes</w:t>
      </w:r>
      <w:r w:rsidRPr="000A2B9F">
        <w:rPr>
          <w:bCs/>
          <w:color w:val="000000" w:themeColor="text1"/>
        </w:rPr>
        <w:br/>
        <w:t>Ward 6 ........... 8.9%........... 10.0%........... Yes</w:t>
      </w:r>
      <w:r w:rsidRPr="000A2B9F">
        <w:rPr>
          <w:bCs/>
          <w:color w:val="000000" w:themeColor="text1"/>
        </w:rPr>
        <w:br/>
        <w:t>Ward 7 20.5% 20.2% Yes</w:t>
      </w:r>
      <w:r w:rsidRPr="000A2B9F">
        <w:rPr>
          <w:bCs/>
          <w:color w:val="000000" w:themeColor="text1"/>
        </w:rPr>
        <w:br/>
        <w:t>Ward 8 26.6% 26.5% Yes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District determines representativeness by determining if the percent of respondents is within 15% of the percent of enrolled students with disabilities in each ward, for enrolled populations of greater than 1000 students.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DC must report whether its FFY 2021 data are from a response group that is representative of the demographics of children receiving special education services, and, if not, the actions DC is taking to address this issue. DC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7757B1" w:rsidP="007757B1">
      <w:pPr>
        <w:rPr>
          <w:rFonts w:cs="Arial"/>
          <w:color w:val="000000" w:themeColor="text1"/>
          <w:szCs w:val="16"/>
        </w:rPr>
      </w:pP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DC did not analyze the response rate to identify potential nonresponse bias or identify steps taken to reduce any identified bias to promote response from parents of children receiving special education services in DC,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DC must analyze the response rate to identify potential nonresponse bias and report on steps taken to reduce any identified bias and promote response from a broad cross section of parents of children with disabilities.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8" w:name="_Toc384383343"/>
      <w:bookmarkStart w:id="4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066D247" w14:textId="77777777" w:rsidR="005B1AC0" w:rsidRPr="00781112" w:rsidRDefault="005B1AC0" w:rsidP="00286BDF">
      <w:pPr>
        <w:rPr>
          <w:rFonts w:cs="Arial"/>
          <w:color w:val="000000" w:themeColor="text1"/>
          <w:szCs w:val="16"/>
        </w:rPr>
      </w:pPr>
    </w:p>
    <w:p w14:paraId="1A6C01D0" w14:textId="1BD83E55" w:rsidR="00AF5AFB" w:rsidRPr="00781112" w:rsidRDefault="00400C56" w:rsidP="008645AD">
      <w:pPr>
        <w:pStyle w:val="Heading2"/>
      </w:pPr>
      <w:bookmarkStart w:id="50" w:name="_Toc384383344"/>
      <w:bookmarkStart w:id="51" w:name="_Toc392159312"/>
      <w:bookmarkEnd w:id="48"/>
      <w:bookmarkEnd w:id="49"/>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3.23%</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0"/>
      <w:bookmarkEnd w:id="51"/>
    </w:tbl>
    <w:p w14:paraId="3D5B4A19" w14:textId="77777777" w:rsidR="005B1AC0" w:rsidRDefault="005B1AC0">
      <w:pPr>
        <w:rPr>
          <w:b/>
          <w:color w:val="000000" w:themeColor="text1"/>
        </w:rPr>
      </w:pPr>
    </w:p>
    <w:p w14:paraId="77101B89" w14:textId="27031C24"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 xml:space="preserve">OSSE changed its definition of disproportionate representation to the following: </w:t>
      </w:r>
      <w:r w:rsidRPr="00781112">
        <w:rPr>
          <w:rFonts w:cs="Arial"/>
          <w:color w:val="000000" w:themeColor="text1"/>
          <w:szCs w:val="16"/>
        </w:rPr>
        <w:br/>
      </w:r>
      <w:r w:rsidRPr="00781112">
        <w:rPr>
          <w:rFonts w:cs="Arial"/>
          <w:color w:val="000000" w:themeColor="text1"/>
          <w:szCs w:val="16"/>
        </w:rPr>
        <w:br/>
        <w:t xml:space="preserve">1) OSSE changed its calculation method from a weighted risk ratio to a risk ratio or alternate state risk ratio for indicator 9 using its SY 2021-2022 Enrollment Audit and Child Count data to determine disproportionate representation. The risk ratio compares the chance, or risk, of children of a particular racial/ethnic group being identified for special education with the chance, or risk, of children of all other racial/ethnic groups being identified for special education. </w:t>
      </w:r>
      <w:r w:rsidRPr="00781112">
        <w:rPr>
          <w:rFonts w:cs="Arial"/>
          <w:color w:val="000000" w:themeColor="text1"/>
          <w:szCs w:val="16"/>
        </w:rPr>
        <w:br/>
      </w:r>
      <w:r w:rsidRPr="00781112">
        <w:rPr>
          <w:rFonts w:cs="Arial"/>
          <w:color w:val="000000" w:themeColor="text1"/>
          <w:szCs w:val="16"/>
        </w:rPr>
        <w:br/>
        <w:t xml:space="preserve">As required by OSEP, OSSE reviewed data related to the following required racial/ethnic groups: American Indian or Alaska Native, Asian, Black or African American, Hispanic/Latino, Native Hawaiian or Other Pacific Islander, White, or two or more races. </w:t>
      </w:r>
      <w:r w:rsidRPr="00781112">
        <w:rPr>
          <w:rFonts w:cs="Arial"/>
          <w:color w:val="000000" w:themeColor="text1"/>
          <w:szCs w:val="16"/>
        </w:rPr>
        <w:br/>
      </w:r>
      <w:r w:rsidRPr="00781112">
        <w:rPr>
          <w:rFonts w:cs="Arial"/>
          <w:color w:val="000000" w:themeColor="text1"/>
          <w:szCs w:val="16"/>
        </w:rPr>
        <w:br/>
        <w:t xml:space="preserve">2) The District of Columbia's adopted a risk ratio threshold of five (5) which means that the OSSE will investigate an LEA if a particular racial/ethnic group is more than five (5) times as likely as all other racial/ethnic groups to be identified for special education. </w:t>
      </w:r>
      <w:r w:rsidRPr="00781112">
        <w:rPr>
          <w:rFonts w:cs="Arial"/>
          <w:color w:val="000000" w:themeColor="text1"/>
          <w:szCs w:val="16"/>
        </w:rPr>
        <w:br/>
      </w:r>
      <w:r w:rsidRPr="00781112">
        <w:rPr>
          <w:rFonts w:cs="Arial"/>
          <w:color w:val="000000" w:themeColor="text1"/>
          <w:szCs w:val="16"/>
        </w:rPr>
        <w:br/>
        <w:t xml:space="preserve">3) OSSE is moving towards utilizing multi-year data in the calculation for disproportionate representation. For the 2021-22 school year review, OSSE identified LEAs with significant discrepancy and/or disproportionate representation that consecutively met the criteria for the 2020-2021 and 2021-2022 school years in the same analysis category. Beginning in the 2022-23 school year, OSSE will only flag LEAs identified in the same analysis category for three (3) consecutive years. </w:t>
      </w:r>
      <w:r w:rsidRPr="00781112">
        <w:rPr>
          <w:rFonts w:cs="Arial"/>
          <w:color w:val="000000" w:themeColor="text1"/>
          <w:szCs w:val="16"/>
        </w:rPr>
        <w:br/>
      </w:r>
      <w:r w:rsidRPr="00781112">
        <w:rPr>
          <w:rFonts w:cs="Arial"/>
          <w:color w:val="000000" w:themeColor="text1"/>
          <w:szCs w:val="16"/>
        </w:rPr>
        <w:br/>
        <w:t xml:space="preserve">4) An LEA must have at least ten (10) children from a racial/ethnic group with a disability and 30 enrolled children from a racial/ethnic group to create a calculation. LEAs with fewer than ten (10) children in a disability category and/or 30 in all other enrolled children will have the state denominator used in place of their data, noted as using the alternate risk ratio.  </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For FFY 2021, zero (0) LEAs met the state’s definition of disproportionate representation as it relates to indicator 9.</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lastRenderedPageBreak/>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E87B57D" w14:textId="77777777" w:rsidR="005B1AC0" w:rsidRPr="00781112" w:rsidRDefault="005B1AC0" w:rsidP="00286BDF">
      <w:pPr>
        <w:rPr>
          <w:rFonts w:cs="Arial"/>
          <w:color w:val="000000" w:themeColor="text1"/>
          <w:szCs w:val="16"/>
        </w:rPr>
      </w:pPr>
    </w:p>
    <w:p w14:paraId="307820E6" w14:textId="2418F86F" w:rsidR="00B70FBF" w:rsidRPr="00781112" w:rsidRDefault="009F64D5" w:rsidP="008645AD">
      <w:pPr>
        <w:pStyle w:val="Heading2"/>
      </w:pPr>
      <w:bookmarkStart w:id="58" w:name="_Toc384383349"/>
      <w:bookmarkStart w:id="59"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2.33%</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5.88%</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2.33%</w:t>
            </w:r>
          </w:p>
        </w:tc>
      </w:tr>
      <w:bookmarkEnd w:id="58"/>
      <w:bookmarkEnd w:id="59"/>
    </w:tbl>
    <w:p w14:paraId="1840A66A" w14:textId="77777777" w:rsidR="00BA687C" w:rsidRPr="00781112" w:rsidRDefault="00BA687C" w:rsidP="004369B2">
      <w:pPr>
        <w:rPr>
          <w:color w:val="000000" w:themeColor="text1"/>
        </w:rPr>
      </w:pPr>
    </w:p>
    <w:p w14:paraId="10292046" w14:textId="77777777" w:rsidR="005B1AC0" w:rsidRDefault="005B1AC0" w:rsidP="004369B2">
      <w:pPr>
        <w:rPr>
          <w:b/>
          <w:color w:val="000000" w:themeColor="text1"/>
        </w:rPr>
      </w:pPr>
    </w:p>
    <w:p w14:paraId="618FFFDA" w14:textId="34DCA816"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0" w:name="_Hlk20258880"/>
      <w:r w:rsidRPr="00781112">
        <w:rPr>
          <w:rFonts w:cs="Arial"/>
          <w:color w:val="000000" w:themeColor="text1"/>
          <w:szCs w:val="16"/>
        </w:rPr>
        <w:t>YES</w:t>
      </w:r>
    </w:p>
    <w:bookmarkEnd w:id="60"/>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2.33%</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2.56%</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The District attributes the slippage to a decrease in the number of LEAs included in the denominator. In FFY20, forty-three (43) LEAs were included in the denominator, while in FFY21, only thirty-nine (39) LEAs are included in the denominator. As the District undergoes its transition to a three (3) year methodology, for this year only, LEAs who met the minimum N size for the disability category and ethnicity for two consecutive years were included in the denominator.</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In 2020, OSSE changed its definition of disproportionate representation to the following: </w:t>
      </w:r>
      <w:r w:rsidRPr="00781112">
        <w:rPr>
          <w:rFonts w:cs="Arial"/>
          <w:color w:val="000000" w:themeColor="text1"/>
          <w:szCs w:val="16"/>
        </w:rPr>
        <w:br/>
      </w:r>
      <w:r w:rsidRPr="00781112">
        <w:rPr>
          <w:rFonts w:cs="Arial"/>
          <w:color w:val="000000" w:themeColor="text1"/>
          <w:szCs w:val="16"/>
        </w:rPr>
        <w:br/>
        <w:t>1) OSSE changed its calculation method from a weighted risk ratio to a risk ratio or alternate risk ratio for indicator 10 using its SY 2021-2022 Enrollment Audit and Child Count data to determine disproportionate representation. The risk ratio compares the chance, or risk, of children of a particular racial/ethnic group being identified for special education with the chance, or risk, of children of all other racial/ethnic groups being identified for special education in a specific disability category. As required by OSEP, OSSE reviewed data related to the following required racial/ethnic groups: American Indian or Alaska Native, Asian, Black or African American, Hispanic/Latino, Native Hawaiian or Other Pacific Islander, White, or two or more races.</w:t>
      </w:r>
      <w:r w:rsidRPr="00781112">
        <w:rPr>
          <w:rFonts w:cs="Arial"/>
          <w:color w:val="000000" w:themeColor="text1"/>
          <w:szCs w:val="16"/>
        </w:rPr>
        <w:br/>
      </w:r>
      <w:r w:rsidRPr="00781112">
        <w:rPr>
          <w:rFonts w:cs="Arial"/>
          <w:color w:val="000000" w:themeColor="text1"/>
          <w:szCs w:val="16"/>
        </w:rPr>
        <w:br/>
        <w:t>2) The District of Columbia's adopted a risk ratio threshold of seven (7) which means that the OSSE will investigate an LEA if a particular racial/ethnic group is more than 7 times as likely as all other racial/ethnic groups to be identified for special education in a specific disability category.</w:t>
      </w:r>
      <w:r w:rsidRPr="00781112">
        <w:rPr>
          <w:rFonts w:cs="Arial"/>
          <w:color w:val="000000" w:themeColor="text1"/>
          <w:szCs w:val="16"/>
        </w:rPr>
        <w:br/>
      </w:r>
      <w:r w:rsidRPr="00781112">
        <w:rPr>
          <w:rFonts w:cs="Arial"/>
          <w:color w:val="000000" w:themeColor="text1"/>
          <w:szCs w:val="16"/>
        </w:rPr>
        <w:br/>
        <w:t>3) OSSE is moving towards utilizing multi-year data in the calculation for disproportionate representation. For the 2020-21 school year review, OSSE identified LEAs as having disproportionate representation for the 2020-2021 school year only. For the 2021-22 school year review, OSSE identified LEAs as having disproportionate representation for two (2) consecutive years in the same analysis category. Beginning in the 2022-23 school year, OSSE will only flag LEAs identified in the same analysis category for three (3) consecutive years.</w:t>
      </w:r>
      <w:r w:rsidRPr="00781112">
        <w:rPr>
          <w:rFonts w:cs="Arial"/>
          <w:color w:val="000000" w:themeColor="text1"/>
          <w:szCs w:val="16"/>
        </w:rPr>
        <w:br/>
      </w:r>
      <w:r w:rsidRPr="00781112">
        <w:rPr>
          <w:rFonts w:cs="Arial"/>
          <w:color w:val="000000" w:themeColor="text1"/>
          <w:szCs w:val="16"/>
        </w:rPr>
        <w:br/>
        <w:t>4) An LEA must have at least ten (10) children from a racial/ethnic group in a disability category and 30 enrolled children from a racial/ethnic group to create a calculation. LEAs with fewer than ten (10) children in a disability category and/or 30 in all other enrolled children will have the state denominator used in place of their data, noted as using the alternate risk ratio.</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Step One: Identifying the Number of Districts Identified with Disproportionate Representation  Using the criteria established in the section above, OSSE determined that four (4) of 39 LEAs that met the "n" size and cell size were identified as meeting the data threshold for disproportionate representation in a specific disability category.  </w:t>
      </w:r>
      <w:r w:rsidRPr="00781112">
        <w:rPr>
          <w:rFonts w:cs="Arial"/>
          <w:color w:val="000000" w:themeColor="text1"/>
          <w:szCs w:val="16"/>
        </w:rPr>
        <w:br/>
      </w:r>
      <w:r w:rsidRPr="00781112">
        <w:rPr>
          <w:rFonts w:cs="Arial"/>
          <w:color w:val="000000" w:themeColor="text1"/>
          <w:szCs w:val="16"/>
        </w:rPr>
        <w:br/>
        <w:t xml:space="preserve">Step Two: Determining if Disproportionate Representation is a Result of Inappropriate Identification  For each of the four (4) LEAs that the State identified as having disproportionate representation of racial and ethnic groups in a specific disability category, OSSE required completion of a self-study to determine if the disproportionate representation was a result of inappropriate identification.  </w:t>
      </w:r>
      <w:r w:rsidRPr="00781112">
        <w:rPr>
          <w:rFonts w:cs="Arial"/>
          <w:color w:val="000000" w:themeColor="text1"/>
          <w:szCs w:val="16"/>
        </w:rPr>
        <w:br/>
      </w:r>
      <w:r w:rsidRPr="00781112">
        <w:rPr>
          <w:rFonts w:cs="Arial"/>
          <w:color w:val="000000" w:themeColor="text1"/>
          <w:szCs w:val="16"/>
        </w:rPr>
        <w:br/>
        <w:t xml:space="preserve">As part of this self-study, LEAs must review a specified number of student records (depending on the overall number of students with IEPs at the LEA); and provide existing policies, procedures, and practices documentation to OSSE for comparison with child find, evaluation, and eligibility requirements.  </w:t>
      </w:r>
      <w:r w:rsidRPr="00781112">
        <w:rPr>
          <w:rFonts w:cs="Arial"/>
          <w:color w:val="000000" w:themeColor="text1"/>
          <w:szCs w:val="16"/>
        </w:rPr>
        <w:br/>
      </w:r>
      <w:r w:rsidRPr="00781112">
        <w:rPr>
          <w:rFonts w:cs="Arial"/>
          <w:color w:val="000000" w:themeColor="text1"/>
          <w:szCs w:val="16"/>
        </w:rPr>
        <w:br/>
        <w:t xml:space="preserve">All four (4) LEAs submitted their completed self-studies. OSSE reviewed the results of the self-studies, including reviewing each LEA's child find, </w:t>
      </w:r>
      <w:r w:rsidRPr="00781112">
        <w:rPr>
          <w:rFonts w:cs="Arial"/>
          <w:color w:val="000000" w:themeColor="text1"/>
          <w:szCs w:val="16"/>
        </w:rPr>
        <w:lastRenderedPageBreak/>
        <w:t xml:space="preserve">evaluation, and eligibility policies and practices, and found that one (1) LEA had disproportionate representation as a result of policies, procedures, and practices that did not comply with IDEA requirements. </w:t>
      </w:r>
    </w:p>
    <w:p w14:paraId="1FCF1BF3" w14:textId="77777777" w:rsidR="00DF1529" w:rsidRPr="00781112" w:rsidRDefault="00DF1529" w:rsidP="00DF1529">
      <w:pPr>
        <w:rPr>
          <w:rFonts w:cs="Arial"/>
          <w:b/>
          <w:color w:val="000000" w:themeColor="text1"/>
          <w:szCs w:val="16"/>
        </w:rPr>
      </w:pPr>
      <w:bookmarkStart w:id="61" w:name="_Toc381956338"/>
      <w:bookmarkStart w:id="62" w:name="_Toc384383352"/>
      <w:bookmarkStart w:id="63"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As a result of the noncompliance identified in FFY 2020, OSSE's IDEA Monitoring team required the LEA to submit a Continuous Improvement Plan (CIP) that aligned with the required revisions related to their Disproportionate Representation finding. The CIP was approved by OSSE and closely monitored throughout the school year. In addition to the CIP, OSSE required the LEA to submit two (2) progress reports to their assigned OSSE IDEA monitor on the progress of the CIP's action items.</w:t>
      </w:r>
      <w:r w:rsidRPr="00781112">
        <w:rPr>
          <w:rFonts w:cs="Arial"/>
          <w:color w:val="000000" w:themeColor="text1"/>
          <w:szCs w:val="16"/>
        </w:rPr>
        <w:br/>
      </w:r>
      <w:r w:rsidRPr="00781112">
        <w:rPr>
          <w:rFonts w:cs="Arial"/>
          <w:color w:val="000000" w:themeColor="text1"/>
          <w:szCs w:val="16"/>
        </w:rPr>
        <w:br/>
        <w:t>The LEA had one year to complete each action item in the CIP, including but not limited to revising the specific language and IDEA references in their policies, providing training to staff members on the updated policies, and posting updated policies to the LEA's website. OSSE verified these required actions by reviewing revised policies and LEA websites. Upon completion of the CIP and through subsequent review of data, OSSE found that the LEA now has written policies and procedures that comply with the regulatory requirements.</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The LEA identified in FFY 2020 was required to revise and/or develop written policies and procedures related to the initial evaluation process and measures for determining eligibility and related services.</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DC reported less than 100% compliance for FFY 2020 (greater than 0% actual target data for this indicator), DC must report on the status of correction of noncompliance identified in FFY 2020 for this indicator. DC must demonstrate, in the FFY 2021 SPP/APR, that the district identified in FFY 2020 with disproportionate representation of racial and ethnic groups in specific disability categories that was the result of inappropriate identification is in compliance with the requirements in 34 C.F.R. §§ 300.111, 300.201, and 300.301 through 300.311, including that DC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(greater than 0% actual target data for this indicator), provide an explanation of why DC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DC did not demonstrate that the LEA corrected the findings of noncompliance identified in FFY 2020 because it did not report that it verified correction of those findings, consistent with OSEP Memo 09-02. Specifically, DC did not report that it verified that each LEA with noncompliance identified in FFY 2020 has corrected each individual case of noncompliance, unless the child is no longer within the jurisdiction of the LEA.</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xml:space="preserve">Because DC reported less than 100% compliance for FFY 2021 (greater than 0% actual target data for this indicator), DC must report on the status of correction of noncompliance identified in FFY 2021 for this indicator. DC must demonstrate, in the FFY 2022 SPP/APR, that the one district identified in FFY 2021 with disproportionate representation of racial and ethnic groups in specific disability categories that was the result of inappropriate identification is in compliance with the requirements in 34 C.F.R. §§ 300.111, 300.201, and 300.301 through 300.311.  </w:t>
      </w:r>
      <w:r w:rsidRPr="00781112">
        <w:rPr>
          <w:rFonts w:cs="Arial"/>
          <w:color w:val="000000" w:themeColor="text1"/>
          <w:szCs w:val="16"/>
        </w:rPr>
        <w:br/>
      </w:r>
      <w:r w:rsidRPr="00781112">
        <w:rPr>
          <w:rFonts w:cs="Arial"/>
          <w:color w:val="000000" w:themeColor="text1"/>
          <w:szCs w:val="16"/>
        </w:rPr>
        <w:br/>
        <w:t xml:space="preserve">If DC did not identify any findings of noncompliance in FFY 2021, although its FFY 2021 data reflect less than 100% compliance (greater than 0% actual target data for this indicator), provide an explanation of why the State did not identify any findings of noncompliance in FFY 2021. </w:t>
      </w:r>
      <w:r w:rsidRPr="00781112">
        <w:rPr>
          <w:rFonts w:cs="Arial"/>
          <w:color w:val="000000" w:themeColor="text1"/>
          <w:szCs w:val="16"/>
        </w:rPr>
        <w:br/>
      </w:r>
      <w:r w:rsidRPr="00781112">
        <w:rPr>
          <w:rFonts w:cs="Arial"/>
          <w:color w:val="000000" w:themeColor="text1"/>
          <w:szCs w:val="16"/>
        </w:rPr>
        <w:br/>
        <w:t xml:space="preserve">Further, DC must demonstrate, in the FFY 2022 SPP/APR, that the remaining one district identified in FFY 2020 with disproportionate representation of racial and ethnic groups in specific disability categories that was the result of inappropriate identification, are in compliance with the requirements in 34 </w:t>
      </w:r>
      <w:r w:rsidRPr="00781112">
        <w:rPr>
          <w:rFonts w:cs="Arial"/>
          <w:color w:val="000000" w:themeColor="text1"/>
          <w:szCs w:val="16"/>
        </w:rPr>
        <w:lastRenderedPageBreak/>
        <w:t xml:space="preserve">C.F.R. §§ 300.111, 300.201, and 300.301 through 300.311. </w:t>
      </w:r>
      <w:r w:rsidRPr="00781112">
        <w:rPr>
          <w:rFonts w:cs="Arial"/>
          <w:color w:val="000000" w:themeColor="text1"/>
          <w:szCs w:val="16"/>
        </w:rPr>
        <w:br/>
      </w:r>
      <w:r w:rsidRPr="00781112">
        <w:rPr>
          <w:rFonts w:cs="Arial"/>
          <w:color w:val="000000" w:themeColor="text1"/>
          <w:szCs w:val="16"/>
        </w:rPr>
        <w:br/>
        <w:t>In demonstrating the correction of the noncompliance identified in FFY 2021 and FFY 2020, DC must report, in the FFY 2022 SPP/APR, that DC verified that each district with noncompliance identified in FFY 2021 and each district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DC must describe the specific actions that were taken to verify the correction.</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1"/>
      <w:bookmarkEnd w:id="62"/>
      <w:bookmarkEnd w:id="63"/>
    </w:p>
    <w:p w14:paraId="4F5D642D" w14:textId="77777777" w:rsidR="00E119B0" w:rsidRPr="00781112" w:rsidRDefault="00E119B0" w:rsidP="00A018D4">
      <w:pPr>
        <w:rPr>
          <w:color w:val="000000" w:themeColor="text1"/>
          <w:szCs w:val="20"/>
        </w:rPr>
      </w:pPr>
      <w:bookmarkStart w:id="64" w:name="_Toc384383353"/>
      <w:bookmarkStart w:id="65"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6" w:name="_Toc384383354"/>
      <w:bookmarkStart w:id="67" w:name="_Toc392159322"/>
      <w:bookmarkEnd w:id="64"/>
      <w:bookmarkEnd w:id="65"/>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22.30%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91.07%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92.37%</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86.03%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70.71%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63.09%</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6"/>
    <w:bookmarkEnd w:id="67"/>
    <w:p w14:paraId="5021EBE7" w14:textId="77777777" w:rsidR="005B1AC0" w:rsidRDefault="005B1AC0">
      <w:pPr>
        <w:spacing w:before="0" w:after="200" w:line="276" w:lineRule="auto"/>
        <w:rPr>
          <w:b/>
          <w:color w:val="000000" w:themeColor="text1"/>
        </w:rPr>
      </w:pPr>
      <w:r>
        <w:rPr>
          <w:b/>
          <w:color w:val="000000" w:themeColor="text1"/>
        </w:rPr>
        <w:br w:type="page"/>
      </w:r>
    </w:p>
    <w:p w14:paraId="3FAEB3AB" w14:textId="14C7CD76"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3,019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2,299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63.09%</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76.15%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720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days beyond the 60-day timeline from evaluation ranged from one (1) day to 363 days. There were 141 evaluations delayed due to parental delay. There were 579 evaluations delayed due to the LEA, including delayed action taken related to initial referral and delays in scheduling meetings.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OSSE uses its statewide Special Education Data Systems (SEDS) to collect data for this indicator. Data is collected for the entire reporting year (July 1, 2021 - June 30, 2022) on all children referred for initial evaluation. OSSE reviews data from all LEAs. Following the review of data, OSSE issues findings of noncompliance to each LEA that did not achieve 100% compliance for evaluation timelines. </w:t>
      </w:r>
    </w:p>
    <w:p w14:paraId="4F981BFF" w14:textId="77777777" w:rsidR="00C86164" w:rsidRPr="00781112" w:rsidRDefault="00C86164" w:rsidP="00C86164">
      <w:pPr>
        <w:rPr>
          <w:rFonts w:cs="Arial"/>
          <w:b/>
          <w:color w:val="000000" w:themeColor="text1"/>
          <w:szCs w:val="16"/>
        </w:rPr>
      </w:pPr>
      <w:bookmarkStart w:id="68" w:name="_Toc381956339"/>
      <w:bookmarkStart w:id="69" w:name="_Toc384383357"/>
      <w:bookmarkStart w:id="70"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OSSE has verified that each LEA with findings of noncompliance identified in FFY 2020: (1) is correctly implementing the specific regulatory requirements (i.e., achieved 100% compliance) based on a review of updated data subsequently collected through the State data system; and (2) has corrected each individual case of noncompliance, unless the child is no longer within the jurisdiction of the LEA, consistent with OSEP Memo 09-02. Below are the steps OSSE used to verify correction of noncompliance related to untimely initial evaluations: 1) Each LEA provided evidence of correction of each finding of student-level noncompliance unless the child was no longer within the jurisdiction of the LEA. The student-level corrections were demonstrated when OSSE verified that the student had received the evaluation, although late. 2) In order to ensure that the LEA demonstrated the compliant implementation of the regulatory requirement to conduct initial evaluations in a timely manner, OSSE conducted a subsequent review of the timeliness of initial evaluations for each LEA.</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OSSE verified that each LEA corrected each individual case of noncompliance by verifying the documentation provided by the LEA that an evaluation had been provided for each student unless the student was no longer within the jurisdiction of the LEA. After the state verified that every individual instance of noncompliance was corrected, the state pulled subsequent data to determine whether the LEA was correctly implementing the regulatory requirement to provide a timely evaluation. After correcting each instance of student-level noncompliance, if the LEA demonstrated 100% compliance on the subsequent data pulls, the state closed the findings of noncompliance.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DC reported less than 100% compliance for FFY 2020, DC must report on the status of correction of noncompliance identified in FFY 2020 for this indicator. When reporting on the correction of noncompliance, DC must report, in the FFY 2021 SPP/APR, that it has verified that each LEA with </w:t>
      </w:r>
      <w:r w:rsidRPr="00781112">
        <w:rPr>
          <w:rFonts w:cs="Arial"/>
          <w:color w:val="000000" w:themeColor="text1"/>
          <w:szCs w:val="16"/>
        </w:rPr>
        <w:lastRenderedPageBreak/>
        <w:t>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provide an explanation of why DC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DC reported less than 100% compliance for FFY 2021, DC must report on the status of correction of noncompliance identified in FFY 2021 for this indicator. When reporting on the correction of noncompliance, DC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2021, although its FFY 2021 data reflect less than 100% compliance, provide an explanation of why DC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8"/>
      <w:bookmarkEnd w:id="69"/>
      <w:bookmarkEnd w:id="70"/>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1" w:name="_Toc384383358"/>
      <w:bookmarkStart w:id="72"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3" w:name="_Toc384383359"/>
      <w:bookmarkStart w:id="74" w:name="_Toc392159327"/>
      <w:bookmarkEnd w:id="71"/>
      <w:bookmarkEnd w:id="72"/>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37.00%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3"/>
          <w:bookmarkEnd w:id="74"/>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94.00%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95.33%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98.56%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84.34%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56.21%</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549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129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43</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81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239</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129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142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56.21%</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90.85%</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Thirteen children who were served in Part C and referred in Part B for a Part B eligibility determination did not have an IEP developed and implemented by the child's third birthday. The number of days beyond the child's third birthday was 3 to 300 days, and reasons for delay included delay in evaluations, delay in scheduling meetings, and transfer between LEAs.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5" w:name="_Hlk20318414"/>
      <w:bookmarkEnd w:id="75"/>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State implemented a two-phase plan to collect and report data for this indicator. The first phase included collecting data from Part C data systems and completing a direct pull from Part B data systems.</w:t>
      </w:r>
      <w:r w:rsidRPr="00781112">
        <w:rPr>
          <w:rFonts w:cs="Arial"/>
          <w:color w:val="000000" w:themeColor="text1"/>
          <w:szCs w:val="16"/>
        </w:rPr>
        <w:br/>
      </w:r>
      <w:r w:rsidRPr="00781112">
        <w:rPr>
          <w:rFonts w:cs="Arial"/>
          <w:color w:val="000000" w:themeColor="text1"/>
          <w:szCs w:val="16"/>
        </w:rPr>
        <w:br/>
        <w:t>The second phase included a record review for each of the students who did not have an IEP developed and implemented by their third birthdays, to determine the reason for the delay(s).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State did not meet its target for this indicator. However, the State will continue to engage stakeholders and District staff to implement strategies and provide resources for improving effective Part C to Part B transition.</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In all instances in which OSSE identifies non-compliance, OSSE verifies that the LEA: 1) has corrected each individual case of noncompliance, unless the child is no longer within the jurisdiction of the LEA, consistent with the Department of Education's Office of Special Education Programs (OSEP) Memorandum 09-02, dated October 17, 2008; and 2) is correctly implementing the specific regulatory requirement (i.e., achieved 100% compliance) based on a review of updated data such as data subsequently collected through the data system or an additional review of student files.</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In FFY 2020, OSSE verified one (1) instance of noncompliance for this indicator. OSSE verified in the Special Education Data System (SEDS) that the LEA had developed and implemented IEPs for each student. Each student-level finding was corrected, and OSSE confirmed that 100% compliance was achieved on a subsequent review of data. Upon correcting the initial noncompliance, OSSE reviewed subsequent data to ensure the LEA was correctly implementing the IDEA requirement.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DC reported less than 100% compliance for FFY 2020, DC must report on the status of correction of noncompliance identified in FFY 2020 for this indicator. When reporting on the correction of noncompliance, DC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provide an explanation of why DC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DC reported less than 100% compliance for FFY 2021, DC must report on the status of correction of noncompliance identified in FFY 2021 for this indicator. When reporting on the correction of noncompliance, DC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2021, although its FFY 2021 data reflect less than 100% compliance, provide an explanation of why DC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6" w:name="_Toc384383363"/>
      <w:bookmarkStart w:id="77"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8" w:name="_Toc384383364"/>
      <w:bookmarkStart w:id="79" w:name="_Toc392159332"/>
      <w:bookmarkEnd w:id="76"/>
      <w:bookmarkEnd w:id="77"/>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3.00%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71.00%</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76.00%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76.00%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70.00%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65.00%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8"/>
    <w:bookmarkEnd w:id="79"/>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130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200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65.00%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65.00%</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OSSE has shifted to a weighted data pull approach which reviews secondary transition data for all LEAs serving students 16 years of age and older. This weighted data pull will be based on the number of students ages 16 years and older at each LEA, divided by the total number of students ages 16 and up in DC. The minimum ‘n’ size for each LEA will be five (5) student files.  </w:t>
      </w:r>
      <w:r w:rsidRPr="00781112">
        <w:rPr>
          <w:rFonts w:cs="Arial"/>
          <w:color w:val="000000" w:themeColor="text1"/>
          <w:szCs w:val="16"/>
        </w:rPr>
        <w:br/>
      </w:r>
      <w:r w:rsidRPr="00781112">
        <w:rPr>
          <w:rFonts w:cs="Arial"/>
          <w:color w:val="000000" w:themeColor="text1"/>
          <w:szCs w:val="16"/>
        </w:rPr>
        <w:br/>
        <w:t xml:space="preserve">OSSE is conducting monitoring annually, reviewing a total of 200 selected student transition plans as a sample of all LEAs serving students ages 16 and up for each reporting period. Student file review sampling using this methodology will result in a simultaneous review of 200 total files across Q2 and Q3 (100 per quarter). The revised methodology allows for more frequent touchpoints with LEAs in the area of secondary transition.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Currently, the District is under specific conditions for secondary transition and reviews transition plans for students age 16 and up from all LEAs. In order to maintain consistent data comparisons and appropriately demonstrate progress, OSSE will continue to monitor for students age 16 and up. Additionally, OSSE will continue to provide ongoing training and technical assistance for middle school staff on the secondary transition requirements to prepare LEAs for the changes in OSSE's monitoring of secondary transition to include 14 and 15-year-olds.  </w:t>
      </w:r>
    </w:p>
    <w:p w14:paraId="735DB55A" w14:textId="18C77FF1" w:rsidR="00644AC8" w:rsidRPr="00781112" w:rsidRDefault="00644AC8" w:rsidP="005F442C">
      <w:pPr>
        <w:rPr>
          <w:rFonts w:cs="Arial"/>
          <w:b/>
          <w:color w:val="000000" w:themeColor="text1"/>
          <w:szCs w:val="16"/>
        </w:rPr>
      </w:pPr>
      <w:bookmarkStart w:id="80"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19</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19</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There are no (0) FFY 2020 findings of noncompliance remaining open. </w:t>
      </w:r>
      <w:r w:rsidRPr="00781112">
        <w:rPr>
          <w:rFonts w:cs="Arial"/>
          <w:color w:val="000000" w:themeColor="text1"/>
          <w:szCs w:val="16"/>
        </w:rPr>
        <w:br/>
      </w:r>
      <w:r w:rsidRPr="00781112">
        <w:rPr>
          <w:rFonts w:cs="Arial"/>
          <w:color w:val="000000" w:themeColor="text1"/>
          <w:szCs w:val="16"/>
        </w:rPr>
        <w:br/>
        <w:t xml:space="preserve">The State has verified that each LEA with findings of noncompliance identified in FFY 2020: </w:t>
      </w:r>
      <w:r w:rsidRPr="00781112">
        <w:rPr>
          <w:rFonts w:cs="Arial"/>
          <w:color w:val="000000" w:themeColor="text1"/>
          <w:szCs w:val="16"/>
        </w:rPr>
        <w:br/>
        <w:t xml:space="preserve">(1) is correctly implementing the specific regulatory requirements (i.e., achieved 100% compliance) based on a review of updated data such as data subsequently collected through a State data system; and </w:t>
      </w:r>
      <w:r w:rsidRPr="00781112">
        <w:rPr>
          <w:rFonts w:cs="Arial"/>
          <w:color w:val="000000" w:themeColor="text1"/>
          <w:szCs w:val="16"/>
        </w:rPr>
        <w:br/>
        <w:t xml:space="preserve">(2) has corrected each individual case of noncompliance, unless the child is no longer within the jurisdiction of the LEA, consistent with OSEP Memo 09-02. OSSE requires submission of documentation showing the correction of noncompliance as soon as possible and in no case longer than one year from the notification. </w:t>
      </w:r>
      <w:r w:rsidRPr="00781112">
        <w:rPr>
          <w:rFonts w:cs="Arial"/>
          <w:color w:val="000000" w:themeColor="text1"/>
          <w:szCs w:val="16"/>
        </w:rPr>
        <w:br/>
      </w:r>
      <w:r w:rsidRPr="00781112">
        <w:rPr>
          <w:rFonts w:cs="Arial"/>
          <w:color w:val="000000" w:themeColor="text1"/>
          <w:szCs w:val="16"/>
        </w:rPr>
        <w:br/>
        <w:t xml:space="preserve">OSSE issues findings of noncompliance using the District of Columbia Corrective Action Tracking System (DC CATS). DC CATS allows SEA and LEA staff members to view findings issued, as well as deadlines for correction. LEA staff submit evidence of correction of noncompliance to the DC CATS system. If the LEA’s first submission does not correct noncompliance, OSSE compliance monitors follow-up with the LEA to provide additional technical assistance on the requirements for correction. </w:t>
      </w:r>
      <w:r w:rsidRPr="00781112">
        <w:rPr>
          <w:rFonts w:cs="Arial"/>
          <w:color w:val="000000" w:themeColor="text1"/>
          <w:szCs w:val="16"/>
        </w:rPr>
        <w:br/>
      </w:r>
      <w:r w:rsidRPr="00781112">
        <w:rPr>
          <w:rFonts w:cs="Arial"/>
          <w:color w:val="000000" w:themeColor="text1"/>
          <w:szCs w:val="16"/>
        </w:rPr>
        <w:br/>
        <w:t>After OSSE verifies that the LEA has properly corrected every instance of noncompliance associated with a specific regulatory requirement, OSSE reviews subsequent data from the LEA. OSSE closes the finding(s) of noncompliance when each instance of noncompliance has been corrected, and the LEA is 100% compliant in a subsequent data review.</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For correction of individual student-level noncompliance, OSSE ensured that the LEA corrected each individual case of noncompliance, unless the child is no longer within the jurisdiction of the LEA, by ensuring each LEA had completed the required action (e.g., develop an appropriate measurable postsecondary goal that addresses education or training).   After OSSE verified the correction of individual student-level findings of noncompliance for a specific regulatory requirement, OSSE reviewed subsequent LEA data.  Specifically, OSSE verified the correction of the findings of noncompliance when the LEA demonstrated, in a subsequent record sample, that it had achieved 100% compliance for the regulatory requirement.</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lastRenderedPageBreak/>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DC reported less than 100% compliance for FFY 2020, DC must report on the status of correction of noncompliance identified in FFY 2020 for this indicator. When reporting on the correction of noncompliance, DC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2020, although its FFY 2020 data reflect less than 100% compliance, provide an explanation of why DC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DC reported less than 100% compliance for FFY 2021, DC must report on the status of correction of noncompliance identified in FFY 2021 for this indicator. When reporting on the correction of noncompliance, DC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DC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DC did not identify any findings of noncompliance in FFY 2021, although its FFY 2021 data reflect less than 100% compliance, provide an explanation of why DC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0"/>
    </w:p>
    <w:p w14:paraId="22761492" w14:textId="77777777" w:rsidR="005C50DB" w:rsidRPr="00781112" w:rsidRDefault="005C50DB" w:rsidP="00A018D4">
      <w:pPr>
        <w:rPr>
          <w:szCs w:val="20"/>
        </w:rPr>
      </w:pPr>
      <w:bookmarkStart w:id="81"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2"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2"/>
    <w:p w14:paraId="3FE9961A" w14:textId="1EDBA086" w:rsidR="000301BA" w:rsidRPr="00781112" w:rsidRDefault="00172058" w:rsidP="00123D76">
      <w:pPr>
        <w:pStyle w:val="Heading2"/>
      </w:pPr>
      <w:r w:rsidRPr="00781112">
        <w:t>14 - Indicator Data</w:t>
      </w:r>
    </w:p>
    <w:bookmarkEnd w:id="81"/>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22.00%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20.59%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24.37%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21.95%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17.54%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23.00%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25.62%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29.99%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34.22%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29.08%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22.51%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20.11%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28.00%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30.81%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36.11%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54.86%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44.16%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27.60%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53.97%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24.00%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26.00%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28.00%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32.00%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25.00%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27.00%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29.00%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31.00%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33.00%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30.00%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32.00%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34.00%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36.00%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38.00%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r>
      <w:r w:rsidRPr="00781112">
        <w:rPr>
          <w:rFonts w:cs="Arial"/>
          <w:color w:val="000000" w:themeColor="text1"/>
          <w:szCs w:val="16"/>
        </w:rPr>
        <w:lastRenderedPageBreak/>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3" w:name="_Toc392159337"/>
    </w:p>
    <w:bookmarkEnd w:id="83"/>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777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777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100.00%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221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49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70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221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777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17.54%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28.44%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777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20.11%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34.75%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program; or competitively employed or in some other </w:t>
            </w:r>
            <w:r w:rsidRPr="00781112">
              <w:rPr>
                <w:rFonts w:cs="Arial"/>
                <w:color w:val="000000" w:themeColor="text1"/>
                <w:szCs w:val="16"/>
              </w:rPr>
              <w:lastRenderedPageBreak/>
              <w:t>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347</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777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53.97%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44.66%</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100.00%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100.00%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State has a 100% response rate therefore our data are representative of all leavers.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State has a 100% response rate therefore our data are representative of all leavers.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has a 100% response rate therefore our data are representative of all leavers.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4" w:name="_Toc382082390"/>
      <w:bookmarkStart w:id="85"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4"/>
      <w:bookmarkEnd w:id="85"/>
    </w:p>
    <w:p w14:paraId="7EA31497" w14:textId="77777777" w:rsidR="005B0B58" w:rsidRPr="00781112" w:rsidRDefault="005B0B58" w:rsidP="00A018D4">
      <w:pPr>
        <w:rPr>
          <w:color w:val="000000" w:themeColor="text1"/>
          <w:szCs w:val="20"/>
        </w:rPr>
      </w:pPr>
      <w:bookmarkStart w:id="86" w:name="_Toc381786822"/>
      <w:bookmarkStart w:id="87" w:name="_Toc382731911"/>
      <w:bookmarkStart w:id="88" w:name="_Toc382731912"/>
      <w:bookmarkStart w:id="89" w:name="_Toc392159340"/>
      <w:bookmarkEnd w:id="86"/>
      <w:bookmarkEnd w:id="87"/>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8"/>
    <w:bookmarkEnd w:id="89"/>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175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bl>
    <w:p w14:paraId="162CEFB3" w14:textId="55A4ED3A" w:rsidR="004A33CD" w:rsidRPr="00781112" w:rsidRDefault="00E31E29">
      <w:pPr>
        <w:rPr>
          <w:b/>
          <w:color w:val="000000" w:themeColor="text1"/>
        </w:rPr>
      </w:pPr>
      <w:bookmarkStart w:id="90" w:name="_Toc382731913"/>
      <w:bookmarkStart w:id="91"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 xml:space="preserve">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w:t>
      </w:r>
      <w:r w:rsidRPr="00781112">
        <w:rPr>
          <w:rFonts w:cs="Arial"/>
          <w:color w:val="000000" w:themeColor="text1"/>
          <w:szCs w:val="16"/>
        </w:rPr>
        <w:lastRenderedPageBreak/>
        <w:t>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43B1695A" w14:textId="2970A905" w:rsidR="000A2C83" w:rsidRPr="00781112" w:rsidRDefault="000A2C83" w:rsidP="000A2C83">
      <w:pPr>
        <w:rPr>
          <w:rFonts w:cs="Arial"/>
          <w:color w:val="000000" w:themeColor="text1"/>
          <w:szCs w:val="16"/>
        </w:rPr>
      </w:pPr>
    </w:p>
    <w:bookmarkEnd w:id="90"/>
    <w:bookmarkEnd w:id="91"/>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27.00% - 42.00%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29.00% - 44.00%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31.00% - 46.00%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31.00%-46.00%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12.00%-15.00%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17.57%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17.65%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12.44%</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2.70%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12.00%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15.00%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12.00%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15.00%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12.00%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15.00%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12.00%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15.00%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12.00%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15.00%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2.70%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12.00%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15.00%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 xml:space="preserve">Reason - The District experiences a high rate of settlements resolving complaints prior to going to hearing. Failure to meet the target continues to be accounted for by the vast majority of settlements being reached outside of the measurement period. The existing measurement period excludes settlement agreements reached prior to hearing, but not at a resolution session. </w:t>
      </w:r>
      <w:r w:rsidRPr="00781112">
        <w:rPr>
          <w:rFonts w:cs="Arial"/>
          <w:color w:val="000000" w:themeColor="text1"/>
          <w:szCs w:val="16"/>
        </w:rPr>
        <w:br/>
      </w:r>
      <w:r w:rsidRPr="00781112">
        <w:rPr>
          <w:rFonts w:cs="Arial"/>
          <w:color w:val="000000" w:themeColor="text1"/>
          <w:szCs w:val="16"/>
        </w:rPr>
        <w:br/>
        <w:t>Agency Initiatives - OSSE is convening a cross-agency working group, including participation from OSSE’s Office of Dispute Resolution, to design and implement strategies to address performance metrics and strategize program improvements. This includes program improvements related to dispute resolution activities.</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2" w:name="_Toc382731916"/>
      <w:bookmarkStart w:id="93"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2"/>
    <w:bookmarkEnd w:id="93"/>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9</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When soliciting stakeholder feedback on the District's targets for FFY 2020-25:</w:t>
      </w:r>
      <w:r w:rsidRPr="00781112">
        <w:rPr>
          <w:rFonts w:cs="Arial"/>
          <w:color w:val="000000" w:themeColor="text1"/>
          <w:szCs w:val="16"/>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rFonts w:cs="Arial"/>
          <w:color w:val="000000" w:themeColor="text1"/>
          <w:szCs w:val="16"/>
        </w:rPr>
        <w:br/>
        <w:t>2. Subject matter experts identified appropriate baseline data for each APR indicator, proposed targets, and a rationale for each.</w:t>
      </w:r>
      <w:r w:rsidRPr="00781112">
        <w:rPr>
          <w:rFonts w:cs="Arial"/>
          <w:color w:val="000000" w:themeColor="text1"/>
          <w:szCs w:val="16"/>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rFonts w:cs="Arial"/>
          <w:color w:val="000000" w:themeColor="text1"/>
          <w:szCs w:val="16"/>
        </w:rPr>
        <w:br/>
        <w:t>4. OSSE subject matter experts reviewed all stakeholder questions and comments and consulted with State leadership to revise baselines and targets as appropriate.</w:t>
      </w:r>
      <w:r w:rsidRPr="00781112">
        <w:rPr>
          <w:rFonts w:cs="Arial"/>
          <w:color w:val="000000" w:themeColor="text1"/>
          <w:szCs w:val="16"/>
        </w:rPr>
        <w:br/>
        <w:t>5. External Stakeholder Feedback Round 2: OSSE created a draft SPP/APR Resource Guide with proposed baselines and targets. The Resource Guide was distributed to its SAPSE, local advocacy groups, and its LEAs with requests for feedback.</w:t>
      </w:r>
      <w:r w:rsidRPr="00781112">
        <w:rPr>
          <w:rFonts w:cs="Arial"/>
          <w:color w:val="000000" w:themeColor="text1"/>
          <w:szCs w:val="16"/>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rFonts w:cs="Arial"/>
          <w:color w:val="000000" w:themeColor="text1"/>
          <w:szCs w:val="16"/>
        </w:rPr>
        <w:br/>
        <w:t>7. OSSE subject matter experts reviewed all additional stakeholder questions and comments and consulted with State leadership to finalize baselines and targets as appropriate.</w:t>
      </w:r>
      <w:r w:rsidRPr="00781112">
        <w:rPr>
          <w:rFonts w:cs="Arial"/>
          <w:color w:val="000000" w:themeColor="text1"/>
          <w:szCs w:val="16"/>
        </w:rPr>
        <w:br/>
      </w:r>
      <w:r w:rsidRPr="00781112">
        <w:rPr>
          <w:rFonts w:cs="Arial"/>
          <w:color w:val="000000" w:themeColor="text1"/>
          <w:szCs w:val="16"/>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rFonts w:cs="Arial"/>
          <w:color w:val="000000" w:themeColor="text1"/>
          <w:szCs w:val="16"/>
        </w:rPr>
        <w:br/>
      </w:r>
      <w:r w:rsidRPr="00781112">
        <w:rPr>
          <w:rFonts w:cs="Arial"/>
          <w:color w:val="000000" w:themeColor="text1"/>
          <w:szCs w:val="16"/>
        </w:rPr>
        <w:br/>
        <w:t xml:space="preserve">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w:t>
      </w:r>
      <w:r w:rsidRPr="00781112">
        <w:rPr>
          <w:rFonts w:cs="Arial"/>
          <w:color w:val="000000" w:themeColor="text1"/>
          <w:szCs w:val="16"/>
        </w:rPr>
        <w:lastRenderedPageBreak/>
        <w:t>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23.10%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66.00% - 81.00%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68.00% - 83.00%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70.00%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70.00%-85.00%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57.00%-60.00%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68.42%</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52.17%</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57.14%</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91.67%</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57.00%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57.00%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57.00%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57.00%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57.00%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60.00%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91.67%</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District of Columbia will improve early literacy outcomes for preschool students with disabilities. </w:t>
      </w:r>
    </w:p>
    <w:p w14:paraId="43CABCA3" w14:textId="77777777" w:rsidR="00AE1972" w:rsidRPr="00781112" w:rsidRDefault="00AE1972" w:rsidP="00AE1972">
      <w:pPr>
        <w:rPr>
          <w:b/>
          <w:bCs/>
        </w:rPr>
      </w:pPr>
      <w:bookmarkStart w:id="94" w:name="_Hlk85195358"/>
      <w:r w:rsidRPr="00781112">
        <w:rPr>
          <w:b/>
          <w:bCs/>
        </w:rPr>
        <w:t>Has the SiMR changed since the last SSIP submission? (yes/no)</w:t>
      </w:r>
    </w:p>
    <w:p w14:paraId="53B392AE" w14:textId="5D60E4A2" w:rsidR="00AE1972" w:rsidRDefault="00AE1972" w:rsidP="00AE1972">
      <w:r w:rsidRPr="00781112">
        <w:t>NO</w:t>
      </w:r>
    </w:p>
    <w:bookmarkEnd w:id="94"/>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https://osse.dc.gov/sites/default/files/dc/sites/osse/service_content/attachments/DC%20SSIP%20Theory%20of%20Action%20-%20FFY20-25.pdf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YES</w:t>
      </w:r>
    </w:p>
    <w:p w14:paraId="27ED1C90" w14:textId="77777777" w:rsidR="00AE1972" w:rsidRPr="00781112" w:rsidRDefault="00AE1972" w:rsidP="00AE1972"/>
    <w:p w14:paraId="5C8649EF" w14:textId="58A01EAB" w:rsidR="00AE1972" w:rsidRPr="00781112" w:rsidRDefault="00AE1972" w:rsidP="00AE1972">
      <w:r w:rsidRPr="00781112">
        <w:rPr>
          <w:rFonts w:cs="Arial"/>
          <w:b/>
          <w:color w:val="000000" w:themeColor="text1"/>
          <w:szCs w:val="16"/>
        </w:rPr>
        <w:t>Historical Data</w:t>
      </w:r>
    </w:p>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17MTBASELINEDATA"/>
      </w:tblPr>
      <w:tblGrid>
        <w:gridCol w:w="1524"/>
        <w:gridCol w:w="2161"/>
        <w:gridCol w:w="2161"/>
      </w:tblGrid>
      <w:tr w:rsidR="00AE1972" w:rsidRPr="00781112" w14:paraId="4FFFD275" w14:textId="77777777" w:rsidTr="00597BC3">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26CF4A6A"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79669042"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6EB92651" w14:textId="77777777" w:rsidR="00AE1972" w:rsidRPr="00781112" w:rsidRDefault="00AE1972" w:rsidP="00FE5C1F">
            <w:pPr>
              <w:spacing w:line="276" w:lineRule="auto"/>
              <w:jc w:val="center"/>
              <w:rPr>
                <w:rFonts w:cs="Arial"/>
                <w:b/>
                <w:color w:val="000000" w:themeColor="text1"/>
                <w:szCs w:val="16"/>
              </w:rPr>
            </w:pPr>
            <w:r w:rsidRPr="00781112">
              <w:rPr>
                <w:rFonts w:cs="Arial"/>
                <w:b/>
                <w:color w:val="000000" w:themeColor="text1"/>
                <w:szCs w:val="16"/>
              </w:rPr>
              <w:t>Baseline Data</w:t>
            </w:r>
          </w:p>
        </w:tc>
      </w:tr>
      <w:tr w:rsidR="00AE1972" w:rsidRPr="00781112" w14:paraId="450EB0D7" w14:textId="77777777" w:rsidTr="00597BC3">
        <w:trPr>
          <w:trHeight w:val="70"/>
        </w:trPr>
        <w:tc>
          <w:tcPr>
            <w:tcW w:w="1303" w:type="pct"/>
            <w:tcBorders>
              <w:top w:val="single" w:sz="4" w:space="0" w:color="auto"/>
              <w:left w:val="single" w:sz="4" w:space="0" w:color="auto"/>
              <w:right w:val="single" w:sz="4" w:space="0" w:color="auto"/>
            </w:tcBorders>
            <w:shd w:val="clear" w:color="auto" w:fill="auto"/>
            <w:vAlign w:val="center"/>
          </w:tcPr>
          <w:p w14:paraId="2439B509"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54E2EEA3" w14:textId="4F041C01" w:rsidR="00AE1972" w:rsidRPr="00781112" w:rsidRDefault="00AE1972" w:rsidP="00FE5C1F">
            <w:pPr>
              <w:jc w:val="center"/>
              <w:rPr>
                <w:rFonts w:cs="Arial"/>
                <w:color w:val="000000" w:themeColor="text1"/>
                <w:szCs w:val="16"/>
              </w:rPr>
            </w:pPr>
            <w:r w:rsidRPr="00781112">
              <w:rPr>
                <w:rFonts w:cs="Arial"/>
                <w:color w:val="000000" w:themeColor="text1"/>
                <w:szCs w:val="16"/>
              </w:rPr>
              <w:t>FFY19/ SY 19-20</w:t>
            </w:r>
          </w:p>
        </w:tc>
        <w:tc>
          <w:tcPr>
            <w:tcW w:w="1848" w:type="pct"/>
            <w:tcBorders>
              <w:top w:val="single" w:sz="4" w:space="0" w:color="auto"/>
              <w:left w:val="single" w:sz="4" w:space="0" w:color="auto"/>
              <w:right w:val="single" w:sz="4" w:space="0" w:color="auto"/>
            </w:tcBorders>
          </w:tcPr>
          <w:p w14:paraId="20E9D149" w14:textId="565FB9C8" w:rsidR="00AE1972" w:rsidRPr="00781112" w:rsidRDefault="00AE1972" w:rsidP="00FE5C1F">
            <w:pPr>
              <w:jc w:val="center"/>
              <w:rPr>
                <w:rFonts w:cs="Arial"/>
                <w:color w:val="000000" w:themeColor="text1"/>
                <w:szCs w:val="16"/>
              </w:rPr>
            </w:pPr>
            <w:r w:rsidRPr="00781112">
              <w:rPr>
                <w:rFonts w:cs="Arial"/>
                <w:color w:val="000000" w:themeColor="text1"/>
                <w:szCs w:val="16"/>
              </w:rPr>
              <w:t>76.43%</w:t>
            </w:r>
          </w:p>
        </w:tc>
      </w:tr>
      <w:tr w:rsidR="00AE1972" w:rsidRPr="00781112" w14:paraId="65F4D3B4" w14:textId="77777777" w:rsidTr="00597BC3">
        <w:trPr>
          <w:trHeight w:val="215"/>
        </w:trPr>
        <w:tc>
          <w:tcPr>
            <w:tcW w:w="1303" w:type="pct"/>
            <w:tcBorders>
              <w:top w:val="single" w:sz="4" w:space="0" w:color="auto"/>
              <w:left w:val="single" w:sz="4" w:space="0" w:color="auto"/>
              <w:right w:val="single" w:sz="4" w:space="0" w:color="auto"/>
            </w:tcBorders>
            <w:shd w:val="clear" w:color="auto" w:fill="auto"/>
            <w:vAlign w:val="center"/>
          </w:tcPr>
          <w:p w14:paraId="5FA30158" w14:textId="77777777" w:rsidR="00AE1972" w:rsidRPr="00781112" w:rsidRDefault="00AE1972" w:rsidP="00FE5C1F">
            <w:pPr>
              <w:spacing w:line="276" w:lineRule="auto"/>
              <w:jc w:val="center"/>
              <w:rPr>
                <w:rFonts w:cs="Arial"/>
                <w:color w:val="000000" w:themeColor="text1"/>
                <w:szCs w:val="16"/>
              </w:rPr>
            </w:pPr>
            <w:r w:rsidRPr="00781112">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0B7773A0" w14:textId="5B0448DF" w:rsidR="00AE1972" w:rsidRPr="00781112" w:rsidRDefault="00AE1972" w:rsidP="00FE5C1F">
            <w:pPr>
              <w:jc w:val="center"/>
              <w:rPr>
                <w:rFonts w:cs="Arial"/>
                <w:color w:val="000000" w:themeColor="text1"/>
                <w:szCs w:val="16"/>
              </w:rPr>
            </w:pPr>
            <w:r w:rsidRPr="00781112">
              <w:rPr>
                <w:rFonts w:cs="Arial"/>
                <w:color w:val="000000" w:themeColor="text1"/>
                <w:szCs w:val="16"/>
              </w:rPr>
              <w:t>FFY19/ SY 19-20</w:t>
            </w:r>
          </w:p>
        </w:tc>
        <w:tc>
          <w:tcPr>
            <w:tcW w:w="1848" w:type="pct"/>
            <w:tcBorders>
              <w:top w:val="single" w:sz="4" w:space="0" w:color="auto"/>
              <w:left w:val="single" w:sz="4" w:space="0" w:color="auto"/>
              <w:right w:val="single" w:sz="4" w:space="0" w:color="auto"/>
            </w:tcBorders>
          </w:tcPr>
          <w:p w14:paraId="009B6EC3" w14:textId="351C44E1" w:rsidR="00AE1972" w:rsidRPr="00781112" w:rsidRDefault="00AE1972" w:rsidP="00FE5C1F">
            <w:pPr>
              <w:jc w:val="center"/>
              <w:rPr>
                <w:rFonts w:cs="Arial"/>
                <w:color w:val="000000" w:themeColor="text1"/>
                <w:szCs w:val="16"/>
              </w:rPr>
            </w:pPr>
            <w:r w:rsidRPr="00781112">
              <w:rPr>
                <w:rFonts w:cs="Arial"/>
                <w:color w:val="000000" w:themeColor="text1"/>
                <w:szCs w:val="16"/>
              </w:rPr>
              <w:t>64.90%</w:t>
            </w:r>
          </w:p>
        </w:tc>
      </w:tr>
    </w:tbl>
    <w:p w14:paraId="7C6A8850" w14:textId="77777777" w:rsidR="00AE1972" w:rsidRPr="00781112" w:rsidRDefault="00AE1972" w:rsidP="00AE1972"/>
    <w:p w14:paraId="1DFC6E42" w14:textId="77777777" w:rsidR="00AE1972" w:rsidRPr="00781112" w:rsidRDefault="00AE1972" w:rsidP="00AE197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TARGETS"/>
      </w:tblPr>
      <w:tblGrid>
        <w:gridCol w:w="673"/>
        <w:gridCol w:w="1691"/>
        <w:gridCol w:w="1691"/>
        <w:gridCol w:w="1691"/>
        <w:gridCol w:w="1691"/>
        <w:gridCol w:w="1691"/>
      </w:tblGrid>
      <w:tr w:rsidR="00B14519" w:rsidRPr="00781112" w14:paraId="658A288E" w14:textId="77777777" w:rsidTr="00451D7E">
        <w:trPr>
          <w:trHeight w:val="264"/>
        </w:trPr>
        <w:tc>
          <w:tcPr>
            <w:tcW w:w="369" w:type="pct"/>
            <w:tcBorders>
              <w:bottom w:val="single" w:sz="4" w:space="0" w:color="auto"/>
            </w:tcBorders>
            <w:shd w:val="clear" w:color="auto" w:fill="auto"/>
          </w:tcPr>
          <w:p w14:paraId="781EA3ED" w14:textId="77777777" w:rsidR="00B14519" w:rsidRPr="00781112" w:rsidRDefault="00B14519" w:rsidP="00FE5C1F">
            <w:pPr>
              <w:jc w:val="center"/>
              <w:rPr>
                <w:b/>
                <w:color w:val="000000" w:themeColor="text1"/>
              </w:rPr>
            </w:pPr>
            <w:r w:rsidRPr="00781112">
              <w:rPr>
                <w:b/>
                <w:color w:val="000000" w:themeColor="text1"/>
              </w:rPr>
              <w:t>FFY</w:t>
            </w:r>
          </w:p>
        </w:tc>
        <w:tc>
          <w:tcPr>
            <w:tcW w:w="926" w:type="pct"/>
            <w:shd w:val="clear" w:color="auto" w:fill="auto"/>
          </w:tcPr>
          <w:p w14:paraId="4A83C604" w14:textId="6F2ED2FF" w:rsidR="00B14519" w:rsidRPr="00781112" w:rsidRDefault="00B14519" w:rsidP="00FE5C1F">
            <w:pPr>
              <w:jc w:val="center"/>
              <w:rPr>
                <w:b/>
                <w:color w:val="000000" w:themeColor="text1"/>
              </w:rPr>
            </w:pPr>
            <w:r w:rsidRPr="00781112">
              <w:rPr>
                <w:b/>
                <w:color w:val="000000" w:themeColor="text1"/>
              </w:rPr>
              <w:t>2021</w:t>
            </w:r>
          </w:p>
        </w:tc>
        <w:tc>
          <w:tcPr>
            <w:tcW w:w="926" w:type="pct"/>
          </w:tcPr>
          <w:p w14:paraId="3C50584D" w14:textId="77777777" w:rsidR="00B14519" w:rsidRPr="00781112" w:rsidRDefault="00B14519" w:rsidP="00FE5C1F">
            <w:pPr>
              <w:jc w:val="center"/>
              <w:rPr>
                <w:b/>
                <w:color w:val="000000" w:themeColor="text1"/>
              </w:rPr>
            </w:pPr>
            <w:r w:rsidRPr="00781112">
              <w:rPr>
                <w:rFonts w:cs="Arial"/>
                <w:b/>
                <w:color w:val="000000" w:themeColor="text1"/>
                <w:szCs w:val="16"/>
              </w:rPr>
              <w:t>2022</w:t>
            </w:r>
          </w:p>
        </w:tc>
        <w:tc>
          <w:tcPr>
            <w:tcW w:w="926" w:type="pct"/>
          </w:tcPr>
          <w:p w14:paraId="71585B6F" w14:textId="77777777" w:rsidR="00B14519" w:rsidRPr="00781112" w:rsidRDefault="00B14519" w:rsidP="00FE5C1F">
            <w:pPr>
              <w:jc w:val="center"/>
              <w:rPr>
                <w:b/>
                <w:color w:val="000000" w:themeColor="text1"/>
              </w:rPr>
            </w:pPr>
            <w:r w:rsidRPr="00781112">
              <w:rPr>
                <w:rFonts w:cs="Arial"/>
                <w:b/>
                <w:color w:val="000000" w:themeColor="text1"/>
                <w:szCs w:val="16"/>
              </w:rPr>
              <w:t>2023</w:t>
            </w:r>
          </w:p>
        </w:tc>
        <w:tc>
          <w:tcPr>
            <w:tcW w:w="926" w:type="pct"/>
          </w:tcPr>
          <w:p w14:paraId="65B8ACE1" w14:textId="77777777" w:rsidR="00B14519" w:rsidRPr="00781112" w:rsidRDefault="00B14519" w:rsidP="00FE5C1F">
            <w:pPr>
              <w:jc w:val="center"/>
              <w:rPr>
                <w:b/>
                <w:color w:val="000000" w:themeColor="text1"/>
              </w:rPr>
            </w:pPr>
            <w:r w:rsidRPr="00781112">
              <w:rPr>
                <w:rFonts w:cs="Arial"/>
                <w:b/>
                <w:color w:val="000000" w:themeColor="text1"/>
                <w:szCs w:val="16"/>
              </w:rPr>
              <w:t>2024</w:t>
            </w:r>
          </w:p>
        </w:tc>
        <w:tc>
          <w:tcPr>
            <w:tcW w:w="926" w:type="pct"/>
          </w:tcPr>
          <w:p w14:paraId="78CD21CE" w14:textId="77777777" w:rsidR="00B14519" w:rsidRPr="00781112" w:rsidRDefault="00B14519" w:rsidP="00FE5C1F">
            <w:pPr>
              <w:jc w:val="center"/>
              <w:rPr>
                <w:b/>
                <w:color w:val="000000" w:themeColor="text1"/>
              </w:rPr>
            </w:pPr>
            <w:r w:rsidRPr="00781112">
              <w:rPr>
                <w:rFonts w:cs="Arial"/>
                <w:b/>
                <w:color w:val="000000" w:themeColor="text1"/>
                <w:szCs w:val="16"/>
              </w:rPr>
              <w:t>2025</w:t>
            </w:r>
          </w:p>
        </w:tc>
      </w:tr>
      <w:tr w:rsidR="00B14519" w:rsidRPr="00781112" w14:paraId="63854A2D" w14:textId="77777777" w:rsidTr="00451D7E">
        <w:trPr>
          <w:trHeight w:val="270"/>
        </w:trPr>
        <w:tc>
          <w:tcPr>
            <w:tcW w:w="369" w:type="pct"/>
            <w:shd w:val="clear" w:color="auto" w:fill="auto"/>
            <w:vAlign w:val="center"/>
          </w:tcPr>
          <w:p w14:paraId="0042B651" w14:textId="77777777" w:rsidR="00B14519" w:rsidRPr="00781112" w:rsidRDefault="00B14519" w:rsidP="00FE5C1F">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1A58F607" w14:textId="30D99D5F" w:rsidR="00B14519" w:rsidRPr="00781112" w:rsidRDefault="00B14519" w:rsidP="00FE5C1F">
            <w:pPr>
              <w:jc w:val="center"/>
              <w:rPr>
                <w:rFonts w:cs="Arial"/>
                <w:color w:val="000000" w:themeColor="text1"/>
                <w:szCs w:val="16"/>
              </w:rPr>
            </w:pPr>
            <w:r w:rsidRPr="00781112">
              <w:rPr>
                <w:rFonts w:cs="Arial"/>
                <w:color w:val="000000" w:themeColor="text1"/>
                <w:szCs w:val="16"/>
              </w:rPr>
              <w:t>87.00%</w:t>
            </w:r>
          </w:p>
        </w:tc>
        <w:tc>
          <w:tcPr>
            <w:tcW w:w="926" w:type="pct"/>
          </w:tcPr>
          <w:p w14:paraId="61E331A6" w14:textId="1E6DE337" w:rsidR="00B14519" w:rsidRPr="00781112" w:rsidRDefault="00B14519" w:rsidP="00FE5C1F">
            <w:pPr>
              <w:jc w:val="center"/>
              <w:rPr>
                <w:rFonts w:cs="Arial"/>
                <w:color w:val="000000" w:themeColor="text1"/>
                <w:szCs w:val="16"/>
              </w:rPr>
            </w:pPr>
            <w:r w:rsidRPr="00781112">
              <w:rPr>
                <w:color w:val="000000" w:themeColor="text1"/>
                <w:szCs w:val="16"/>
              </w:rPr>
              <w:t>87.00%</w:t>
            </w:r>
          </w:p>
        </w:tc>
        <w:tc>
          <w:tcPr>
            <w:tcW w:w="926" w:type="pct"/>
          </w:tcPr>
          <w:p w14:paraId="63F4A3F8" w14:textId="7409EC60" w:rsidR="00B14519" w:rsidRPr="00781112" w:rsidRDefault="00B14519" w:rsidP="00FE5C1F">
            <w:pPr>
              <w:jc w:val="center"/>
              <w:rPr>
                <w:rFonts w:cs="Arial"/>
                <w:color w:val="000000" w:themeColor="text1"/>
                <w:szCs w:val="16"/>
              </w:rPr>
            </w:pPr>
            <w:r w:rsidRPr="00781112">
              <w:rPr>
                <w:color w:val="000000" w:themeColor="text1"/>
                <w:szCs w:val="16"/>
              </w:rPr>
              <w:t>87.00%</w:t>
            </w:r>
          </w:p>
        </w:tc>
        <w:tc>
          <w:tcPr>
            <w:tcW w:w="926" w:type="pct"/>
          </w:tcPr>
          <w:p w14:paraId="3B435E60" w14:textId="03BBC20E" w:rsidR="00B14519" w:rsidRPr="00781112" w:rsidRDefault="00B14519" w:rsidP="00FE5C1F">
            <w:pPr>
              <w:jc w:val="center"/>
              <w:rPr>
                <w:rFonts w:cs="Arial"/>
                <w:color w:val="000000" w:themeColor="text1"/>
                <w:szCs w:val="16"/>
              </w:rPr>
            </w:pPr>
            <w:r w:rsidRPr="00781112">
              <w:rPr>
                <w:color w:val="000000" w:themeColor="text1"/>
                <w:szCs w:val="16"/>
              </w:rPr>
              <w:t>87.00%</w:t>
            </w:r>
          </w:p>
        </w:tc>
        <w:tc>
          <w:tcPr>
            <w:tcW w:w="926" w:type="pct"/>
          </w:tcPr>
          <w:p w14:paraId="22885754" w14:textId="6ECE58B2" w:rsidR="00B14519" w:rsidRPr="00781112" w:rsidRDefault="00B14519" w:rsidP="00FE5C1F">
            <w:pPr>
              <w:jc w:val="center"/>
              <w:rPr>
                <w:rFonts w:cs="Arial"/>
                <w:color w:val="000000" w:themeColor="text1"/>
                <w:szCs w:val="16"/>
              </w:rPr>
            </w:pPr>
            <w:r w:rsidRPr="00781112">
              <w:rPr>
                <w:color w:val="000000" w:themeColor="text1"/>
                <w:szCs w:val="16"/>
              </w:rPr>
              <w:t>87.00%</w:t>
            </w:r>
          </w:p>
        </w:tc>
      </w:tr>
      <w:tr w:rsidR="00B14519" w:rsidRPr="00781112" w14:paraId="2372A3F7" w14:textId="77777777" w:rsidTr="00451D7E">
        <w:trPr>
          <w:trHeight w:val="270"/>
        </w:trPr>
        <w:tc>
          <w:tcPr>
            <w:tcW w:w="369" w:type="pct"/>
            <w:shd w:val="clear" w:color="auto" w:fill="auto"/>
            <w:vAlign w:val="center"/>
          </w:tcPr>
          <w:p w14:paraId="0B7B825B" w14:textId="77777777" w:rsidR="00B14519" w:rsidRPr="00781112" w:rsidRDefault="00B14519" w:rsidP="00FE5C1F">
            <w:pPr>
              <w:rPr>
                <w:rFonts w:cs="Arial"/>
                <w:color w:val="000000" w:themeColor="text1"/>
                <w:szCs w:val="16"/>
              </w:rPr>
            </w:pPr>
            <w:r w:rsidRPr="00781112">
              <w:rPr>
                <w:rFonts w:cs="Arial"/>
                <w:color w:val="000000" w:themeColor="text1"/>
                <w:szCs w:val="16"/>
              </w:rPr>
              <w:t>Target B &gt;=</w:t>
            </w:r>
          </w:p>
        </w:tc>
        <w:tc>
          <w:tcPr>
            <w:tcW w:w="926" w:type="pct"/>
            <w:shd w:val="clear" w:color="auto" w:fill="auto"/>
            <w:vAlign w:val="center"/>
          </w:tcPr>
          <w:p w14:paraId="1C44A704" w14:textId="436B0D72" w:rsidR="00B14519" w:rsidRPr="00781112" w:rsidRDefault="00B14519" w:rsidP="00FE5C1F">
            <w:pPr>
              <w:jc w:val="center"/>
              <w:rPr>
                <w:rFonts w:cs="Arial"/>
                <w:color w:val="000000" w:themeColor="text1"/>
                <w:szCs w:val="16"/>
              </w:rPr>
            </w:pPr>
            <w:r w:rsidRPr="00781112">
              <w:rPr>
                <w:rFonts w:cs="Arial"/>
                <w:color w:val="000000" w:themeColor="text1"/>
                <w:szCs w:val="16"/>
              </w:rPr>
              <w:t>68.00%</w:t>
            </w:r>
          </w:p>
        </w:tc>
        <w:tc>
          <w:tcPr>
            <w:tcW w:w="926" w:type="pct"/>
          </w:tcPr>
          <w:p w14:paraId="10C802A6" w14:textId="13443E33" w:rsidR="00B14519" w:rsidRPr="00781112" w:rsidRDefault="00B14519" w:rsidP="00FE5C1F">
            <w:pPr>
              <w:jc w:val="center"/>
              <w:rPr>
                <w:color w:val="000000" w:themeColor="text1"/>
                <w:szCs w:val="16"/>
              </w:rPr>
            </w:pPr>
            <w:r w:rsidRPr="00781112">
              <w:rPr>
                <w:color w:val="000000" w:themeColor="text1"/>
                <w:szCs w:val="16"/>
              </w:rPr>
              <w:t>68.00%</w:t>
            </w:r>
          </w:p>
        </w:tc>
        <w:tc>
          <w:tcPr>
            <w:tcW w:w="926" w:type="pct"/>
          </w:tcPr>
          <w:p w14:paraId="641A44A3" w14:textId="3BB61435" w:rsidR="00B14519" w:rsidRPr="00781112" w:rsidRDefault="00B14519" w:rsidP="00FE5C1F">
            <w:pPr>
              <w:jc w:val="center"/>
              <w:rPr>
                <w:color w:val="000000" w:themeColor="text1"/>
                <w:szCs w:val="16"/>
              </w:rPr>
            </w:pPr>
            <w:r w:rsidRPr="00781112">
              <w:rPr>
                <w:color w:val="000000" w:themeColor="text1"/>
                <w:szCs w:val="16"/>
              </w:rPr>
              <w:t>68.00%</w:t>
            </w:r>
          </w:p>
        </w:tc>
        <w:tc>
          <w:tcPr>
            <w:tcW w:w="926" w:type="pct"/>
          </w:tcPr>
          <w:p w14:paraId="5EC8131B" w14:textId="41772908" w:rsidR="00B14519" w:rsidRPr="00781112" w:rsidRDefault="00B14519" w:rsidP="00FE5C1F">
            <w:pPr>
              <w:jc w:val="center"/>
              <w:rPr>
                <w:color w:val="000000" w:themeColor="text1"/>
                <w:szCs w:val="16"/>
              </w:rPr>
            </w:pPr>
            <w:r w:rsidRPr="00781112">
              <w:rPr>
                <w:color w:val="000000" w:themeColor="text1"/>
                <w:szCs w:val="16"/>
              </w:rPr>
              <w:t>68.00%</w:t>
            </w:r>
          </w:p>
        </w:tc>
        <w:tc>
          <w:tcPr>
            <w:tcW w:w="926" w:type="pct"/>
          </w:tcPr>
          <w:p w14:paraId="3C91D03F" w14:textId="79E614D1" w:rsidR="00B14519" w:rsidRPr="00781112" w:rsidRDefault="00B14519" w:rsidP="00FE5C1F">
            <w:pPr>
              <w:jc w:val="center"/>
              <w:rPr>
                <w:color w:val="000000" w:themeColor="text1"/>
                <w:szCs w:val="16"/>
              </w:rPr>
            </w:pPr>
            <w:r w:rsidRPr="00781112">
              <w:rPr>
                <w:color w:val="000000" w:themeColor="text1"/>
                <w:szCs w:val="16"/>
              </w:rPr>
              <w:t>68.00%</w:t>
            </w:r>
          </w:p>
        </w:tc>
      </w:tr>
    </w:tbl>
    <w:p w14:paraId="0008F494" w14:textId="77777777" w:rsidR="00AE1972" w:rsidRPr="00781112" w:rsidRDefault="00AE1972" w:rsidP="00AE1972"/>
    <w:p w14:paraId="729B8DEE" w14:textId="112973AC"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MTFFYAPRDATA"/>
      </w:tblPr>
      <w:tblGrid>
        <w:gridCol w:w="715"/>
        <w:gridCol w:w="1800"/>
        <w:gridCol w:w="1800"/>
        <w:gridCol w:w="1295"/>
        <w:gridCol w:w="1295"/>
        <w:gridCol w:w="1295"/>
        <w:gridCol w:w="1295"/>
        <w:gridCol w:w="1295"/>
      </w:tblGrid>
      <w:tr w:rsidR="00B21923" w:rsidRPr="00781112" w14:paraId="243224F3" w14:textId="77777777" w:rsidTr="004B2960">
        <w:trPr>
          <w:trHeight w:val="440"/>
        </w:trPr>
        <w:tc>
          <w:tcPr>
            <w:tcW w:w="331" w:type="pct"/>
            <w:shd w:val="clear" w:color="auto" w:fill="auto"/>
            <w:vAlign w:val="bottom"/>
          </w:tcPr>
          <w:p w14:paraId="54A0DE32" w14:textId="77777777" w:rsidR="00B21923" w:rsidRPr="00781112" w:rsidRDefault="00B21923" w:rsidP="00B21923">
            <w:pPr>
              <w:jc w:val="center"/>
              <w:rPr>
                <w:b/>
                <w:color w:val="000000" w:themeColor="text1"/>
              </w:rPr>
            </w:pPr>
            <w:r w:rsidRPr="00781112">
              <w:rPr>
                <w:b/>
                <w:color w:val="000000" w:themeColor="text1"/>
              </w:rPr>
              <w:t>Part</w:t>
            </w:r>
          </w:p>
        </w:tc>
        <w:tc>
          <w:tcPr>
            <w:tcW w:w="834" w:type="pct"/>
            <w:shd w:val="clear" w:color="auto" w:fill="auto"/>
            <w:vAlign w:val="bottom"/>
          </w:tcPr>
          <w:p w14:paraId="3A78F9A8" w14:textId="4C59D999" w:rsidR="00B21923" w:rsidRPr="00781112" w:rsidRDefault="00B21923" w:rsidP="00B21923">
            <w:pPr>
              <w:jc w:val="center"/>
              <w:rPr>
                <w:b/>
                <w:color w:val="000000" w:themeColor="text1"/>
              </w:rPr>
            </w:pPr>
            <w:r w:rsidRPr="00781112">
              <w:rPr>
                <w:rFonts w:cs="Arial"/>
                <w:color w:val="000000" w:themeColor="text1"/>
                <w:szCs w:val="16"/>
              </w:rPr>
              <w:t xml:space="preserve">Number of preschool children aged 3 through 5 who demonstrated improved literacy consistent with Indicator 7B </w:t>
            </w:r>
          </w:p>
        </w:tc>
        <w:tc>
          <w:tcPr>
            <w:tcW w:w="834" w:type="pct"/>
            <w:shd w:val="clear" w:color="auto" w:fill="auto"/>
            <w:vAlign w:val="bottom"/>
          </w:tcPr>
          <w:p w14:paraId="4E0E8589" w14:textId="2DFDAB68" w:rsidR="00B21923" w:rsidRPr="00781112" w:rsidRDefault="00B21923" w:rsidP="00B21923">
            <w:pPr>
              <w:jc w:val="center"/>
              <w:rPr>
                <w:b/>
                <w:color w:val="000000" w:themeColor="text1"/>
              </w:rPr>
            </w:pPr>
            <w:r w:rsidRPr="00781112">
              <w:rPr>
                <w:rFonts w:cs="Arial"/>
                <w:color w:val="000000" w:themeColor="text1"/>
                <w:szCs w:val="16"/>
              </w:rPr>
              <w:t xml:space="preserve">Number of preschool children aged 3 through 5 with IEPs assessed </w:t>
            </w:r>
          </w:p>
        </w:tc>
        <w:tc>
          <w:tcPr>
            <w:tcW w:w="600" w:type="pct"/>
            <w:shd w:val="clear" w:color="auto" w:fill="auto"/>
            <w:vAlign w:val="bottom"/>
          </w:tcPr>
          <w:p w14:paraId="1E25BB01" w14:textId="7E473F4F" w:rsidR="00B21923" w:rsidRPr="00781112" w:rsidRDefault="00B21923" w:rsidP="00B21923">
            <w:pPr>
              <w:jc w:val="center"/>
              <w:rPr>
                <w:b/>
                <w:color w:val="000000" w:themeColor="text1"/>
              </w:rPr>
            </w:pPr>
            <w:r>
              <w:t>FFY 2020</w:t>
            </w:r>
            <w:r w:rsidRPr="00C318B5">
              <w:t xml:space="preserve"> Data</w:t>
            </w:r>
          </w:p>
        </w:tc>
        <w:tc>
          <w:tcPr>
            <w:tcW w:w="600" w:type="pct"/>
            <w:shd w:val="clear" w:color="auto" w:fill="auto"/>
            <w:vAlign w:val="bottom"/>
          </w:tcPr>
          <w:p w14:paraId="2883CDDC" w14:textId="0E54B1E3" w:rsidR="00B21923" w:rsidRPr="00781112" w:rsidRDefault="00B21923" w:rsidP="00B21923">
            <w:pPr>
              <w:jc w:val="center"/>
              <w:rPr>
                <w:b/>
                <w:color w:val="000000" w:themeColor="text1"/>
              </w:rPr>
            </w:pPr>
            <w:r>
              <w:t>FFY 2021</w:t>
            </w:r>
            <w:r w:rsidRPr="00C318B5">
              <w:t xml:space="preserve"> Target</w:t>
            </w:r>
          </w:p>
        </w:tc>
        <w:tc>
          <w:tcPr>
            <w:tcW w:w="600" w:type="pct"/>
            <w:shd w:val="clear" w:color="auto" w:fill="auto"/>
            <w:vAlign w:val="bottom"/>
          </w:tcPr>
          <w:p w14:paraId="637D491C" w14:textId="6239126D" w:rsidR="00B21923" w:rsidRPr="00781112" w:rsidRDefault="00B21923" w:rsidP="00B21923">
            <w:pPr>
              <w:jc w:val="center"/>
              <w:rPr>
                <w:b/>
                <w:color w:val="000000" w:themeColor="text1"/>
              </w:rPr>
            </w:pPr>
            <w:r>
              <w:t>FFY 2021</w:t>
            </w:r>
            <w:r w:rsidRPr="00C318B5">
              <w:t xml:space="preserve"> Data</w:t>
            </w:r>
          </w:p>
        </w:tc>
        <w:tc>
          <w:tcPr>
            <w:tcW w:w="600" w:type="pct"/>
            <w:shd w:val="clear" w:color="auto" w:fill="auto"/>
            <w:vAlign w:val="bottom"/>
          </w:tcPr>
          <w:p w14:paraId="586AAF5B" w14:textId="77777777" w:rsidR="00B21923" w:rsidRPr="00781112" w:rsidRDefault="00B21923" w:rsidP="00B21923">
            <w:pPr>
              <w:jc w:val="center"/>
              <w:rPr>
                <w:b/>
                <w:color w:val="000000" w:themeColor="text1"/>
              </w:rPr>
            </w:pPr>
            <w:r w:rsidRPr="00781112">
              <w:rPr>
                <w:b/>
                <w:color w:val="000000" w:themeColor="text1"/>
              </w:rPr>
              <w:t>Status</w:t>
            </w:r>
          </w:p>
        </w:tc>
        <w:tc>
          <w:tcPr>
            <w:tcW w:w="600" w:type="pct"/>
            <w:shd w:val="clear" w:color="auto" w:fill="auto"/>
            <w:vAlign w:val="bottom"/>
          </w:tcPr>
          <w:p w14:paraId="0FD61D63" w14:textId="77777777" w:rsidR="00B21923" w:rsidRPr="00781112" w:rsidRDefault="00B21923" w:rsidP="00B21923">
            <w:pPr>
              <w:jc w:val="center"/>
              <w:rPr>
                <w:b/>
                <w:color w:val="000000" w:themeColor="text1"/>
              </w:rPr>
            </w:pPr>
            <w:r w:rsidRPr="00781112">
              <w:rPr>
                <w:b/>
                <w:color w:val="000000" w:themeColor="text1"/>
              </w:rPr>
              <w:t>Slippage</w:t>
            </w:r>
          </w:p>
        </w:tc>
      </w:tr>
      <w:tr w:rsidR="00AE1972" w:rsidRPr="00781112" w14:paraId="7731B746" w14:textId="77777777" w:rsidTr="004B2960">
        <w:trPr>
          <w:trHeight w:val="361"/>
        </w:trPr>
        <w:tc>
          <w:tcPr>
            <w:tcW w:w="331" w:type="pct"/>
            <w:shd w:val="clear" w:color="auto" w:fill="auto"/>
            <w:vAlign w:val="center"/>
          </w:tcPr>
          <w:p w14:paraId="32C04AC8"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A</w:t>
            </w:r>
          </w:p>
        </w:tc>
        <w:tc>
          <w:tcPr>
            <w:tcW w:w="834" w:type="pct"/>
            <w:shd w:val="clear" w:color="auto" w:fill="auto"/>
            <w:vAlign w:val="center"/>
          </w:tcPr>
          <w:p w14:paraId="16019F98" w14:textId="7FC3F36B" w:rsidR="00AE1972" w:rsidRPr="00781112" w:rsidRDefault="00AE1972" w:rsidP="00FE5C1F">
            <w:pPr>
              <w:jc w:val="center"/>
              <w:rPr>
                <w:rFonts w:cs="Arial"/>
                <w:color w:val="000000" w:themeColor="text1"/>
                <w:szCs w:val="16"/>
              </w:rPr>
            </w:pPr>
            <w:r w:rsidRPr="00781112">
              <w:rPr>
                <w:rFonts w:cs="Arial"/>
                <w:color w:val="000000" w:themeColor="text1"/>
                <w:szCs w:val="16"/>
              </w:rPr>
              <w:t>183</w:t>
            </w:r>
          </w:p>
        </w:tc>
        <w:tc>
          <w:tcPr>
            <w:tcW w:w="834" w:type="pct"/>
            <w:shd w:val="clear" w:color="auto" w:fill="auto"/>
            <w:vAlign w:val="center"/>
          </w:tcPr>
          <w:p w14:paraId="575441E4" w14:textId="090AFF11" w:rsidR="00AE1972" w:rsidRPr="00781112" w:rsidRDefault="00AE1972" w:rsidP="00FE5C1F">
            <w:pPr>
              <w:jc w:val="center"/>
              <w:rPr>
                <w:rFonts w:cs="Arial"/>
                <w:color w:val="000000" w:themeColor="text1"/>
                <w:szCs w:val="16"/>
              </w:rPr>
            </w:pPr>
            <w:r w:rsidRPr="00781112">
              <w:rPr>
                <w:rFonts w:cs="Arial"/>
                <w:color w:val="000000" w:themeColor="text1"/>
                <w:szCs w:val="16"/>
              </w:rPr>
              <w:t>228</w:t>
            </w:r>
          </w:p>
        </w:tc>
        <w:tc>
          <w:tcPr>
            <w:tcW w:w="600" w:type="pct"/>
            <w:shd w:val="clear" w:color="auto" w:fill="auto"/>
            <w:vAlign w:val="center"/>
          </w:tcPr>
          <w:p w14:paraId="5670A018" w14:textId="2F056EC7" w:rsidR="00AE1972" w:rsidRPr="00781112" w:rsidRDefault="00AE1972" w:rsidP="00FE5C1F">
            <w:pPr>
              <w:jc w:val="center"/>
              <w:rPr>
                <w:rFonts w:cs="Arial"/>
                <w:color w:val="000000" w:themeColor="text1"/>
                <w:szCs w:val="16"/>
              </w:rPr>
            </w:pPr>
            <w:r w:rsidRPr="00781112">
              <w:rPr>
                <w:rFonts w:cs="Arial"/>
                <w:color w:val="000000" w:themeColor="text1"/>
                <w:szCs w:val="16"/>
              </w:rPr>
              <w:t>69.67%</w:t>
            </w:r>
          </w:p>
        </w:tc>
        <w:tc>
          <w:tcPr>
            <w:tcW w:w="600" w:type="pct"/>
            <w:shd w:val="clear" w:color="auto" w:fill="auto"/>
            <w:vAlign w:val="center"/>
          </w:tcPr>
          <w:p w14:paraId="39BA9182" w14:textId="4B66489F" w:rsidR="00AE1972" w:rsidRPr="00781112" w:rsidRDefault="00AE1972" w:rsidP="00FE5C1F">
            <w:pPr>
              <w:jc w:val="center"/>
              <w:rPr>
                <w:rFonts w:cs="Arial"/>
                <w:color w:val="000000" w:themeColor="text1"/>
                <w:szCs w:val="16"/>
              </w:rPr>
            </w:pPr>
            <w:r w:rsidRPr="00781112">
              <w:rPr>
                <w:rFonts w:cs="Arial"/>
                <w:color w:val="000000" w:themeColor="text1"/>
                <w:szCs w:val="16"/>
              </w:rPr>
              <w:t>87.00%</w:t>
            </w:r>
          </w:p>
        </w:tc>
        <w:tc>
          <w:tcPr>
            <w:tcW w:w="600" w:type="pct"/>
            <w:shd w:val="clear" w:color="auto" w:fill="auto"/>
            <w:vAlign w:val="center"/>
          </w:tcPr>
          <w:p w14:paraId="456D0B6E" w14:textId="59DA2CC0" w:rsidR="00AE1972" w:rsidRPr="00781112" w:rsidRDefault="00AE1972" w:rsidP="00FE5C1F">
            <w:pPr>
              <w:jc w:val="center"/>
              <w:rPr>
                <w:rFonts w:cs="Arial"/>
                <w:color w:val="000000" w:themeColor="text1"/>
                <w:szCs w:val="16"/>
              </w:rPr>
            </w:pPr>
            <w:r w:rsidRPr="00781112">
              <w:rPr>
                <w:rFonts w:cs="Arial"/>
                <w:color w:val="000000" w:themeColor="text1"/>
                <w:szCs w:val="16"/>
              </w:rPr>
              <w:t>80.26%</w:t>
            </w:r>
          </w:p>
        </w:tc>
        <w:tc>
          <w:tcPr>
            <w:tcW w:w="600" w:type="pct"/>
            <w:shd w:val="clear" w:color="auto" w:fill="auto"/>
            <w:vAlign w:val="center"/>
          </w:tcPr>
          <w:p w14:paraId="035C67B0" w14:textId="1C8A602A"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0B026D8F" w14:textId="75DB11DC"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r w:rsidR="00AE1972" w:rsidRPr="00781112" w14:paraId="1F7687EF" w14:textId="77777777" w:rsidTr="004B2960">
        <w:trPr>
          <w:trHeight w:val="361"/>
        </w:trPr>
        <w:tc>
          <w:tcPr>
            <w:tcW w:w="331" w:type="pct"/>
            <w:shd w:val="clear" w:color="auto" w:fill="auto"/>
            <w:vAlign w:val="center"/>
          </w:tcPr>
          <w:p w14:paraId="4950FEB3" w14:textId="77777777" w:rsidR="00AE1972" w:rsidRPr="00781112" w:rsidRDefault="00AE1972" w:rsidP="00FE5C1F">
            <w:pPr>
              <w:jc w:val="center"/>
              <w:rPr>
                <w:rFonts w:cs="Arial"/>
                <w:color w:val="000000" w:themeColor="text1"/>
                <w:szCs w:val="16"/>
              </w:rPr>
            </w:pPr>
            <w:r w:rsidRPr="00781112">
              <w:rPr>
                <w:rFonts w:cs="Arial"/>
                <w:color w:val="000000" w:themeColor="text1"/>
                <w:szCs w:val="16"/>
              </w:rPr>
              <w:t>B</w:t>
            </w:r>
          </w:p>
        </w:tc>
        <w:tc>
          <w:tcPr>
            <w:tcW w:w="834" w:type="pct"/>
            <w:shd w:val="clear" w:color="auto" w:fill="auto"/>
            <w:vAlign w:val="center"/>
          </w:tcPr>
          <w:p w14:paraId="4348060C" w14:textId="40D751BC" w:rsidR="00AE1972" w:rsidRPr="00781112" w:rsidRDefault="00AE1972" w:rsidP="00FE5C1F">
            <w:pPr>
              <w:jc w:val="center"/>
              <w:rPr>
                <w:rFonts w:cs="Arial"/>
                <w:color w:val="000000" w:themeColor="text1"/>
                <w:szCs w:val="16"/>
              </w:rPr>
            </w:pPr>
            <w:r w:rsidRPr="00781112">
              <w:rPr>
                <w:rFonts w:cs="Arial"/>
                <w:color w:val="000000" w:themeColor="text1"/>
                <w:szCs w:val="16"/>
              </w:rPr>
              <w:t>206</w:t>
            </w:r>
          </w:p>
        </w:tc>
        <w:tc>
          <w:tcPr>
            <w:tcW w:w="834" w:type="pct"/>
            <w:shd w:val="clear" w:color="auto" w:fill="auto"/>
            <w:vAlign w:val="center"/>
          </w:tcPr>
          <w:p w14:paraId="3D1CDF37" w14:textId="5E8519B7" w:rsidR="00AE1972" w:rsidRPr="00781112" w:rsidRDefault="00AE1972" w:rsidP="00FE5C1F">
            <w:pPr>
              <w:jc w:val="center"/>
              <w:rPr>
                <w:rFonts w:cs="Arial"/>
                <w:color w:val="000000" w:themeColor="text1"/>
                <w:szCs w:val="16"/>
              </w:rPr>
            </w:pPr>
            <w:r w:rsidRPr="00781112">
              <w:rPr>
                <w:rFonts w:cs="Arial"/>
                <w:color w:val="000000" w:themeColor="text1"/>
                <w:szCs w:val="16"/>
              </w:rPr>
              <w:t>331</w:t>
            </w:r>
          </w:p>
        </w:tc>
        <w:tc>
          <w:tcPr>
            <w:tcW w:w="600" w:type="pct"/>
            <w:shd w:val="clear" w:color="auto" w:fill="auto"/>
            <w:vAlign w:val="center"/>
          </w:tcPr>
          <w:p w14:paraId="17AC0731" w14:textId="13A12FA3" w:rsidR="00AE1972" w:rsidRPr="00781112" w:rsidRDefault="00AE1972" w:rsidP="00FE5C1F">
            <w:pPr>
              <w:jc w:val="center"/>
              <w:rPr>
                <w:rFonts w:cs="Arial"/>
                <w:color w:val="000000" w:themeColor="text1"/>
                <w:szCs w:val="16"/>
              </w:rPr>
            </w:pPr>
            <w:r w:rsidRPr="00781112">
              <w:rPr>
                <w:rFonts w:cs="Arial"/>
                <w:color w:val="000000" w:themeColor="text1"/>
                <w:szCs w:val="16"/>
              </w:rPr>
              <w:t>43.68%</w:t>
            </w:r>
          </w:p>
        </w:tc>
        <w:tc>
          <w:tcPr>
            <w:tcW w:w="600" w:type="pct"/>
            <w:shd w:val="clear" w:color="auto" w:fill="auto"/>
            <w:vAlign w:val="center"/>
          </w:tcPr>
          <w:p w14:paraId="3D9C9DD8" w14:textId="76488C17" w:rsidR="00AE1972" w:rsidRPr="00781112" w:rsidRDefault="00AE1972" w:rsidP="00FE5C1F">
            <w:pPr>
              <w:jc w:val="center"/>
              <w:rPr>
                <w:rFonts w:cs="Arial"/>
                <w:color w:val="000000" w:themeColor="text1"/>
                <w:szCs w:val="16"/>
              </w:rPr>
            </w:pPr>
            <w:r w:rsidRPr="00781112">
              <w:rPr>
                <w:rFonts w:cs="Arial"/>
                <w:color w:val="000000" w:themeColor="text1"/>
                <w:szCs w:val="16"/>
              </w:rPr>
              <w:t>68.00%</w:t>
            </w:r>
          </w:p>
        </w:tc>
        <w:tc>
          <w:tcPr>
            <w:tcW w:w="600" w:type="pct"/>
            <w:shd w:val="clear" w:color="auto" w:fill="auto"/>
            <w:vAlign w:val="center"/>
          </w:tcPr>
          <w:p w14:paraId="3C604667" w14:textId="3F5A43BD" w:rsidR="00AE1972" w:rsidRPr="00781112" w:rsidRDefault="00AE1972" w:rsidP="00FE5C1F">
            <w:pPr>
              <w:jc w:val="center"/>
              <w:rPr>
                <w:rFonts w:cs="Arial"/>
                <w:color w:val="000000" w:themeColor="text1"/>
                <w:szCs w:val="16"/>
              </w:rPr>
            </w:pPr>
            <w:r w:rsidRPr="00781112">
              <w:rPr>
                <w:rFonts w:cs="Arial"/>
                <w:color w:val="000000" w:themeColor="text1"/>
                <w:szCs w:val="16"/>
              </w:rPr>
              <w:t>62.24%</w:t>
            </w:r>
          </w:p>
        </w:tc>
        <w:tc>
          <w:tcPr>
            <w:tcW w:w="600" w:type="pct"/>
            <w:shd w:val="clear" w:color="auto" w:fill="auto"/>
            <w:vAlign w:val="center"/>
          </w:tcPr>
          <w:p w14:paraId="5479BC93" w14:textId="70915E19"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c>
          <w:tcPr>
            <w:tcW w:w="600" w:type="pct"/>
            <w:shd w:val="clear" w:color="auto" w:fill="auto"/>
            <w:vAlign w:val="center"/>
          </w:tcPr>
          <w:p w14:paraId="5D444777" w14:textId="3F2A8011" w:rsidR="00AE1972" w:rsidRPr="00781112" w:rsidRDefault="00AE1972" w:rsidP="00FE5C1F">
            <w:pPr>
              <w:jc w:val="center"/>
              <w:rPr>
                <w:rFonts w:cs="Arial"/>
                <w:color w:val="000000" w:themeColor="text1"/>
                <w:szCs w:val="16"/>
              </w:rPr>
            </w:pPr>
            <w:r w:rsidRPr="00781112">
              <w:rPr>
                <w:rFonts w:cs="Arial"/>
                <w:color w:val="000000" w:themeColor="text1"/>
                <w:szCs w:val="16"/>
              </w:rPr>
              <w:t>N/A</w:t>
            </w:r>
          </w:p>
        </w:tc>
      </w:tr>
    </w:tbl>
    <w:p w14:paraId="21499E4A" w14:textId="77777777" w:rsidR="00AE1972" w:rsidRPr="00781112" w:rsidRDefault="00AE1972" w:rsidP="00AE1972">
      <w:pPr>
        <w:tabs>
          <w:tab w:val="left" w:pos="2088"/>
        </w:tabs>
        <w:rPr>
          <w:rFonts w:cs="Arial"/>
          <w:color w:val="000000" w:themeColor="text1"/>
          <w:szCs w:val="16"/>
        </w:rPr>
      </w:pPr>
    </w:p>
    <w:p w14:paraId="66E5C45A" w14:textId="77777777" w:rsidR="00AE1972" w:rsidRPr="00781112" w:rsidRDefault="00AE1972" w:rsidP="00AE1972"/>
    <w:p w14:paraId="30EFC313" w14:textId="4284CBF2" w:rsidR="005D6EB4" w:rsidRPr="00781112" w:rsidRDefault="004F3929" w:rsidP="005D6EB4">
      <w:pPr>
        <w:rPr>
          <w:b/>
          <w:bCs/>
        </w:rPr>
      </w:pPr>
      <w:r>
        <w:rPr>
          <w:b/>
          <w:bCs/>
        </w:rPr>
        <w:lastRenderedPageBreak/>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District of Columbia Child Outcomes Summary (COS) Process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To assess progress toward the SIMR, the District uses statewide data from APR Indicator 7: Preschool Outcomes; Outcome B: Percent of preschool children aged 3 through 5 with IEPs who demonstrate improved acquisition and use of knowledge and skills (including early language/ communication and early literacy). Student-level data are collected through the Child Outcomes Summary process and analyzed to determine: Indicator 7B-1: Of those preschool children who entered the preschool program below age expectations, the percent who substantially increased their rate of growth by the time they turned 6 years of age or exited the program; and Indicator 7B-2: The percent of preschool children who were functioning within age expectations by the time they turned 6 years of age or exited the program.  </w:t>
      </w:r>
      <w:r w:rsidRPr="00781112">
        <w:rPr>
          <w:color w:val="000000" w:themeColor="text1"/>
        </w:rPr>
        <w:br/>
      </w:r>
      <w:r w:rsidRPr="00781112">
        <w:rPr>
          <w:color w:val="000000" w:themeColor="text1"/>
        </w:rPr>
        <w:br/>
        <w:t xml:space="preserve">Beginning in 2009, all LEA preschool programs providing services under IDEA, Part B were required to use the Child Outcomes Summary Process (COS) to measure the required outcomes outlined above. Programs are required to collect and report performance data within 90 days of a child's entry into a preschool program, and within 60 days prior to a child's exit. Entry and exit data must be reported to OSSE on a rolling basis in the DC Corrective Action Tracking System (DC-CATS) state monitoring data collection system.   </w:t>
      </w:r>
      <w:r w:rsidRPr="00781112">
        <w:rPr>
          <w:color w:val="000000" w:themeColor="text1"/>
        </w:rPr>
        <w:br/>
      </w:r>
      <w:r w:rsidRPr="00781112">
        <w:rPr>
          <w:color w:val="000000" w:themeColor="text1"/>
        </w:rPr>
        <w:br/>
        <w:t xml:space="preserve">As data is entered on a rolling basis, the District conducts bi-annual data verification checks to ensure that all preschool students who receive special education services ages 3-5 have COS scores entered into the DC-CATS system. Upon verification of COS data entry, the DC-CATS system generates a report. This report is used for reporting on APR Indicator 7 and SSIP.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As part of infrastructure and data analysis conducted in FY20, the District identified significant fluctuations in student performance data reported in the Child Outcomes Summary data collection for APR Indicator 7. These fluctuations continued in FY21; although the District saw satisfactory gains in Indicator 7 data, student performance data remained unstable across LEAs and student populations. As part of the Early Childhood Working Group and stakeholder engagement activities, LEAs and District educators continued to report that the subjective nature of the Child Outcomes Summary standards presented challenges in application. The District considers this to be a data reliability concern and, as part of SSIP improvement activities, has undertaken a review of the Child Outcomes Summary process, resources, and training to improve LEA and educator decision-making capacity. To that end, OSSE provided additional Child Outcomes Summary training in conjunction with the Early Childhood Working Group and monthly District-wide Special Education Points of Contact webinar, and continuously offered technical assistance and support to LEAs regarding data analysis and the Child Outcomes Summary data collection. Additionally, as part of efforts to design and launch a new statewide special education data system, the Child Outcomes Summary process has been incorporated into the new system to provide LEAs with a one-stop system for student special education data, including student IEP data, Child Outcomes Summary, and state monitoring processes. This comprehensive system will support improvements in data quality and reliability by streamlining LEA processes for analyzing and reporting Child Outcomes Summary data.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https://osse.dc.gov/sites/default/files/dc/sites/osse/service_content/attachments/DC%20SSIP%20Evaluation%20Plan%20-%20FFY20-25.pdf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District’s SSIP contemplates infrastructure improvement activities across four major areas: data collection and use, accountability, training and technical assistance, and educator practice and instruction. </w:t>
      </w:r>
      <w:r w:rsidRPr="00781112">
        <w:rPr>
          <w:color w:val="000000" w:themeColor="text1"/>
        </w:rPr>
        <w:br/>
      </w:r>
      <w:r w:rsidRPr="00781112">
        <w:rPr>
          <w:color w:val="000000" w:themeColor="text1"/>
        </w:rPr>
        <w:br/>
        <w:t xml:space="preserve">Data Collection and Use: The District will refine the Child Outcomes Summary data collection process through two activities: updating the Child Outcomes Summary data collection process guidance and integrating the Child Outcomes Summary process within aligned data systems. As part of this work, the District convened a working group comprised of LEAs serving early childhood populations to review and make recommendations for improving the existing Child Outcomes Summary process guide. Over the last year, the District has dedicated substantial time and resources to the development of a new statewide special education data system (replacing the current legacy system) that will house APR data and IDEA monitoring data. As part of this work, the District built the Child Outcomes Summary data collection into the centralized system, which will support LEAs in establishing meaningful connections between student IEPs, student progress monitoring, and student outcomes. This development effort was informed by stakeholder feedback on all aspects of the system, including the Child Outcomes Summary data collection process. The new special education data system will launch District-wide prior to the 2023-2024 school year. </w:t>
      </w:r>
      <w:r w:rsidRPr="00781112">
        <w:rPr>
          <w:color w:val="000000" w:themeColor="text1"/>
        </w:rPr>
        <w:br/>
      </w:r>
      <w:r w:rsidRPr="00781112">
        <w:rPr>
          <w:color w:val="000000" w:themeColor="text1"/>
        </w:rPr>
        <w:br/>
        <w:t>OSSE conducted a review of the Child Outcomes Summary guidance and confirmed its alignment with standards and resources consistent with the Early Childhood Technical Assistance Center (ECTAC), the creator of the Child Outcomes Summary. As OSSE undertakes a broader overhaul of special education policies and guidance, the Child Outcomes Summary guidance will be revisited and revised. The District anticipates updating the guidance during the 2023-24 school year.</w:t>
      </w:r>
      <w:r w:rsidRPr="00781112">
        <w:rPr>
          <w:color w:val="000000" w:themeColor="text1"/>
        </w:rPr>
        <w:br/>
      </w:r>
      <w:r w:rsidRPr="00781112">
        <w:rPr>
          <w:color w:val="000000" w:themeColor="text1"/>
        </w:rPr>
        <w:br/>
        <w:t xml:space="preserve">Accountability: In 2022, OSSE launched the Special Education Performance Report (SEPR), a new accountability system for LEA performance specific to students with disabilities. The SEPR work is intended to revolutionize special education accountability and monitoring frameworks in the District to </w:t>
      </w:r>
      <w:r w:rsidRPr="00781112">
        <w:rPr>
          <w:color w:val="000000" w:themeColor="text1"/>
        </w:rPr>
        <w:lastRenderedPageBreak/>
        <w:t xml:space="preserve">shift the focus to results-based assessments of LEA performance. Through summer and fall of 2022, OSSE refined and finalized the SEPR framework through extensive internal and external stakeholder engagement and data analysis efforts. The new framework incorporates both federal and local requirements and is designed to focus on student results, provide transparent and actionable data to LEAs and families, and set clear and high expectations for special education programs. The SEPR framework is designed to proactively engage LEAs in systemic improvement activities and establishes a continuous improvement model based on live APR data, rather than reactive data review and correction. To support LEAs in addressing gaps identified through the SEPR, OSSE has developed a comprehensive suite of training and technical assistance activities. The first SEPR reports will be issued in fall 2023. To further support this work, OSSE’s IDEA grant monitoring framework will be updated to include all metric outcomes related to special education to allow OSSE to better leverage funding assurances for LEA accountability. </w:t>
      </w:r>
      <w:r w:rsidRPr="00781112">
        <w:rPr>
          <w:color w:val="000000" w:themeColor="text1"/>
        </w:rPr>
        <w:br/>
      </w:r>
      <w:r w:rsidRPr="00781112">
        <w:rPr>
          <w:color w:val="000000" w:themeColor="text1"/>
        </w:rPr>
        <w:br/>
        <w:t xml:space="preserve">Training and Technical Assistance: To support LEAs in successfully completing the Child Outcomes Summary process, the District provided broad training opportunities and targeted technical assistance. OSSE provided accessible trainings to assist LEAs and educators in understanding the Child Outcomes Summary process and relevant decisions and to increase educator capacity to apply Child Outcomes Summary standards to make data-driven decisions about student performance. OSSE leveraged its monthly Special Education Points of Contact webinar to provide training and reminders about Child Outcomes Summary deadlines. Additionally, OSSE continued to identify and engage LEAs performing below expectations through the general system of supervision, including OSSE’s IDEA monitoring processes. This included providing technical assistance to support LEAs in establishing effective data collection and analysis processes to ensure appropriate application of Child Outcomes Summary standards and criteria. OSSE will continue to provide technical assistance and refine trainings, including leveraging the District’s new learning management system to ensure trainings and resources are readily available to a broad group of educators. </w:t>
      </w:r>
      <w:r w:rsidRPr="00781112">
        <w:rPr>
          <w:color w:val="000000" w:themeColor="text1"/>
        </w:rPr>
        <w:br/>
      </w:r>
      <w:r w:rsidRPr="00781112">
        <w:rPr>
          <w:color w:val="000000" w:themeColor="text1"/>
        </w:rPr>
        <w:br/>
        <w:t>Educator Practice and Instruction: To support LEAs in implementing early literacy evidence-based practices, the District has launched the Literacy DC initiative. Literacy DC puts action to the District’s commitment to providing an inclusive approach to literacy, to ensure all students become successful readers. The vision for literacy in the District is that all learners ages birth through grade 12 will have access to high-quality literacy instruction and early literacy experiences. The foundation of Literacy DC is the DC state-wide Comprehensive Literacy Plan, which serves as a blueprint for LEAs, community-based organizations, and nonprofit organizations to utilize in the development of their own Local Literacy Plan. Literacy DC also includes the Comprehensive Literacy State Development Grant, awarded to OSSE by the US Department of Education in September 2020. This five-year, $16 million grant will be leveraged to support early language and literacy skills through grants provided to prekindergarten programs. OSSE has leveraged a limited portion of CLSD grant funds for state-wide activities, specifically professional development opportunities for a variety of audiences. OSSE has utilized CLSD funds to provide Language Essentials for Teachers of Reading and Spelling (LETRS) for a selected group of 150 K-5 educators. OSSE has also utilized CLSD funds to host literacy convenings, which provide opportunities for educators and leaders to receive evidence-based professional learning, share best practices, and network with other literacy professionals. In 2022, OSSE held two literacy convenings which served over 300 educators.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Consistent with the District’s SSIP Evaluation Plan, OSSE achieved the following outcomes during FY21: </w:t>
      </w:r>
      <w:r w:rsidRPr="00781112">
        <w:rPr>
          <w:color w:val="000000" w:themeColor="text1"/>
        </w:rPr>
        <w:br/>
      </w:r>
      <w:r w:rsidRPr="00781112">
        <w:rPr>
          <w:color w:val="000000" w:themeColor="text1"/>
        </w:rPr>
        <w:br/>
        <w:t xml:space="preserve">Evaluation Question: To what extent are state-level activities building LEA capacity to make data-driven decisions in relation to the Child Outcomes Summary data collection process? </w:t>
      </w:r>
      <w:r w:rsidRPr="00781112">
        <w:rPr>
          <w:color w:val="000000" w:themeColor="text1"/>
        </w:rPr>
        <w:br/>
        <w:t xml:space="preserve">Data Collection and Use: OSSE convened an Early Childhood Working Group to review Child Outcomes Summary data collection processes and guidance, and discuss challenges and strategies related to early childhood special education. This strategy and short-term outcome facilitate necessary system improvements in both data collection requirements and LEA and educator practice. Further, the Early Childhood Working Group is intended to expand its scope, which will cultivate sustainability of system improvement efforts and establish a vital feedback conduit between LEAs and OSSE. </w:t>
      </w:r>
      <w:r w:rsidRPr="00781112">
        <w:rPr>
          <w:color w:val="000000" w:themeColor="text1"/>
        </w:rPr>
        <w:br/>
      </w:r>
      <w:r w:rsidRPr="00781112">
        <w:rPr>
          <w:color w:val="000000" w:themeColor="text1"/>
        </w:rPr>
        <w:br/>
        <w:t xml:space="preserve">Evaluation Question: To what extent are state-level activities improving LEA practice related to the Child Outcomes Summary data collection? </w:t>
      </w:r>
      <w:r w:rsidRPr="00781112">
        <w:rPr>
          <w:color w:val="000000" w:themeColor="text1"/>
        </w:rPr>
        <w:br/>
        <w:t xml:space="preserve">Accountability: Through extensive analysis and stakeholder engagement, OSSE finalized the SEPR framework and report template. OSSE also published SEPR framework and measurement definitions guidance documents to assist stakeholders in understanding the measures, targets, and data sources that inform the SEPR report. The SEPR establishes a long-term framework that supports sustainability of improvement efforts by providing longitudinal data on LEA performance to show progress and gaps in student outcomes. </w:t>
      </w:r>
      <w:r w:rsidRPr="00781112">
        <w:rPr>
          <w:color w:val="000000" w:themeColor="text1"/>
        </w:rPr>
        <w:br/>
      </w:r>
      <w:r w:rsidRPr="00781112">
        <w:rPr>
          <w:color w:val="000000" w:themeColor="text1"/>
        </w:rPr>
        <w:br/>
        <w:t xml:space="preserve">Evaluation Question: To what extent are state-level activities supporting LEAs in implementing early literacy evidence-based practices? </w:t>
      </w:r>
      <w:r w:rsidRPr="00781112">
        <w:rPr>
          <w:color w:val="000000" w:themeColor="text1"/>
        </w:rPr>
        <w:br/>
        <w:t xml:space="preserve">Training and Technical Assistance: OSSE held two literacy convenings serving over 300 educators, including early childhood educators. Literacy activities support scale-up of evidence-based practices across the District by bringing together educators to share experiences and best practices and providing a broad base of early childhood educators with access to evidence-based practices and professional development.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Data Collection and Use: Prior to the 2023-2024 school year, all District LEAs will transition to the new statewide special education data system. This system combines student-level IEP processes and data, the Child Outcomes Summary data collection, and the state-level IDEA monitoring system (formerly DCCATS) under one data system. The District intends for this effort to improve LEA data collection, reporting, and analysis related to the Child Outcomes Summary. Throughout 2023, OSSE will continue to convene the Early Childhood Working Group to inform a variety of efforts and expand the group’s scope to address early childhood literacy strategies. OSSE will also review and update the Child Outcomes Summary data collection guidance and accompanying trainings, including centralizing training and professional development under the District’s new educator learning management system, which is in the initial stages of rollout.</w:t>
      </w:r>
      <w:r w:rsidRPr="00781112">
        <w:rPr>
          <w:color w:val="000000" w:themeColor="text1"/>
        </w:rPr>
        <w:br/>
      </w:r>
      <w:r w:rsidRPr="00781112">
        <w:rPr>
          <w:color w:val="000000" w:themeColor="text1"/>
        </w:rPr>
        <w:br/>
        <w:t xml:space="preserve">Accountability: By October 2023, OSSE will issue the first SEPR reports for all LEAs, including supporting resources to assist LEAs, parents, and other education stakeholders in understanding the framework, data, and utility of the reports. </w:t>
      </w:r>
      <w:r w:rsidRPr="00781112">
        <w:rPr>
          <w:color w:val="000000" w:themeColor="text1"/>
        </w:rPr>
        <w:br/>
      </w:r>
      <w:r w:rsidRPr="00781112">
        <w:rPr>
          <w:color w:val="000000" w:themeColor="text1"/>
        </w:rPr>
        <w:br/>
        <w:t>Training and Technical Assistance: The District will continue efforts to refine the Child Outcomes Summary guidance and provide direct technical assistance to LEAs regarding data collection, data analysis, and reporting. The District will update the Child Outcomes Summary guidance document ahead of the 2023-2024 school year.</w:t>
      </w:r>
      <w:r w:rsidRPr="00781112">
        <w:rPr>
          <w:color w:val="000000" w:themeColor="text1"/>
        </w:rPr>
        <w:br/>
      </w:r>
      <w:r w:rsidRPr="00781112">
        <w:rPr>
          <w:color w:val="000000" w:themeColor="text1"/>
        </w:rPr>
        <w:lastRenderedPageBreak/>
        <w:br/>
        <w:t>Educator Practice and Instruction: The Literacy DC initiative will continue to provide local literacy resources, training, and technical assistance to improve delivery of early childhood literacy evidence-based practices. The District will leverage the new learning management system (LMS) to deliver Science of Reading training from The New Teacher Project primarily for K-2 educators and leaders, as well as administer 4 cohorts of the Language Essentials for Teachers of Reading and Science (LETRS) program for K-5 educators. The District will engage stakeholders to identify needs and opportunities to develop and provide additional literacy trainings specifically for pre-kindergarten educators.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Under the Comprehensive Literacy State Development grant, one grantee receives funds to implement literacy evidence-based practices in 12 preschool programs located in 4 LEAs across the District. The AppleTree Institute for Education Innovation leads the implementation of the Every Child Ready instructional model.</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Every Child Ready instructional model is a comprehensive curriculum, professional learning, and measurement model designed to provide schools and teachers with the teaching and learning resources needed to grow children's early literacy skills before entering Kindergarten. The Every Child Ready instructional model is a two-year differentiated curriculum for three- and four-year-old preschool students that includes 11 thematic units, a flexible small group model, diverse print materials, and a balanced daily schedule. Every Child Ready includes three specialized curriculum options to address COVID-19 health and safety concerns and can be implemented through virtual instruction, in-person instruction, or a blended/ hybrid instructional model. Every Child Ready incorporates evidence-based practices in literacy instruction, emphasizing daily explicit and embedded instruction throughout the thematic curriculum as well as differentiated flexible small group instruction. The Every Child Ready instructional model also includes professional learning support for administrators and educators including differentiated classroom coaching, summer training, and quarterly instructional leader workshops. Every Child Ready provides measurement tools to support decision-making and ongoing progress monitoring using direct measurements for literacy and language growth, built-in checks for understanding, and classroom quality observation tools. Every Child Ready includes four direct assessments of children’s early academic skills and one teacher report measure of social-emotional skills: Letters and Writing (ECR:LW), Language and Literacy (ECR:LL), Math (ECR:M), and Positive Behavior Rating Scale. Assessments cover select essential standards and are used to monitor progress throughout the year. The Language and Literacy (ECR:LL) assessment provides student-level data on phonological awareness, expressive language, narrative comprehension, and exposure to print.</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5"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5"/>
    <w:p w14:paraId="3E043DB7" w14:textId="7C3B2CD4" w:rsidR="00AE1972" w:rsidRPr="00781112" w:rsidRDefault="00AE1972" w:rsidP="00AE1972">
      <w:pPr>
        <w:rPr>
          <w:b/>
          <w:bCs/>
        </w:rPr>
      </w:pPr>
      <w:r w:rsidRPr="00781112">
        <w:rPr>
          <w:color w:val="000000" w:themeColor="text1"/>
        </w:rPr>
        <w:t xml:space="preserve">The Every Child Ready instructional model is designed to increase LEA and educator capacity to deliver high-quality early literacy instruction and interventions, establish sustainable systems of supports, and enhance data analysis and program evaluation. Implementation of the Every Child Ready instructional model impacts the SiMR by changing educator practices to improve literacy outcomes for preschool students with disabilities. The District is working to provide and develop targeted technical assistance and broad educator resources to support implementation of early literacy evidence-based practices, accessible to all District LEAs. Resources will be designed in collaboration with LEAs, parents, and other relevant stakeholders with the intention of improving systems of support, educator practices, and parent supports.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Evidence-based practice implementation and data collection were in the early stages of implementation during FY21. As part of Comprehensive Literacy State Development grant activities, fidelity of implementation has been monitored by assessing teacher implementation of early literacy best practices through an observational quality checklist designed to assess teaching practices used throughout the instructional day and within specific components of the day, and by evaluating teacher implementation of Every Child Ready flexible small group literacy practices. However, due to LEA reporting delays, the District is still working to collect and analyze this data to ascertain fidelity of implementation and impacts on practice.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For FY21, AppleTree Institute submitted an annual progress report detailing activities and progress during implementation of the Every Child Ready curriculum for all students. The District is still working to collect disaggregate data to specifically analyze impacts on students with disabilities.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As part of the CLSD program, OSSE is planning the Spring 2023 Literacy Convening for educators and leaders across the DC literacy landscape. This convening will provide professional learning rooted in the science of reading and systemic strategies for improving literacy outcomes for all students. OSSE is further building educator capacity by offering cohorts of Language Essentials for Teachers of Reading Spelling (LETRS), which provides an evidence-based foundational base of knowledge for teachers to meet the needs of early learners develop critical reading skills. </w:t>
      </w:r>
      <w:r w:rsidRPr="00781112">
        <w:rPr>
          <w:color w:val="000000" w:themeColor="text1"/>
        </w:rPr>
        <w:br/>
      </w:r>
      <w:r w:rsidRPr="00781112">
        <w:rPr>
          <w:color w:val="000000" w:themeColor="text1"/>
        </w:rPr>
        <w:br/>
        <w:t xml:space="preserve">Implementation of the Every Child Ready curriculum consistent with the AppleTree Institute’s Local Literacy Plan will continue in partnership with AppleTree Public Charter School and three other District LEAs located at 12 schools. AppleTree Institute will also provide additional professional development opportunities for teachers, increase literacy-focused coaching, and enhance data analysis and program evaluation to track progress of fidelity implementation and student performance.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District has seen gains in student performance as measured by Indicator 7b but continues to struggle with data collection and analysis around SSIP activities. In FY21, the District is working to improve data collection related to the implementation of evidence-based practices and more subjective data from participants who engage in infrastructure improvement activities, including trainings and professional development, to help better inform planned SSIP activities in future years.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When soliciting stakeholder feedback on the District's targets for FFY 2020-25:</w:t>
      </w:r>
      <w:r w:rsidRPr="00781112">
        <w:rPr>
          <w:color w:val="000000" w:themeColor="text1"/>
        </w:rPr>
        <w:br/>
        <w:t>1. OSSE convened an internal working group comprised of staff from each division that conducted data analysis related to students with disabilities. OSSE subject matter experts reviewed local and national data from prior years for each indicator, reviewed related research and practice documents, and considered the potential impact of newly developed and ongoing initiatives in each area.</w:t>
      </w:r>
      <w:r w:rsidRPr="00781112">
        <w:rPr>
          <w:color w:val="000000" w:themeColor="text1"/>
        </w:rPr>
        <w:br/>
        <w:t>2. Subject matter experts identified appropriate baseline data for each APR indicator, proposed targets, and a rationale for each.</w:t>
      </w:r>
      <w:r w:rsidRPr="00781112">
        <w:rPr>
          <w:color w:val="000000" w:themeColor="text1"/>
        </w:rPr>
        <w:br/>
        <w:t xml:space="preserve">3. External Stakeholder Feedback Round 1: OSSE delivered a presentation including information about the SPP/APR process, the meaning of each indicator, historical data, data modeling examples, and the proposed baselines and targets for each indicator to the D.C. State Advisory Panel on Special Education (SAPSE) and local advocacy groups. OSSE solicited feedback in the areas of appropriate baselines, targets, data analysis, and strategies and evaluation for improvement. </w:t>
      </w:r>
      <w:r w:rsidRPr="00781112">
        <w:rPr>
          <w:color w:val="000000" w:themeColor="text1"/>
        </w:rPr>
        <w:br/>
        <w:t>4. OSSE subject matter experts reviewed all stakeholder questions and comments and consulted with State leadership to revise baselines and targets as appropriate.</w:t>
      </w:r>
      <w:r w:rsidRPr="00781112">
        <w:rPr>
          <w:color w:val="000000" w:themeColor="text1"/>
        </w:rPr>
        <w:br/>
        <w:t>5. External Stakeholder Feedback Round 2: OSSE created a draft SPP/APR Resource Guide with proposed baselines and targets. The Resource Guide was distributed to its SAPSE, local advocacy groups, and its LEAs with requests for feedback.</w:t>
      </w:r>
      <w:r w:rsidRPr="00781112">
        <w:rPr>
          <w:color w:val="000000" w:themeColor="text1"/>
        </w:rPr>
        <w:br/>
        <w:t>6. External Stakeholder Feedback Round 3: OSSE presented proposals for changing the District’s State Systemic Improvement Plan (SSIP) including a new state-identified measurable result (SiMR), targets tied to Indicator 6, designing improvement strategies, and identifying evaluation measures to LEA stakeholders and SAPSE. OSSE solicited feedback on the proposed changes to the SSIP and SiMR.</w:t>
      </w:r>
      <w:r w:rsidRPr="00781112">
        <w:rPr>
          <w:color w:val="000000" w:themeColor="text1"/>
        </w:rPr>
        <w:br/>
        <w:t>7. OSSE subject matter experts reviewed all additional stakeholder questions and comments and consulted with State leadership to finalize baselines and targets as appropriate.</w:t>
      </w:r>
      <w:r w:rsidRPr="00781112">
        <w:rPr>
          <w:color w:val="000000" w:themeColor="text1"/>
        </w:rPr>
        <w:br/>
      </w:r>
      <w:r w:rsidRPr="00781112">
        <w:rPr>
          <w:color w:val="000000" w:themeColor="text1"/>
        </w:rPr>
        <w:br/>
        <w:t>OSSE received extensive stakeholder feedback supporting the baselines and targets reported in its FFY 2020 APR. As a result, the District did not modify any targets during the reporting period. However, in FFY 2021, OSSE conducted broad stakeholder engagement on all SPP/APR indicators and LEA special education performance. As OSSE undergoes its transition to a results-based accountability system for LEAs, the agency conducted extensive stakeholder engagement activities to review areas of measurement, including all APR indicators; support stakeholder understanding of baselines and targets; and receive feedback. OSSE engaged parent groups, DC’s special education advocacy and legal community, the State Advisory Panel on Special Education (SAPSE), LEAs, a cross-Divisional OSSE working group, and DC’s Technical Advisory Committee (TAC).</w:t>
      </w:r>
      <w:r w:rsidRPr="00781112">
        <w:rPr>
          <w:color w:val="000000" w:themeColor="text1"/>
        </w:rPr>
        <w:br/>
      </w:r>
      <w:r w:rsidRPr="00781112">
        <w:rPr>
          <w:color w:val="000000" w:themeColor="text1"/>
        </w:rPr>
        <w:br/>
        <w:t>Finally, in August 2022, OSSE collaborated with the District of Columbia Office of the Ombudsman for Education to jointly launch a family resource center for students with disabilities, known as the DC Special Education Hub. The Hub is an extension of the resource hub developed by OSSE in 2020, and provides families with the one-to-one support, training, resources, and peer-to-peer engagement to navigate the District’s complex special education landscape. As part of this partnership, OSSE and the Hub identify opportunities to support building parent capacity to understand and provide feedback on the District's APR data and implementation. OSSE continues to support engagement with families through partnership with the Hub by supporting the development of family-centered resources, translating existing requirements and State policy into accessible formats for families, ensuring the availability of landscape navigation tools for families, and connecting LEAs and schools with the Hub for training.</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The District conducted stakeholder engagement around the Child Outcome Summary (COS) process through the Early Childhood Working Group and data system requirements gathering and implementation design processes. LEAs expressed concerns about the challenges faced in completing the Child Outcomes Summary data collection and requested professional development and technical assistance to improve LEA practice and increase IEP team and educator capacity to make decisions about student performance relative to the measures contemplated by the Child Outcomes Summary.</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In 2021, OSSE relaunched the Early Childhood Special Education Working Group to establish a direct communication pipeline with LEAs serving early childhood populations and gather targeted input on the Child Outcomes Summary process to inform process improvement efforts. This voluntary working group brings together leaders across LEAs serving children ages 3 through 5 in prekindergarten and kindergarten environments to discuss challenges related to special education, brainstorm resolutions, and provide feedback to OSSE on a variety of initiatives, including early childhood transition, child find activities, and the Child Outcomes Summary process. The District also sought input from the State Advisory Panel on Special Education (SAPSE) regarding SSIP plans and the Child Outcomes Summary process.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Both LEAs and parents urged that the Child Outcomes Summary data should be made more meaningful for schools and parents by connecting the data and decisions to the IEP process or student progress monitoring and reporting, and by creating resources for parents to better understand the process and meaning of the data. OSSE is working with the newly formed DC Special Education Hub, a District office charged with providing training and technical assistance to parents of students with disabilities. Through this partnership, OSSE and the DC Special Education Hub will develop parent-friendly documents to assist parents in understanding a variety of special education processes, including the SEPR and Child Outcomes Summary data.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N/A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lastRenderedPageBreak/>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cleared</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6"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Nikki Stewart</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 Systems and Supports, K-12</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nikki.stewart@dc.gov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12029577748</w:t>
      </w:r>
    </w:p>
    <w:bookmarkEnd w:id="96"/>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1:15:30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7CE19F2A" w14:textId="43502D21" w:rsidR="005D69E8" w:rsidRPr="005D69E8" w:rsidRDefault="005D69E8" w:rsidP="005D69E8">
      <w:pPr>
        <w:rPr>
          <w:b/>
          <w:bCs/>
          <w:sz w:val="20"/>
          <w:szCs w:val="28"/>
        </w:rPr>
      </w:pPr>
      <w:r w:rsidRPr="005D69E8">
        <w:rPr>
          <w:b/>
          <w:bCs/>
          <w:sz w:val="20"/>
          <w:szCs w:val="28"/>
        </w:rPr>
        <w:t>District of Columbia</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8"/>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60.42%</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11</w:t>
            </w:r>
          </w:p>
        </w:tc>
        <w:tc>
          <w:tcPr>
            <w:tcW w:w="1218" w:type="pct"/>
          </w:tcPr>
          <w:p w14:paraId="0E3866D0" w14:textId="74D5D84B" w:rsidR="00E1330D" w:rsidRPr="00210AC6" w:rsidRDefault="00E1330D" w:rsidP="00E1330D">
            <w:pPr>
              <w:rPr>
                <w:rFonts w:cs="Arial"/>
                <w:szCs w:val="16"/>
              </w:rPr>
            </w:pPr>
            <w:r w:rsidRPr="00210AC6">
              <w:rPr>
                <w:rFonts w:cs="Arial"/>
                <w:szCs w:val="16"/>
              </w:rPr>
              <w:t>45.83%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15</w:t>
            </w:r>
          </w:p>
        </w:tc>
        <w:tc>
          <w:tcPr>
            <w:tcW w:w="1218" w:type="pct"/>
          </w:tcPr>
          <w:p w14:paraId="568903BA" w14:textId="193CF7F1" w:rsidR="00E1330D" w:rsidRPr="00210AC6" w:rsidRDefault="00E1330D" w:rsidP="00E1330D">
            <w:pPr>
              <w:rPr>
                <w:rFonts w:cs="Arial"/>
                <w:szCs w:val="16"/>
              </w:rPr>
            </w:pPr>
            <w:r w:rsidRPr="00210AC6">
              <w:rPr>
                <w:rFonts w:cs="Arial"/>
                <w:szCs w:val="16"/>
              </w:rPr>
              <w:t>75.00%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91%</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87%</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20%</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81%</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22%</w:t>
            </w:r>
          </w:p>
        </w:tc>
        <w:tc>
          <w:tcPr>
            <w:tcW w:w="833" w:type="pct"/>
          </w:tcPr>
          <w:p w14:paraId="2EA39B53" w14:textId="06051205" w:rsidR="00AC185D" w:rsidRPr="00210AC6" w:rsidRDefault="00AC185D" w:rsidP="00AC185D">
            <w:pPr>
              <w:rPr>
                <w:rFonts w:cs="Arial"/>
                <w:szCs w:val="16"/>
              </w:rPr>
            </w:pPr>
            <w:r w:rsidRPr="00210AC6">
              <w:rPr>
                <w:rFonts w:cs="Arial"/>
                <w:szCs w:val="16"/>
              </w:rPr>
              <w:t>0</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89%</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90%</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85%</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24%</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91%</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14%</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91%</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22</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72</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9"/>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2.56%</w:t>
            </w:r>
          </w:p>
        </w:tc>
        <w:tc>
          <w:tcPr>
            <w:tcW w:w="832" w:type="pct"/>
          </w:tcPr>
          <w:p w14:paraId="1CE885A0" w14:textId="000A00A6" w:rsidR="00AA1152" w:rsidRPr="00210AC6" w:rsidRDefault="00AA1152" w:rsidP="00AA1152">
            <w:pPr>
              <w:rPr>
                <w:rFonts w:cs="Arial"/>
                <w:szCs w:val="16"/>
              </w:rPr>
            </w:pPr>
            <w:r w:rsidRPr="00210AC6">
              <w:rPr>
                <w:rFonts w:cs="Arial"/>
                <w:szCs w:val="16"/>
              </w:rPr>
              <w:t>NO</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76.15%</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1</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90.85%</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65.00%</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0</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Yes, 3 or more years</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36BB16F3" w14:textId="77777777" w:rsidR="005D69E8" w:rsidRPr="005D69E8" w:rsidRDefault="005D69E8" w:rsidP="005D69E8">
      <w:pPr>
        <w:rPr>
          <w:b/>
          <w:bCs/>
          <w:sz w:val="20"/>
          <w:szCs w:val="28"/>
        </w:rPr>
      </w:pPr>
      <w:r w:rsidRPr="005D69E8">
        <w:rPr>
          <w:b/>
          <w:bCs/>
          <w:sz w:val="20"/>
          <w:szCs w:val="28"/>
        </w:rPr>
        <w:t>District of Columbia</w:t>
      </w:r>
    </w:p>
    <w:p w14:paraId="511F3EDA" w14:textId="77777777" w:rsidR="005D69E8" w:rsidRPr="005D69E8" w:rsidRDefault="005D69E8" w:rsidP="005D69E8"/>
    <w:p w14:paraId="27E7D5D5" w14:textId="314242AE" w:rsidR="00110BB6" w:rsidRDefault="00110BB6" w:rsidP="00110BB6">
      <w:pPr>
        <w:jc w:val="center"/>
      </w:pPr>
      <w:r>
        <w:t>FFY 2021 APR</w:t>
      </w:r>
      <w:r w:rsidR="00A47134">
        <w:rPr>
          <w:rStyle w:val="FootnoteReference"/>
        </w:rPr>
        <w:footnoteReference w:id="10"/>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1"/>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65B18EA" w14:textId="77777777" w:rsidR="005D69E8" w:rsidRDefault="005D69E8">
      <w:pPr>
        <w:spacing w:before="0" w:after="200" w:line="276" w:lineRule="auto"/>
      </w:pPr>
    </w:p>
    <w:p w14:paraId="10BA59E7" w14:textId="7B2717F0" w:rsidR="0058254D" w:rsidRDefault="005D69E8">
      <w:pPr>
        <w:spacing w:before="0" w:after="200" w:line="276" w:lineRule="auto"/>
      </w:pPr>
      <w:r>
        <w:object w:dxaOrig="1540" w:dyaOrig="997" w14:anchorId="01A52450">
          <v:shape id="_x0000_i1026" type="#_x0000_t75" alt="DC-B-DR-2021-22" style="width:77.25pt;height:51pt" o:ole="">
            <v:imagedata r:id="rId12" o:title=""/>
          </v:shape>
          <o:OLEObject Type="Embed" ProgID="Acrobat.Document.DC" ShapeID="_x0000_i1026" DrawAspect="Icon" ObjectID="_175204788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5B1AC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7" w:name="Introduction"/>
      <w:bookmarkStart w:id="98" w:name="_Hlk124349373"/>
      <w:bookmarkEnd w:id="3"/>
      <w:bookmarkEnd w:id="97"/>
      <w:bookmarkEnd w:id="98"/>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5B1A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7788EFA7" w14:textId="021AE617" w:rsidR="005D69E8" w:rsidRPr="00624E80" w:rsidRDefault="005D69E8" w:rsidP="005D69E8">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624E80">
        <w:rPr>
          <w:rFonts w:cs="Arial"/>
          <w:szCs w:val="16"/>
        </w:rPr>
        <w:t>ent data source to report data under this indicator.</w:t>
      </w:r>
      <w:bookmarkEnd w:id="5"/>
    </w:p>
  </w:footnote>
  <w:footnote w:id="3">
    <w:p w14:paraId="09C01DD1" w14:textId="0DC3263D" w:rsidR="00624E80" w:rsidRDefault="00624E80">
      <w:pPr>
        <w:pStyle w:val="FootnoteText"/>
      </w:pPr>
      <w:r w:rsidRPr="00624E80">
        <w:rPr>
          <w:rStyle w:val="FootnoteReference"/>
          <w:sz w:val="16"/>
          <w:szCs w:val="16"/>
        </w:rPr>
        <w:footnoteRef/>
      </w:r>
      <w:r w:rsidRPr="00624E80">
        <w:rPr>
          <w:sz w:val="16"/>
          <w:szCs w:val="16"/>
        </w:rPr>
        <w:t xml:space="preserve"> </w:t>
      </w:r>
      <w:r w:rsidRPr="00624E80">
        <w:rPr>
          <w:rFonts w:cs="Arial"/>
          <w:sz w:val="16"/>
          <w:szCs w:val="16"/>
        </w:rPr>
        <w:t>Percentage blurred due to privacy protection.</w:t>
      </w:r>
    </w:p>
  </w:footnote>
  <w:footnote w:id="4">
    <w:p w14:paraId="3F3D9B22" w14:textId="2A28F95A" w:rsidR="005D69E8" w:rsidRPr="005D69E8" w:rsidRDefault="005D69E8" w:rsidP="005D69E8">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3DFAA3A1" w14:textId="45ED0B2D" w:rsidR="00817C35" w:rsidRDefault="00817C35">
      <w:pPr>
        <w:pStyle w:val="FootnoteText"/>
      </w:pPr>
      <w:r w:rsidRPr="00817C35">
        <w:rPr>
          <w:rStyle w:val="FootnoteReference"/>
          <w:sz w:val="16"/>
          <w:szCs w:val="16"/>
        </w:rPr>
        <w:footnoteRef/>
      </w:r>
      <w:r w:rsidRPr="00817C35">
        <w:rPr>
          <w:sz w:val="16"/>
          <w:szCs w:val="16"/>
        </w:rPr>
        <w:t xml:space="preserve"> Data suppressed due to small cell size.</w:t>
      </w:r>
    </w:p>
  </w:footnote>
  <w:footnote w:id="6">
    <w:p w14:paraId="73880B2B" w14:textId="27679704" w:rsidR="00817C35" w:rsidRDefault="00817C35">
      <w:pPr>
        <w:pStyle w:val="FootnoteText"/>
      </w:pPr>
      <w:r w:rsidRPr="00817C35">
        <w:rPr>
          <w:rStyle w:val="FootnoteReference"/>
          <w:sz w:val="16"/>
          <w:szCs w:val="16"/>
        </w:rPr>
        <w:footnoteRef/>
      </w:r>
      <w:r w:rsidRPr="00817C35">
        <w:rPr>
          <w:sz w:val="16"/>
          <w:szCs w:val="16"/>
        </w:rPr>
        <w:t xml:space="preserve"> Data suppressed due to small cell size.</w:t>
      </w:r>
    </w:p>
  </w:footnote>
  <w:footnote w:id="7">
    <w:p w14:paraId="6D444909" w14:textId="5325035B" w:rsidR="0089165D" w:rsidRDefault="0089165D">
      <w:pPr>
        <w:pStyle w:val="FootnoteText"/>
      </w:pPr>
      <w:r w:rsidRPr="0089165D">
        <w:rPr>
          <w:rStyle w:val="FootnoteReference"/>
          <w:sz w:val="16"/>
          <w:szCs w:val="16"/>
        </w:rPr>
        <w:footnoteRef/>
      </w:r>
      <w:r w:rsidRPr="0089165D">
        <w:rPr>
          <w:sz w:val="16"/>
          <w:szCs w:val="16"/>
        </w:rPr>
        <w:t xml:space="preserve"> Data suppressed due to small cell size.</w:t>
      </w:r>
    </w:p>
  </w:footnote>
  <w:footnote w:id="8">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9">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0">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1">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5B1AC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8AB"/>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73C"/>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1AC0"/>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9E8"/>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4E80"/>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17C35"/>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65D"/>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59C3"/>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A44"/>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9C67E-B951-4573-A76B-DD2EC3E8D281}"/>
</file>

<file path=customXml/itemProps2.xml><?xml version="1.0" encoding="utf-8"?>
<ds:datastoreItem xmlns:ds="http://schemas.openxmlformats.org/officeDocument/2006/customXml" ds:itemID="{E34A9DCB-E3D8-4048-BDD4-1F7881EB959B}">
  <ds:schemaRefs>
    <ds:schemaRef ds:uri="http://schemas.microsoft.com/office/infopath/2007/PartnerControls"/>
    <ds:schemaRef ds:uri="http://schemas.openxmlformats.org/package/2006/metadata/core-properties"/>
    <ds:schemaRef ds:uri="4f36bac4-6705-4a36-974b-7c07450fedf2"/>
    <ds:schemaRef ds:uri="http://purl.org/dc/dcmitype/"/>
    <ds:schemaRef ds:uri="http://schemas.microsoft.com/office/2006/documentManagement/types"/>
    <ds:schemaRef ds:uri="http://purl.org/dc/terms/"/>
    <ds:schemaRef ds:uri="http://schemas.microsoft.com/sharepoint/v3"/>
    <ds:schemaRef ds:uri="292db1e8-b3d0-4356-8ef3-2a6d7ed77883"/>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29</TotalTime>
  <Pages>86</Pages>
  <Words>47318</Words>
  <Characters>269714</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9</cp:revision>
  <cp:lastPrinted>2014-08-19T16:56:00Z</cp:lastPrinted>
  <dcterms:created xsi:type="dcterms:W3CDTF">2023-06-28T17:06:00Z</dcterms:created>
  <dcterms:modified xsi:type="dcterms:W3CDTF">2023-07-28T16:07:00Z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