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California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U.S. Department of Education Office of Special Education Programs requires each state to submit the Part C of the Individuals with Disabilities Education Act State Performance Plan/Annual Performance Report. Part C of Individuals with Disabilities Education Act is commonly referred to as Early Start in the state of California. This Annual Performance Report for federal fiscal year 2020 represents data covering the period from July 1, 2020, through June 30, 2021. It provides the Office of Special Education Programs with information on the progress of California’s Early Start program in meeting the established targets for each of the indicators listed in its State Performance Plan/Annual Performance Report.</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Since March 4, 2020, the California Governor’s State of Emergency proclamation remains in effect. The COVID-19 pandemic continued to have significant impacts on California’s Early Start program throughout the Federal Fiscal Year 2020 (July 1, 2020-June 30, 2021) reporting period. Previously issued State Department Directives were extended throughout this reporting period, waiving the requirement of in-person meetings for determining eligibility or service coordination. This allowed individualized family service plan meetings and early intervention services to occur without delay and be held remotely when requested by a family. The Directives afforded flexibilities in program delivery that resulted in reported increases in family involvement, use of family-centered coaching strategies, and a decrease in travel constraints. Another State Department Directive aimed to prevent gaps in services extended early intervention services to children who reached their third birthday during the COVID-19 State of Emergency to remain in effect throughout this reporting period.</w:t>
      </w:r>
      <w:r w:rsidRPr="00ED172B">
        <w:rPr>
          <w:color w:val="000000" w:themeColor="text1"/>
        </w:rPr>
        <w:br/>
        <w:t>Data collected during the reporting period shows significant increases in referrals compared to the prior reporting period, and overall caseload count has returned to pre-COVID-19 pandemic levels. This increase in referrals can be attributed to the received support of the Interagency Coordinating Council on Early Intervention, developed outreach materials and strategies informing the public that assessments and services are still being provided by the regional centers. Outreach materials are consistently shared with Early Start stakeholders, regional centers, local educational agencies and community partners for continued distribution. Developed resources and strategies included two public service announcements; a published flyer listing Early Start community resources released in multiple languages; disseminating a brochure expressly meant for medical associations, hospitals and pediatricians encouraging referrals; and developing and creating social media scripts in English and Spanish for community partners to share on various social media platforms. All materials promoted the Department’s public access phone line, known as the BabyLine, that offers resources and coordination to local regional centers and family resource centers.</w:t>
      </w:r>
      <w:r w:rsidRPr="00ED172B">
        <w:rPr>
          <w:color w:val="000000" w:themeColor="text1"/>
        </w:rPr>
        <w:br/>
        <w:t xml:space="preserve">At the local level, regional centers are developing individualized outreach materials including posting information on their websites; utilizing social media; sharing public service announcements; using specialized regional center staff (cultural specialist and federal programs specialist) to concentrate efforts on referral sources that connect underserved groups with services and resources; strengthening individual relationships with community partners that include local healthcare agency offices such as Help Me Grow, First 5, and county offices of Children and Family Services; and utilizing virtual townhall meetings to discuss services. </w:t>
      </w:r>
      <w:r w:rsidRPr="00ED172B">
        <w:rPr>
          <w:color w:val="000000" w:themeColor="text1"/>
        </w:rPr>
        <w:br/>
        <w:t>Monitoring reviews continue to be impacted by COVID-19. Seven regional centers were monitored 100% remotely this reporting period. One regional center was not able to clear their finding of noncompliance within 12 months because the regional center was focusing on addressing internal COVID-19 priorities/issues. Department of Developmental Services took steps to mitigate the impact on the data collection by issuing guidance to regional centers on the requirement to continue to implement the requirements of Individuals with Disabilities Education Act during the COVID-19 pandemic. Department of Developmental Services established a web page for information and guidance related to COVID-19 on the Department of Developmental Services website at: https://www.dds.ca.gov/corona-virus-information-and-resources/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California monitors implementation of Part C Early Intervention Services through the Early Start program at regional centers and local educational agencies. State monitoring activities focus on improving results and functional outcomes for all children with disabilities served in the program and ensuring local programs meet all Part C requirements.</w:t>
      </w:r>
      <w:r w:rsidRPr="00ED172B">
        <w:rPr>
          <w:color w:val="000000" w:themeColor="text1"/>
          <w:szCs w:val="16"/>
        </w:rPr>
        <w:br/>
      </w:r>
      <w:r w:rsidRPr="00ED172B">
        <w:rPr>
          <w:color w:val="000000" w:themeColor="text1"/>
          <w:szCs w:val="16"/>
        </w:rPr>
        <w:br/>
        <w:t xml:space="preserve">The Department of Developmental Services monitors regional centers using quantifiable indicators in each of the priority areas specified by the Office of Special Education Programs. The Department conducts program monitoring on a three-year cycle and reviews a random selection of records during the Part C review. The random sample is determined by child count, urban/rural area, and historical performance of regional centers. The number of records is determined on an annual review of the regional center caseload count. </w:t>
      </w:r>
      <w:r w:rsidRPr="00ED172B">
        <w:rPr>
          <w:color w:val="000000" w:themeColor="text1"/>
          <w:szCs w:val="16"/>
        </w:rPr>
        <w:br/>
      </w:r>
      <w:r w:rsidRPr="00ED172B">
        <w:rPr>
          <w:color w:val="000000" w:themeColor="text1"/>
          <w:szCs w:val="16"/>
        </w:rPr>
        <w:br/>
        <w:t>The California Department of Education monitors local educational agencies using a Quality Assurance Process. California's process addresses non-compliance and timelines for corrective actions. Through subsequent reviews, the State verifies the correction of non-compliance on all findings at both the individual and systemic level within a year of notification to the regional center or local educational agency, consistent with OSEP Memo 09-02.</w:t>
      </w:r>
      <w:r w:rsidRPr="00ED172B">
        <w:rPr>
          <w:color w:val="000000" w:themeColor="text1"/>
          <w:szCs w:val="16"/>
        </w:rPr>
        <w:br/>
        <w:t>As part of the General Supervision requirements, California’s dispute resolution process is available to address disagreements between parents and the service system. At any time, parents have the right to request a due process hearing, a mediation conference, or file a state complaint to resolve disagreements related to Early Start services or allegations that a federal or state statute or regulation has been violated. The court appointed administrative law judge or complaint investigator may identify non-compliance during an investigation or hearing. If non-compliance has been identified, the State verifies the correction of findings derived from the dispute resolution process to ensure that decisions rendered are implemented at the local level.</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State identifies the need to provide technical assistance through on-going monitoring activities, results of dispute resolution activities, and regular review of information in data collection systems. These methods allow for timely provision of targeted and/or statewide assistance. Technical assistance is provided in a variety of ways and may include State staff and/or contractors in the delivery of assistance.</w:t>
      </w:r>
      <w:r w:rsidRPr="00ED172B">
        <w:rPr>
          <w:color w:val="000000" w:themeColor="text1"/>
          <w:szCs w:val="16"/>
        </w:rPr>
        <w:br/>
        <w:t xml:space="preserve">Technical assistance is available upon request and on-going assistance is provided on various topics.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 xml:space="preserve">The State provides technical assistance on a regular basis through the regional Early Start supervisor meetings and the Association of Regional Center Agencies Early Start Discipline Group meetings. Staff provides technical assistance during the monitoring process by assisting local programs with identifying the root cause of non-compliance and the required follow-up activities. California regularly provides technical assistance on Early Start program requirements to the University of California, Center for Excellence on Developmental Disabilities’ California Early Start Support Network. This group is comprised of Early Intervention service providers, including local educational agencies, and early childhood personnel from the Department of Developmental Services and the California Department of Education.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Early Start Training and Technical Assistance Development Leadership Group, comprised of Department of Developmental Services, California Department of Education, and WestEd staff, convenes regularly to address on-going development and implementation of the comprehensive system of personnel development. Components of the Early Start Personnel Development System include a web-based interactive training platform called Early Start Online. </w:t>
      </w:r>
      <w:r w:rsidRPr="00ED172B">
        <w:rPr>
          <w:color w:val="000000" w:themeColor="text1"/>
          <w:szCs w:val="16"/>
        </w:rPr>
        <w:br/>
        <w:t xml:space="preserve">Early Start Online courses address foundational and advanced knowledge-level content. Ongoing facilitation by parent-professional teams expands the expertise and perspectives available to online training participants, maintains participant satisfaction with training experiences, and supports participant course completion. Pre- and post-training assessments validate increases in knowledge levels for training participants. Participation in and feedback on Early Start Online is consistently high and positive. Impact survey results validate integration of increased knowledge into work at the individual level for Early Start Online participants. Early Start Online consists of two course series: Foundations and Skill Base. </w:t>
      </w:r>
      <w:r w:rsidRPr="00ED172B">
        <w:rPr>
          <w:color w:val="000000" w:themeColor="text1"/>
          <w:szCs w:val="16"/>
        </w:rPr>
        <w:br/>
      </w:r>
      <w:r w:rsidRPr="00ED172B">
        <w:rPr>
          <w:color w:val="000000" w:themeColor="text1"/>
          <w:szCs w:val="16"/>
        </w:rPr>
        <w:br/>
        <w:t xml:space="preserve">The Early Start Online Foundations Series consists of three Foundations courses: </w:t>
      </w:r>
      <w:r w:rsidRPr="00ED172B">
        <w:rPr>
          <w:color w:val="000000" w:themeColor="text1"/>
          <w:szCs w:val="16"/>
        </w:rPr>
        <w:br/>
        <w:t xml:space="preserve">1. Foundations: Understanding Systems, Processes and Practices </w:t>
      </w:r>
      <w:r w:rsidRPr="00ED172B">
        <w:rPr>
          <w:color w:val="000000" w:themeColor="text1"/>
          <w:szCs w:val="16"/>
        </w:rPr>
        <w:br/>
        <w:t xml:space="preserve">• Family Systems </w:t>
      </w:r>
      <w:r w:rsidRPr="00ED172B">
        <w:rPr>
          <w:color w:val="000000" w:themeColor="text1"/>
          <w:szCs w:val="16"/>
        </w:rPr>
        <w:br/>
        <w:t xml:space="preserve">• Early Start System </w:t>
      </w:r>
      <w:r w:rsidRPr="00ED172B">
        <w:rPr>
          <w:color w:val="000000" w:themeColor="text1"/>
          <w:szCs w:val="16"/>
        </w:rPr>
        <w:br/>
        <w:t xml:space="preserve">• Making Decisions Using Evidence-Based Practice </w:t>
      </w:r>
      <w:r w:rsidRPr="00ED172B">
        <w:rPr>
          <w:color w:val="000000" w:themeColor="text1"/>
          <w:szCs w:val="16"/>
        </w:rPr>
        <w:br/>
        <w:t xml:space="preserve">• Individual Family Service Plan Development </w:t>
      </w:r>
      <w:r w:rsidRPr="00ED172B">
        <w:rPr>
          <w:color w:val="000000" w:themeColor="text1"/>
          <w:szCs w:val="16"/>
        </w:rPr>
        <w:br/>
        <w:t xml:space="preserve">• Supporting Families Using Coaching and Other Help-Giving Practices </w:t>
      </w:r>
      <w:r w:rsidRPr="00ED172B">
        <w:rPr>
          <w:color w:val="000000" w:themeColor="text1"/>
          <w:szCs w:val="16"/>
        </w:rPr>
        <w:br/>
        <w:t>2. Foundations: Working through the Individual Family Service Plan Development Process</w:t>
      </w:r>
      <w:r w:rsidRPr="00ED172B">
        <w:rPr>
          <w:color w:val="000000" w:themeColor="text1"/>
          <w:szCs w:val="16"/>
        </w:rPr>
        <w:br/>
        <w:t xml:space="preserve">• Early Child Development </w:t>
      </w:r>
      <w:r w:rsidRPr="00ED172B">
        <w:rPr>
          <w:color w:val="000000" w:themeColor="text1"/>
          <w:szCs w:val="16"/>
        </w:rPr>
        <w:br/>
        <w:t xml:space="preserve">• Screening, Evaluation, and Assessment </w:t>
      </w:r>
      <w:r w:rsidRPr="00ED172B">
        <w:rPr>
          <w:color w:val="000000" w:themeColor="text1"/>
          <w:szCs w:val="16"/>
        </w:rPr>
        <w:br/>
        <w:t xml:space="preserve">• Creating Functional Outcomes </w:t>
      </w:r>
      <w:r w:rsidRPr="00ED172B">
        <w:rPr>
          <w:color w:val="000000" w:themeColor="text1"/>
          <w:szCs w:val="16"/>
        </w:rPr>
        <w:br/>
        <w:t xml:space="preserve">• Natural Environments for Families </w:t>
      </w:r>
      <w:r w:rsidRPr="00ED172B">
        <w:rPr>
          <w:color w:val="000000" w:themeColor="text1"/>
          <w:szCs w:val="16"/>
        </w:rPr>
        <w:br/>
        <w:t xml:space="preserve">• Selecting and Developing Interventions </w:t>
      </w:r>
      <w:r w:rsidRPr="00ED172B">
        <w:rPr>
          <w:color w:val="000000" w:themeColor="text1"/>
          <w:szCs w:val="16"/>
        </w:rPr>
        <w:br/>
        <w:t xml:space="preserve">3. Foundations: Partnering for Effective Service Delivery </w:t>
      </w:r>
      <w:r w:rsidRPr="00ED172B">
        <w:rPr>
          <w:color w:val="000000" w:themeColor="text1"/>
          <w:szCs w:val="16"/>
        </w:rPr>
        <w:br/>
        <w:t xml:space="preserve">• Working with Diverse Families </w:t>
      </w:r>
      <w:r w:rsidRPr="00ED172B">
        <w:rPr>
          <w:color w:val="000000" w:themeColor="text1"/>
          <w:szCs w:val="16"/>
        </w:rPr>
        <w:br/>
        <w:t xml:space="preserve">• Relationship-Based Early Intervention </w:t>
      </w:r>
      <w:r w:rsidRPr="00ED172B">
        <w:rPr>
          <w:color w:val="000000" w:themeColor="text1"/>
          <w:szCs w:val="16"/>
        </w:rPr>
        <w:br/>
        <w:t xml:space="preserve">• Quality Assurance in Early Intervention </w:t>
      </w:r>
      <w:r w:rsidRPr="00ED172B">
        <w:rPr>
          <w:color w:val="000000" w:themeColor="text1"/>
          <w:szCs w:val="16"/>
        </w:rPr>
        <w:br/>
        <w:t xml:space="preserve">• Transition Planning </w:t>
      </w:r>
      <w:r w:rsidRPr="00ED172B">
        <w:rPr>
          <w:color w:val="000000" w:themeColor="text1"/>
          <w:szCs w:val="16"/>
        </w:rPr>
        <w:br/>
        <w:t xml:space="preserve">• Collaboration with the Early Start Team and Community Resources </w:t>
      </w:r>
      <w:r w:rsidRPr="00ED172B">
        <w:rPr>
          <w:color w:val="000000" w:themeColor="text1"/>
          <w:szCs w:val="16"/>
        </w:rPr>
        <w:br/>
      </w:r>
      <w:r w:rsidRPr="00ED172B">
        <w:rPr>
          <w:color w:val="000000" w:themeColor="text1"/>
          <w:szCs w:val="16"/>
        </w:rPr>
        <w:br/>
        <w:t xml:space="preserve">The Early Start Skill Base Series includes courses that address development and intervention within specific developmental domains or disability conditions. Each Skill Base course includes five lessons addressing similar content areas but with a focus on a specific domain. There are five Skill Base courses on sensory processing, social/emotional, communication, cognitive and adaptive development. In addition, a non-facilitated open access version of the Skill Base course on social and emotional development is available to Early Start stakeholders to support attainment of California’s State-identified Measurable Result under California's State Systemic Improvement Plan. </w:t>
      </w:r>
      <w:r w:rsidRPr="00ED172B">
        <w:rPr>
          <w:color w:val="000000" w:themeColor="text1"/>
          <w:szCs w:val="16"/>
        </w:rPr>
        <w:br/>
      </w:r>
      <w:r w:rsidRPr="00ED172B">
        <w:rPr>
          <w:color w:val="000000" w:themeColor="text1"/>
          <w:szCs w:val="16"/>
        </w:rPr>
        <w:br/>
        <w:t xml:space="preserve">The roles reported most frequently by participants who completed the courses are early intervention direct service providers (39%; from both local educational agencies and regional center vendored programs) and Early Start service coordinators (20%). Agencies reported most frequently by participants who completed the courses are regional center vendor (25% and regional center (28%). </w:t>
      </w:r>
      <w:r w:rsidRPr="00ED172B">
        <w:rPr>
          <w:color w:val="000000" w:themeColor="text1"/>
          <w:szCs w:val="16"/>
        </w:rPr>
        <w:br/>
      </w:r>
      <w:r w:rsidRPr="00ED172B">
        <w:rPr>
          <w:color w:val="000000" w:themeColor="text1"/>
          <w:szCs w:val="16"/>
        </w:rPr>
        <w:br/>
        <w:t>Online Peer/Expert Networking Source: is an interactive website activated in April 2020 to address issues emerging due to the COVID-19 pandemic and the California statewide stay-at-home order. Early intervention resources for professionals and families during the COVID-19 pandemic are curated, and disseminated on the existing Early Start Online learning management platform.</w:t>
      </w:r>
      <w:r w:rsidRPr="00ED172B">
        <w:rPr>
          <w:color w:val="000000" w:themeColor="text1"/>
          <w:szCs w:val="16"/>
        </w:rPr>
        <w:br/>
      </w:r>
      <w:r w:rsidRPr="00ED172B">
        <w:rPr>
          <w:color w:val="000000" w:themeColor="text1"/>
          <w:szCs w:val="16"/>
        </w:rPr>
        <w:br/>
        <w:t xml:space="preserve">Early Start Effective Practice Training Activities: Live trainings, online modules and real-time webinars on special topics are conducted to offer timely communication to the field on issues critical to Early Start implementation. The Early Start Partners Symposium 2021, an annual Effective Practice training event supporting Early Start multi-disciplinary personnel and cross sector partners with skills and resources to serve children and families in communities throughout California, was replaced with the Early Start Professional Development Webinar Series. This series included two topic areas: Tele-practice (7 sessions) focused on web-based strategies to support Early Start children and their families and Wellness, Mental Health, and Resilience (5 sessions) focused on preventing, recognizing, and addressing stressors for children, families, and professionals. The series was produced using a collaborative process, led by Department of Developmental Services, involving the participation of training and technical assistance providers representing partner state agencies, regional centers, regional center vendors, local educational agencies, and family resource center stakeholders from all regions of the state. </w:t>
      </w:r>
      <w:r w:rsidRPr="00ED172B">
        <w:rPr>
          <w:color w:val="000000" w:themeColor="text1"/>
          <w:szCs w:val="16"/>
        </w:rPr>
        <w:br/>
        <w:t>• Early Start Training Grants: Early Start Training Grants were available in 2019-20 to support regional centers to build capacity in their State Systemic Improvement Plan implementation activities. Thirteen regional centers were awarded training grant funds. However, due to COVID-19 and the Governor’s stay-at-home order, 12 of 13 regional centers could not conduct their proposed training before the end of the Federal Fiscal year 2019/20. Subsequently, the deadline for the use of funds was extended to November 2020. Of those 12 regional centers, 11 were able to expend the funds by the November 2020 deadline. The remaining regional center completed their training in early December 2020. Local training plans included the following topics:</w:t>
      </w:r>
      <w:r w:rsidRPr="00ED172B">
        <w:rPr>
          <w:color w:val="000000" w:themeColor="text1"/>
          <w:szCs w:val="16"/>
        </w:rPr>
        <w:br/>
        <w:t>• Administration of the Developmental Assessment of Young Children-Second Edition</w:t>
      </w:r>
      <w:r w:rsidRPr="00ED172B">
        <w:rPr>
          <w:color w:val="000000" w:themeColor="text1"/>
          <w:szCs w:val="16"/>
        </w:rPr>
        <w:br/>
        <w:t>• Caregiver Coaching</w:t>
      </w:r>
      <w:r w:rsidRPr="00ED172B">
        <w:rPr>
          <w:color w:val="000000" w:themeColor="text1"/>
          <w:szCs w:val="16"/>
        </w:rPr>
        <w:br/>
        <w:t>• Center on Social-Emotional Foundations for Early Learning/Pyramid Model</w:t>
      </w:r>
      <w:r w:rsidRPr="00ED172B">
        <w:rPr>
          <w:color w:val="000000" w:themeColor="text1"/>
          <w:szCs w:val="16"/>
        </w:rPr>
        <w:br/>
        <w:t>• Early Start Neighborhood</w:t>
      </w:r>
      <w:r w:rsidRPr="00ED172B">
        <w:rPr>
          <w:color w:val="000000" w:themeColor="text1"/>
          <w:szCs w:val="16"/>
        </w:rPr>
        <w:br/>
        <w:t>• Family-Guided Routines-Based Intervention</w:t>
      </w:r>
      <w:r w:rsidRPr="00ED172B">
        <w:rPr>
          <w:color w:val="000000" w:themeColor="text1"/>
          <w:szCs w:val="16"/>
        </w:rPr>
        <w:br/>
        <w:t>• Functional Social-Emotional Milestones</w:t>
      </w:r>
      <w:r w:rsidRPr="00ED172B">
        <w:rPr>
          <w:color w:val="000000" w:themeColor="text1"/>
          <w:szCs w:val="16"/>
        </w:rPr>
        <w:br/>
        <w:t>• Strengthening Families and the Five Protective Factors</w:t>
      </w:r>
      <w:r w:rsidRPr="00ED172B">
        <w:rPr>
          <w:color w:val="000000" w:themeColor="text1"/>
          <w:szCs w:val="16"/>
        </w:rPr>
        <w:br/>
      </w:r>
      <w:r w:rsidRPr="00ED172B">
        <w:rPr>
          <w:color w:val="000000" w:themeColor="text1"/>
          <w:szCs w:val="16"/>
        </w:rPr>
        <w:lastRenderedPageBreak/>
        <w:t>• Trauma-informed care</w:t>
      </w:r>
      <w:r w:rsidRPr="00ED172B">
        <w:rPr>
          <w:color w:val="000000" w:themeColor="text1"/>
          <w:szCs w:val="16"/>
        </w:rPr>
        <w:br/>
        <w:t>• Writing Relationship-Based Goals</w:t>
      </w:r>
      <w:r w:rsidRPr="00ED172B">
        <w:rPr>
          <w:color w:val="000000" w:themeColor="text1"/>
          <w:szCs w:val="16"/>
        </w:rPr>
        <w:br/>
      </w:r>
      <w:r w:rsidRPr="00ED172B">
        <w:rPr>
          <w:color w:val="000000" w:themeColor="text1"/>
          <w:szCs w:val="16"/>
        </w:rPr>
        <w:br/>
        <w:t xml:space="preserve">Early Start Neighborhood: The Neighborhood is a web-based community designed to inform and connect Early Start personnel with timely news and resources focusing on evidence-based practices in early intervention. In addition, the Early Start Neighborhood supports the State-identified Measurable Result under California’s State Systemic Improvement Plan. Features include: </w:t>
      </w:r>
      <w:r w:rsidRPr="00ED172B">
        <w:rPr>
          <w:color w:val="000000" w:themeColor="text1"/>
          <w:szCs w:val="16"/>
        </w:rPr>
        <w:br/>
        <w:t xml:space="preserve">• Weekly blog posts that highlight state and federal initiatives of interest to the Early Start community, including those related to California State Systemic Improvement Plan priorities. </w:t>
      </w:r>
      <w:r w:rsidRPr="00ED172B">
        <w:rPr>
          <w:color w:val="000000" w:themeColor="text1"/>
          <w:szCs w:val="16"/>
        </w:rPr>
        <w:br/>
        <w:t xml:space="preserve">• Resources for Early Start professionals, including the Early Start Service Coordination Handbook and similar job-related publications, which are located and available for download from the Neighborhood. </w:t>
      </w:r>
      <w:r w:rsidRPr="00ED172B">
        <w:rPr>
          <w:color w:val="000000" w:themeColor="text1"/>
          <w:szCs w:val="16"/>
        </w:rPr>
        <w:br/>
        <w:t>• All State Systemic Improvement Plan resources developed for the implementation of the State Systemic Improvement Plan on social and emotional development are located and available for download from the Neighborhood.</w:t>
      </w:r>
      <w:r w:rsidRPr="00ED172B">
        <w:rPr>
          <w:color w:val="000000" w:themeColor="text1"/>
          <w:szCs w:val="16"/>
        </w:rPr>
        <w:br/>
        <w:t>• Part C literacy materials, intended to increase knowledge about Individuals with Disabilities Education Act Part C practices and requirements, are identified by the Interagency Coordinating Council Chair, disseminated to Interagency Coordinating Council meeting attendees, and highlighted and archived on the Neighborhood.</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Parent members provided comprehensive feedback and analysis of the State’s recommended target updates and target setting methodology. Their analysis included reviewing trend performances of the past 5 years, examining the Office of Special Education Programs recommended approaches for target setting, and establishing a base line year for newly approved targets. To increase data literacy and engagement the use of data visualizations and charts were created to translate the various aspects of the data. Engagement included discussions and clarification on factors affecting data such as COVID-19, budget changes, natural disasters, and state initiatives. Data improvement strategy recommendations were collected for consideration in updating the State’s current evaluation process.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State created several public awareness resources, specifically two public service announcements and an animated short film, to inform all families of the timelines, evaluation process, and the eligibility requirements of Early Start services.  All resources were designed to meet the Federal Government’s standards for accessibility and were available in English and Spanish.  Resource development occurred in collaboration with a diverse set of parents who have children receiving or who have previously received Early Start services as well as the endorsement of the State’s Surgeon General.  Additionally, these resources were designed to engage stakeholders and build opportunities to further collaborate, better serve, and ensure access of services to diverse groups of families and children in order to improve overall outcomes to underserved populations.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Public input was solicited during Zoom quarterly Interagency Coordinating Council meetings involving comprehensive feedback and analysis of the State’s recommended target updates and target setting methodology. Their analysis including reviewing trend performances of the past 5 years, examining the Office of Special Education Programs recommended approaches for target setting, and establishing a base line year for newly approved targets. To increase data literacy and engagement the use of data visualizations and charts were created to translate the various aspects of the data. Engagement included discussions and clarification on impacting factors affecting data such as COVID-19, budget changes, natural disasters, and state initiatives. Data improvement strategy recommendations were collected for consideration in updating the State’s current evaluation process.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meeting dates, agendas, and minutes, including those containing target setting, data analysis, development of improvement strategies, and evaluation updates are posted onto the State’s website at:  https://www.dds.ca.gov/services/early-start/state-icc-on-early-intervention-overview/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State publicly posts the performance of each local program no later than 120 days following the State’s submission of its Annual Performance Report on its website along with the complete copy of the State’s Annual Performance Report. The web-link of all reports and State determinations can be found here: https://www.dds.ca.gov/services/early-start/state-performance-reports/</w:t>
      </w:r>
    </w:p>
    <w:p w14:paraId="6A6F1771" w14:textId="3EDEB232" w:rsidR="003A4D77" w:rsidRPr="00A40EE1" w:rsidRDefault="00571E72" w:rsidP="00C15786">
      <w:pPr>
        <w:pStyle w:val="Heading2"/>
      </w:pPr>
      <w:r w:rsidRPr="00A40EE1">
        <w:lastRenderedPageBreak/>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California utilized many opportunities to receive technical assistance in this reporting year on topics specific to the Annual Performance Report/State Performance Plan and State Systemic Improvement Plan . Staff participated in webinars, training and workshops and utilized resources made available from the following sources: Office of Special Education Programs, the Individual with Disabilities Education Act Data Center, the Center for Individual with Disabilities Education Act Early Childhood Data Systems, the Early Childhood Technical Assistance Center, and WestEd. </w:t>
      </w:r>
      <w:r w:rsidRPr="00ED172B">
        <w:rPr>
          <w:color w:val="000000" w:themeColor="text1"/>
        </w:rPr>
        <w:br/>
      </w:r>
      <w:r w:rsidRPr="00ED172B">
        <w:rPr>
          <w:color w:val="000000" w:themeColor="text1"/>
        </w:rPr>
        <w:br/>
        <w:t>As a result of receiving this technical assistance, the following actions occurred:</w:t>
      </w:r>
      <w:r w:rsidRPr="00ED172B">
        <w:rPr>
          <w:color w:val="000000" w:themeColor="text1"/>
        </w:rPr>
        <w:br/>
        <w:t xml:space="preserve">• Training provided around Differential Monitoring and Support 2.0 and how California could improve outcomes and results for infants, toddlers, children and youth with disabilities. Training sessions enabled staff and stakeholders to use the Office of Special Education Programs Phase 1 monitoring protocols and best practices as a resource and self-assessment tool. </w:t>
      </w:r>
      <w:r w:rsidRPr="00ED172B">
        <w:rPr>
          <w:color w:val="000000" w:themeColor="text1"/>
        </w:rPr>
        <w:br/>
        <w:t>• Early Childhood Technical Assistance Center- the Center for Individual with Disabilities Education Act Early Childhood Data Systems resources were utilized to examine and improve Family Survey dissemination;</w:t>
      </w:r>
      <w:r w:rsidRPr="00ED172B">
        <w:rPr>
          <w:color w:val="000000" w:themeColor="text1"/>
        </w:rPr>
        <w:br/>
        <w:t>• The Center for Individual with Disabilities Education Act Early Childhood Data Systems guidance began with stakeholder discussions in early 2020 to establish Annual Performance Report targets, including guidance on best practices to engage stakeholders on the target updating process and solicit stakeholder feedback. Progress was also made on improving accountability and child outcomes completion data.</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91.50%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88.84%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78.45%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82.15%</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82.86%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81.36%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255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296</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81.36%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89.86%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There were various reasons for delay in timely provision of services including but not limited to: </w:t>
      </w:r>
      <w:r w:rsidRPr="00ED172B">
        <w:rPr>
          <w:color w:val="000000" w:themeColor="text1"/>
          <w:szCs w:val="16"/>
        </w:rPr>
        <w:br/>
        <w:t>Lack of resources (service provider availability at rural locations, language capabilities etc.) staff shortages due to COVID-19, and other administrative issues such as not having the informational technology infrastructure to pivot to remote services. The Department of Developmental Services took steps to mitigate the impact on the data collection by issuing guidance to regional centers on the requirement to continue to implement the requirements of Individuals with Disabilities Education Act during the COVID-19 pandemic. The Department of Developmental Services (DDS) established a web page for information and guidance related to COVID-19 on the DDS website at: https://www.dds.ca.gov/corona-virus-information-and-resources/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California defines timeliness as early intervention service identified on an infant or toddler's IFSP starting as soon as possible, but no later than 45 days after the parent(s) provides consent for the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Department of Developmental Services conducts comprehensive regional center Early Start programs reviews via a three-year monitoring cycle of identified cohorts. Department of Developmental Services conducted seven remote reviews during Fiscal Federal Year 2020. The sample of records reviewed is random and based on the population served. California Department of Education (CDE) data is derived from monitoring for infants and toddlers served with solely low incidence disabilities in Federal Fiscal Year 2020.</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1. The impact on data completeness, validity and reliability for the indicator: Data analysis indicates COVID-19 did not impact data completeness, validity, or reliability for this indicator. </w:t>
      </w:r>
      <w:r w:rsidRPr="00ED172B">
        <w:rPr>
          <w:color w:val="000000" w:themeColor="text1"/>
        </w:rPr>
        <w:br/>
        <w:t xml:space="preserve">2. An explanation of how COVID-19 specifically impacted the State’s ability to collect the data for the indicator: There is no evidence indicating that COVID-19 impacted the State's ability to collect data for this indicator. </w:t>
      </w:r>
      <w:r w:rsidRPr="00ED172B">
        <w:rPr>
          <w:color w:val="000000" w:themeColor="text1"/>
        </w:rPr>
        <w:br/>
        <w:t xml:space="preserve">3. Any steps the State took to mitigate the impact of COVID-19 on the data collection: No additional steps were taken since data collection was not impacted by COVID-19.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California verifies that the noncompliance is corrected by confirming that the identified early intervention services were provided, although late, unless the child is no longer within the jurisdiction of the early intervention services program, consistent with Office of Special Education Programs Memo 09-02. In addition, California ensures that each early intervention services program with identified noncompliance is correctly implementing the specific regulatory requirements by completing subsequent reviews of records in order to achieve 100% compliance as soon as possible, but in no case later than one year from identification of noncompliance. Of the six findings of noncompliance identified in FFY 2019, six findings were identified by Department of Developmental Services and the thirty-four remaining findings were identified by California Department of Education.</w:t>
      </w:r>
      <w:r w:rsidRPr="00ED172B">
        <w:rPr>
          <w:color w:val="000000" w:themeColor="text1"/>
        </w:rPr>
        <w:br/>
      </w:r>
      <w:r w:rsidRPr="00ED172B">
        <w:rPr>
          <w:color w:val="000000" w:themeColor="text1"/>
        </w:rPr>
        <w:br/>
        <w:t>Findings identified by Department of Developmental Services (DDS)</w:t>
      </w:r>
      <w:r w:rsidRPr="00ED172B">
        <w:rPr>
          <w:color w:val="000000" w:themeColor="text1"/>
        </w:rPr>
        <w:br/>
        <w:t xml:space="preserve">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identified EIS were provided, unless the child is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303.342(e), and 303.344(f)(1), and are in 100% compliance. DDS completed the above-mentioned process with the six RCs that had outstanding findings in FFY 2019. DDS verified that the five RCs correctly implemented the specific regulatory requirements in 34 CFR, §§ 303.342(e), and 303.344(f)(1), and met 100% compliance. However, one of the RCs did not meet 100% compliance within the twelve-month timeline due to lack of EIS providers as a result of COVID-19. DDS will complete another subsequent review in January 2022 and verify that the remaining RC is correctly implementing the specific regulatory </w:t>
      </w:r>
      <w:r w:rsidRPr="00ED172B">
        <w:rPr>
          <w:color w:val="000000" w:themeColor="text1"/>
        </w:rPr>
        <w:lastRenderedPageBreak/>
        <w:t>requirements in 34 CFR, §§ 303.342(e), and 303.344(f)(1), and are in 100% compliance.</w:t>
      </w:r>
      <w:r w:rsidRPr="00ED172B">
        <w:rPr>
          <w:color w:val="000000" w:themeColor="text1"/>
        </w:rPr>
        <w:br/>
      </w:r>
      <w:r w:rsidRPr="00ED172B">
        <w:rPr>
          <w:color w:val="000000" w:themeColor="text1"/>
        </w:rPr>
        <w:br/>
        <w:t>Findings identified by California Department of Education (CDE)</w:t>
      </w:r>
      <w:r w:rsidRPr="00ED172B">
        <w:rPr>
          <w:color w:val="000000" w:themeColor="text1"/>
        </w:rPr>
        <w:br/>
        <w:t>CDE requires a stringent level of follow-up review and reporting in districts with identified noncompliance related to this indicator. The CDE ensures local education agencies (LEAs) are correctly implementing the specific regulatory requirements by reviewing policies, procedures and practices, providing staff training, and by reviewing a new sample of student records for each district-level finding. District-level corrective actions are given a timeline of three months. For all findings, correction must be completed as soon as possible but, in no case later than one year.</w:t>
      </w:r>
      <w:r w:rsidRPr="00ED172B">
        <w:rPr>
          <w:color w:val="000000" w:themeColor="text1"/>
        </w:rPr>
        <w:br/>
      </w:r>
      <w:r w:rsidRPr="00ED172B">
        <w:rPr>
          <w:color w:val="000000" w:themeColor="text1"/>
        </w:rPr>
        <w:br/>
        <w:t>CDE issued the remaining thirty-four findings identified on this indicator that were verified as corrected within the required timeline. CDE verified that each LEA with noncompliance identified in FFY 2019 is correctly implementing the specific regulatory requirements in 34 CFR, §§ 303.342(e), and 303.344(f)(1), and are in 100% compliance.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Department of Developmental Services and California Department of Education ensured appropriate action to correct each individual case of noncompliance through the monitoring review process and subsequent follow-up. Department of Developmental Services or California Department of Education verified that the identified early intervention services were provided, although late, unless the child is no longer within the jurisdiction of the early intervention services program; consistent with Office of Special Education Programs Memo 09-02. For each individual finding identified, the state verified that the noncompliance was corrected and all early intervention services were provided by obtaining documentation confirming start date of early intervention services.</w:t>
      </w:r>
    </w:p>
    <w:p w14:paraId="7918866F" w14:textId="31FB2F6B" w:rsidR="002F1A9A" w:rsidRPr="00ED172B" w:rsidRDefault="00CD74B5" w:rsidP="00B83404">
      <w:pPr>
        <w:rPr>
          <w:color w:val="000000" w:themeColor="text1"/>
        </w:rPr>
      </w:pPr>
      <w:r>
        <w:rPr>
          <w:b/>
          <w:color w:val="000000" w:themeColor="text1"/>
        </w:rPr>
        <w:t>FFY 2019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Actions taken if noncompliance not corrected</w:t>
      </w:r>
    </w:p>
    <w:p w14:paraId="04E0B434" w14:textId="1AE3C4D5" w:rsidR="002F1A9A" w:rsidRDefault="00860830" w:rsidP="002F1A9A">
      <w:pPr>
        <w:rPr>
          <w:rFonts w:cs="Arial"/>
          <w:color w:val="000000" w:themeColor="text1"/>
          <w:szCs w:val="16"/>
        </w:rPr>
      </w:pPr>
      <w:r w:rsidRPr="00ED172B">
        <w:rPr>
          <w:rFonts w:cs="Arial"/>
          <w:color w:val="000000" w:themeColor="text1"/>
          <w:szCs w:val="16"/>
        </w:rPr>
        <w:t>Department of Developmental Services will complete another subsequent review in January, 2022 and verify that the remaining regional center is correctly implementing the specific regulatory requirements in 34 CFR, §§ 303.342(e), and 303.344(f)(1), and are in 100% compliance.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California verifies that the noncompliance is corrected by confirming that the identified early intervention services were provided, although late, unless the child is no longer within the jurisdiction of the early intervention services program, consistent with OSEP Memo 09-02. In addition, California ensures that each early intervention services program with identified noncompliance is correctly implementing the specific regulatory requirements by completing subsequent reviews of records in order to achieve 100% compliance as soon as possible, but in no case later than one year from identification of noncompliance. Of the six findings of noncompliance identified in Federal Fiscal Year 2019, six findings were identified by Department of Developmental Services and the thirty-four remaining findings were identified by California Department of Education.</w:t>
      </w:r>
      <w:r w:rsidRPr="00ED172B">
        <w:rPr>
          <w:color w:val="000000" w:themeColor="text1"/>
        </w:rPr>
        <w:br/>
      </w:r>
      <w:r w:rsidRPr="00ED172B">
        <w:rPr>
          <w:color w:val="000000" w:themeColor="text1"/>
        </w:rPr>
        <w:br/>
        <w:t xml:space="preserve">Findings identified by Department of Developmental Services (DDS) </w:t>
      </w:r>
      <w:r w:rsidRPr="00ED172B">
        <w:rPr>
          <w:color w:val="000000" w:themeColor="text1"/>
        </w:rPr>
        <w:br/>
        <w:t>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identified EIS were provided, unless the child is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303.342(e), and 303.344(f)(1), and are in 100% compliance. DDS completed the above-mentioned process with the six RCs that had outstanding findings in FFY 2019. DDS verified that the five RCs correctly implemented the specific regulatory requirements in 34 CFR, §§ 303.342(e), and 303.344(f)(1), and met 100% compliance. However, one of the RCs did not meet 100% compliance within the twelve-month timeline due to lack of EIS providers as a result of COVID-19. DDS will complete another subsequent review in January 2022 and verify that the remaining RC is correctly implementing the specific regulatory requirements in 34 CFR, §§ 303.342(e), and 303.344(f)(1), and are in 100% compliance.</w:t>
      </w:r>
      <w:r w:rsidRPr="00ED172B">
        <w:rPr>
          <w:color w:val="000000" w:themeColor="text1"/>
        </w:rPr>
        <w:br/>
      </w:r>
      <w:r w:rsidRPr="00ED172B">
        <w:rPr>
          <w:color w:val="000000" w:themeColor="text1"/>
        </w:rPr>
        <w:br/>
        <w:t>Findings identified by California Department of Education (CDE)</w:t>
      </w:r>
      <w:r w:rsidRPr="00ED172B">
        <w:rPr>
          <w:color w:val="000000" w:themeColor="text1"/>
        </w:rPr>
        <w:br/>
        <w:t xml:space="preserve">CDE requires a stringent level of follow-up review and reporting in districts with identified noncompliance related to this indicator. The CDE ensures local education agencies (LEAs) are correctly implementing the specific regulatory requirements by reviewing policies, procedures and practices, providing </w:t>
      </w:r>
      <w:r w:rsidRPr="00ED172B">
        <w:rPr>
          <w:color w:val="000000" w:themeColor="text1"/>
        </w:rPr>
        <w:lastRenderedPageBreak/>
        <w:t>staff training, and by reviewing a new sample of student records for each district-level finding. District-level corrective actions are given a timeline of three months. For all findings, correction must be completed as soon as possible but, in no case later than one year.</w:t>
      </w:r>
      <w:r w:rsidRPr="00ED172B">
        <w:rPr>
          <w:color w:val="000000" w:themeColor="text1"/>
        </w:rPr>
        <w:br/>
      </w:r>
      <w:r w:rsidRPr="00ED172B">
        <w:rPr>
          <w:color w:val="000000" w:themeColor="text1"/>
        </w:rPr>
        <w:br/>
        <w:t>CDE issued the remaining thirty-four findings identified on this indicator that were verified as corrected within the required timeline. CDE verified that each LEA with noncompliance identified in FFY 2019 is correctly implementing the specific regulatory requirements in 34 CFR, §§ 303.342(e), and 303.344(f)(1), and are in 100% compliance.</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21 SPP/APR, that the one remaining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2018</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93.81%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87.00%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87.50%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88.00%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88.50%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93.24%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91.34%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95.62%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93.81%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94.03%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93.81%</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93.90%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94.00%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94.10%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94.20%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94.30%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7615FD78" w14:textId="04DD62A8" w:rsidR="00AE7452" w:rsidRPr="00ED172B" w:rsidRDefault="00AE7452" w:rsidP="00B83404">
      <w:pPr>
        <w:rPr>
          <w:color w:val="000000" w:themeColor="text1"/>
        </w:rPr>
      </w:pPr>
      <w:r w:rsidRPr="00ED172B">
        <w:rPr>
          <w:rFonts w:cs="Arial"/>
          <w:color w:val="000000" w:themeColor="text1"/>
          <w:szCs w:val="16"/>
        </w:rPr>
        <w:t>Previous baseline year of 2005 with baseline data of 72.09% needed to be updated based on the Office of Special Education Programs guidance document. The identified Baseline Year of 2018/2019 was the last Fiscal Year prior to impact of COVID and so it provides the most representative and normalized benchmark for data comparison. This Baseline data is the Fiscal Year 2020 Target and will increase by 0.10%, which would allow for a post-COVID recovery of historical service delivery settings.</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42,126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45,189</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42,126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45,189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94.03%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93.81%</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93.22%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1. The impact on data completeness, validity and reliability for the indicator: Data analysis indicates COVID-19 did not impact data completeness, validity, or reliability for this indicator. </w:t>
      </w:r>
      <w:r w:rsidRPr="00ED172B">
        <w:rPr>
          <w:rFonts w:cs="Arial"/>
          <w:color w:val="000000" w:themeColor="text1"/>
          <w:szCs w:val="16"/>
        </w:rPr>
        <w:br/>
        <w:t xml:space="preserve">2. An explanation of how COVID-19 specifically impacted the State’s ability to collect the data for the indicator: There is no evidence indicating that COVID-19 impacted the State's ability to collect data for this indicator. </w:t>
      </w:r>
      <w:r w:rsidRPr="00ED172B">
        <w:rPr>
          <w:rFonts w:cs="Arial"/>
          <w:color w:val="000000" w:themeColor="text1"/>
          <w:szCs w:val="16"/>
        </w:rPr>
        <w:br/>
        <w:t xml:space="preserve">3. Any steps the State took to mitigate the impact of COVID-19 on the data collection: No additional steps were taken since data collection was not impacted by COVID-19.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Updated baseline year and baseline data are updated due to corrections made to the calculations regarding child outcomes for this indicator as noted in Federal Fiscal Year 2018 reporting year. As a result, the State's data more accurately reflects the progress infants and toddlers made during their time receiving services in the Early Start Program. Baseline years of 2013 and 2015 for 3A1, 3B1, and 3C1 were previously used for this indicator. </w:t>
      </w:r>
      <w:r w:rsidRPr="00ED172B">
        <w:rPr>
          <w:rFonts w:cs="Arial"/>
          <w:color w:val="000000" w:themeColor="text1"/>
          <w:szCs w:val="16"/>
        </w:rPr>
        <w:br/>
      </w:r>
      <w:r w:rsidRPr="00ED172B">
        <w:rPr>
          <w:rFonts w:cs="Arial"/>
          <w:color w:val="000000" w:themeColor="text1"/>
          <w:szCs w:val="16"/>
        </w:rPr>
        <w:br/>
        <w:t xml:space="preserve">All targets reflect the regression model based on previous years performance. </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44.32%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49.50%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67.39%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46.15%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46.93%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48.24%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66.20%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67.39%</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860830" w:rsidP="00186420">
            <w:pPr>
              <w:jc w:val="center"/>
              <w:rPr>
                <w:rFonts w:cs="Arial"/>
                <w:color w:val="000000" w:themeColor="text1"/>
                <w:szCs w:val="16"/>
              </w:rPr>
            </w:pPr>
            <w:r w:rsidRPr="00ED172B">
              <w:rPr>
                <w:rFonts w:cs="Arial"/>
                <w:color w:val="000000" w:themeColor="text1"/>
                <w:szCs w:val="16"/>
              </w:rPr>
              <w:t>44.32%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49.50%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67.39%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860830" w:rsidP="00186420">
            <w:pPr>
              <w:jc w:val="center"/>
              <w:rPr>
                <w:rFonts w:cs="Arial"/>
                <w:color w:val="000000" w:themeColor="text1"/>
                <w:szCs w:val="16"/>
              </w:rPr>
            </w:pPr>
            <w:r w:rsidRPr="00ED172B">
              <w:rPr>
                <w:rFonts w:cs="Arial"/>
                <w:color w:val="000000" w:themeColor="text1"/>
                <w:szCs w:val="16"/>
              </w:rPr>
              <w:t>46.19%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860830" w:rsidP="00186420">
            <w:pPr>
              <w:jc w:val="center"/>
              <w:rPr>
                <w:rFonts w:cs="Arial"/>
                <w:color w:val="000000" w:themeColor="text1"/>
                <w:szCs w:val="16"/>
              </w:rPr>
            </w:pPr>
            <w:r w:rsidRPr="00ED172B">
              <w:rPr>
                <w:rFonts w:cs="Arial"/>
                <w:color w:val="000000" w:themeColor="text1"/>
                <w:szCs w:val="16"/>
              </w:rPr>
              <w:t>47.12%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49.29%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66.09%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67.23%</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65.88%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66.50%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67.13%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67.75%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68.90%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68.65%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860830" w:rsidP="00186420">
            <w:pPr>
              <w:jc w:val="center"/>
              <w:rPr>
                <w:rFonts w:cs="Arial"/>
                <w:color w:val="000000" w:themeColor="text1"/>
                <w:szCs w:val="16"/>
              </w:rPr>
            </w:pPr>
            <w:r w:rsidRPr="00ED172B">
              <w:rPr>
                <w:rFonts w:cs="Arial"/>
                <w:color w:val="000000" w:themeColor="text1"/>
                <w:szCs w:val="16"/>
              </w:rPr>
              <w:t>65.88%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66.50%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67.50%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860830" w:rsidP="00186420">
            <w:pPr>
              <w:jc w:val="center"/>
              <w:rPr>
                <w:rFonts w:cs="Arial"/>
                <w:color w:val="000000" w:themeColor="text1"/>
                <w:szCs w:val="16"/>
              </w:rPr>
            </w:pPr>
            <w:r w:rsidRPr="00ED172B">
              <w:rPr>
                <w:rFonts w:cs="Arial"/>
                <w:color w:val="000000" w:themeColor="text1"/>
                <w:szCs w:val="16"/>
              </w:rPr>
              <w:t>67.14%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860830" w:rsidP="00186420">
            <w:pPr>
              <w:jc w:val="center"/>
              <w:rPr>
                <w:rFonts w:cs="Arial"/>
                <w:color w:val="000000" w:themeColor="text1"/>
                <w:szCs w:val="16"/>
              </w:rPr>
            </w:pPr>
            <w:r w:rsidRPr="00ED172B">
              <w:rPr>
                <w:rFonts w:cs="Arial"/>
                <w:color w:val="000000" w:themeColor="text1"/>
                <w:szCs w:val="16"/>
              </w:rPr>
              <w:t>67.83%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69.11%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68.77%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67.22%</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49.53%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50.50%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51.50%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76.67%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50.87%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50.53%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50.78%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76.57%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76.67%</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860830" w:rsidP="00186420">
            <w:pPr>
              <w:jc w:val="center"/>
              <w:rPr>
                <w:rFonts w:cs="Arial"/>
                <w:color w:val="000000" w:themeColor="text1"/>
                <w:szCs w:val="16"/>
              </w:rPr>
            </w:pPr>
            <w:r w:rsidRPr="00ED172B">
              <w:rPr>
                <w:rFonts w:cs="Arial"/>
                <w:color w:val="000000" w:themeColor="text1"/>
                <w:szCs w:val="16"/>
              </w:rPr>
              <w:t>49.53%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50.50%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51.50%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76.67%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860830" w:rsidP="00186420">
            <w:pPr>
              <w:jc w:val="center"/>
              <w:rPr>
                <w:rFonts w:cs="Arial"/>
                <w:color w:val="000000" w:themeColor="text1"/>
                <w:szCs w:val="16"/>
              </w:rPr>
            </w:pPr>
            <w:r w:rsidRPr="00ED172B">
              <w:rPr>
                <w:rFonts w:cs="Arial"/>
                <w:color w:val="000000" w:themeColor="text1"/>
                <w:szCs w:val="16"/>
              </w:rPr>
              <w:t>50.92%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860830" w:rsidP="00186420">
            <w:pPr>
              <w:jc w:val="center"/>
              <w:rPr>
                <w:rFonts w:cs="Arial"/>
                <w:color w:val="000000" w:themeColor="text1"/>
                <w:szCs w:val="16"/>
              </w:rPr>
            </w:pPr>
            <w:r w:rsidRPr="00ED172B">
              <w:rPr>
                <w:rFonts w:cs="Arial"/>
                <w:color w:val="000000" w:themeColor="text1"/>
                <w:szCs w:val="16"/>
              </w:rPr>
              <w:t>50.60%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50.98%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75.38%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75.51%</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52.23%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53.50%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54.50%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53.14%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54.39%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54.91%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56.23%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56.07%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53.14%</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860830" w:rsidP="00186420">
            <w:pPr>
              <w:jc w:val="center"/>
              <w:rPr>
                <w:rFonts w:cs="Arial"/>
                <w:color w:val="000000" w:themeColor="text1"/>
                <w:szCs w:val="16"/>
              </w:rPr>
            </w:pPr>
            <w:r w:rsidRPr="00ED172B">
              <w:rPr>
                <w:rFonts w:cs="Arial"/>
                <w:color w:val="000000" w:themeColor="text1"/>
                <w:szCs w:val="16"/>
              </w:rPr>
              <w:t>52.23%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53.50%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54.50%</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53.14%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860830" w:rsidP="00186420">
            <w:pPr>
              <w:jc w:val="center"/>
              <w:rPr>
                <w:rFonts w:cs="Arial"/>
                <w:color w:val="000000" w:themeColor="text1"/>
                <w:szCs w:val="16"/>
              </w:rPr>
            </w:pPr>
            <w:r w:rsidRPr="00ED172B">
              <w:rPr>
                <w:rFonts w:cs="Arial"/>
                <w:color w:val="000000" w:themeColor="text1"/>
                <w:szCs w:val="16"/>
              </w:rPr>
              <w:t>54.44%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860830" w:rsidP="00186420">
            <w:pPr>
              <w:jc w:val="center"/>
              <w:rPr>
                <w:rFonts w:cs="Arial"/>
                <w:color w:val="000000" w:themeColor="text1"/>
                <w:szCs w:val="16"/>
              </w:rPr>
            </w:pPr>
            <w:r w:rsidRPr="00ED172B">
              <w:rPr>
                <w:rFonts w:cs="Arial"/>
                <w:color w:val="000000" w:themeColor="text1"/>
                <w:szCs w:val="16"/>
              </w:rPr>
              <w:t>55.01%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56.39%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56.20%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53.44%</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37.85%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38.50%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39.50%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40.00%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57.90%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39.26%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39.11%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38.94%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58.10%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57.90%</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860830" w:rsidP="00186420">
            <w:pPr>
              <w:jc w:val="center"/>
              <w:rPr>
                <w:rFonts w:cs="Arial"/>
                <w:color w:val="000000" w:themeColor="text1"/>
                <w:szCs w:val="16"/>
              </w:rPr>
            </w:pPr>
            <w:r w:rsidRPr="00ED172B">
              <w:rPr>
                <w:rFonts w:cs="Arial"/>
                <w:color w:val="000000" w:themeColor="text1"/>
                <w:szCs w:val="16"/>
              </w:rPr>
              <w:t>37.85%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860830" w:rsidP="00186420">
            <w:pPr>
              <w:jc w:val="center"/>
              <w:rPr>
                <w:rFonts w:cs="Arial"/>
                <w:color w:val="000000" w:themeColor="text1"/>
                <w:szCs w:val="16"/>
              </w:rPr>
            </w:pPr>
            <w:r w:rsidRPr="00ED172B">
              <w:rPr>
                <w:rFonts w:cs="Arial"/>
                <w:color w:val="000000" w:themeColor="text1"/>
                <w:szCs w:val="16"/>
              </w:rPr>
              <w:t>38.50%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39.00%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39.50%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40.00%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57.90%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860830" w:rsidP="00186420">
            <w:pPr>
              <w:jc w:val="center"/>
              <w:rPr>
                <w:rFonts w:cs="Arial"/>
                <w:color w:val="000000" w:themeColor="text1"/>
                <w:szCs w:val="16"/>
              </w:rPr>
            </w:pPr>
            <w:r w:rsidRPr="00ED172B">
              <w:rPr>
                <w:rFonts w:cs="Arial"/>
                <w:color w:val="000000" w:themeColor="text1"/>
                <w:szCs w:val="16"/>
              </w:rPr>
              <w:t>39.30%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860830" w:rsidP="00186420">
            <w:pPr>
              <w:jc w:val="center"/>
              <w:rPr>
                <w:rFonts w:cs="Arial"/>
                <w:color w:val="000000" w:themeColor="text1"/>
                <w:szCs w:val="16"/>
              </w:rPr>
            </w:pPr>
            <w:r w:rsidRPr="00ED172B">
              <w:rPr>
                <w:rFonts w:cs="Arial"/>
                <w:color w:val="000000" w:themeColor="text1"/>
                <w:szCs w:val="16"/>
              </w:rPr>
              <w:t>39.39%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40.10%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57.78%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57.67%</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61.83%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60.70%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63.76%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63.71%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63.29%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60.70%</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860830" w:rsidP="00186420">
            <w:pPr>
              <w:jc w:val="center"/>
              <w:rPr>
                <w:rFonts w:cs="Arial"/>
                <w:color w:val="000000" w:themeColor="text1"/>
                <w:szCs w:val="16"/>
              </w:rPr>
            </w:pPr>
            <w:r w:rsidRPr="00ED172B">
              <w:rPr>
                <w:rFonts w:cs="Arial"/>
                <w:color w:val="000000" w:themeColor="text1"/>
                <w:szCs w:val="16"/>
              </w:rPr>
              <w:t>61.83%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60.70%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860830" w:rsidP="00186420">
            <w:pPr>
              <w:jc w:val="center"/>
              <w:rPr>
                <w:rFonts w:cs="Arial"/>
                <w:color w:val="000000" w:themeColor="text1"/>
                <w:szCs w:val="16"/>
              </w:rPr>
            </w:pPr>
            <w:r w:rsidRPr="00ED172B">
              <w:rPr>
                <w:rFonts w:cs="Arial"/>
                <w:color w:val="000000" w:themeColor="text1"/>
                <w:szCs w:val="16"/>
              </w:rPr>
              <w:t>62.82%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860830" w:rsidP="00186420">
            <w:pPr>
              <w:jc w:val="center"/>
              <w:rPr>
                <w:rFonts w:cs="Arial"/>
                <w:color w:val="000000" w:themeColor="text1"/>
                <w:szCs w:val="16"/>
              </w:rPr>
            </w:pPr>
            <w:r w:rsidRPr="00ED172B">
              <w:rPr>
                <w:rFonts w:cs="Arial"/>
                <w:color w:val="000000" w:themeColor="text1"/>
                <w:szCs w:val="16"/>
              </w:rPr>
              <w:t>63.85%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63.80%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63.13%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60.72%</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67.39%</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67.50%</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67.75%</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68.00%</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68.25%</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68.50%</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Target A1 ALL &gt;=</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r w:rsidRPr="00ED172B">
              <w:rPr>
                <w:color w:val="000000" w:themeColor="text1"/>
              </w:rPr>
              <w:t>67.39%</w:t>
            </w:r>
          </w:p>
        </w:tc>
        <w:tc>
          <w:tcPr>
            <w:tcW w:w="714" w:type="pct"/>
            <w:vAlign w:val="center"/>
          </w:tcPr>
          <w:p w14:paraId="18F14A21" w14:textId="45B3CBBA" w:rsidR="00F4238C" w:rsidRPr="00ED172B" w:rsidRDefault="00F4238C" w:rsidP="00F4238C">
            <w:pPr>
              <w:jc w:val="center"/>
              <w:rPr>
                <w:color w:val="000000" w:themeColor="text1"/>
              </w:rPr>
            </w:pPr>
            <w:r w:rsidRPr="00ED172B">
              <w:rPr>
                <w:color w:val="000000" w:themeColor="text1"/>
              </w:rPr>
              <w:t>67.50%</w:t>
            </w:r>
          </w:p>
        </w:tc>
        <w:tc>
          <w:tcPr>
            <w:tcW w:w="714" w:type="pct"/>
            <w:vAlign w:val="center"/>
          </w:tcPr>
          <w:p w14:paraId="7BB59493" w14:textId="1D9B7ABC" w:rsidR="00F4238C" w:rsidRPr="00ED172B" w:rsidRDefault="00F4238C" w:rsidP="00F4238C">
            <w:pPr>
              <w:jc w:val="center"/>
              <w:rPr>
                <w:color w:val="000000" w:themeColor="text1"/>
              </w:rPr>
            </w:pPr>
            <w:r w:rsidRPr="00ED172B">
              <w:rPr>
                <w:color w:val="000000" w:themeColor="text1"/>
              </w:rPr>
              <w:t>67.75%</w:t>
            </w:r>
          </w:p>
        </w:tc>
        <w:tc>
          <w:tcPr>
            <w:tcW w:w="714" w:type="pct"/>
            <w:vAlign w:val="center"/>
          </w:tcPr>
          <w:p w14:paraId="0011BB46" w14:textId="70C041CE" w:rsidR="00F4238C" w:rsidRPr="00ED172B" w:rsidRDefault="00F4238C" w:rsidP="00F4238C">
            <w:pPr>
              <w:jc w:val="center"/>
              <w:rPr>
                <w:color w:val="000000" w:themeColor="text1"/>
              </w:rPr>
            </w:pPr>
            <w:r w:rsidRPr="00ED172B">
              <w:rPr>
                <w:color w:val="000000" w:themeColor="text1"/>
              </w:rPr>
              <w:t>68.00%</w:t>
            </w:r>
          </w:p>
        </w:tc>
        <w:tc>
          <w:tcPr>
            <w:tcW w:w="714" w:type="pct"/>
            <w:vAlign w:val="center"/>
          </w:tcPr>
          <w:p w14:paraId="434A2740" w14:textId="1AA96EEE" w:rsidR="00F4238C" w:rsidRPr="00ED172B" w:rsidRDefault="00F4238C" w:rsidP="00F4238C">
            <w:pPr>
              <w:jc w:val="center"/>
              <w:rPr>
                <w:color w:val="000000" w:themeColor="text1"/>
              </w:rPr>
            </w:pPr>
            <w:r w:rsidRPr="00ED172B">
              <w:rPr>
                <w:color w:val="000000" w:themeColor="text1"/>
              </w:rPr>
              <w:t>68.25%</w:t>
            </w:r>
          </w:p>
        </w:tc>
        <w:tc>
          <w:tcPr>
            <w:tcW w:w="714" w:type="pct"/>
            <w:vAlign w:val="center"/>
          </w:tcPr>
          <w:p w14:paraId="0ED08C49" w14:textId="711153EF" w:rsidR="00F4238C" w:rsidRPr="00ED172B" w:rsidRDefault="00F4238C" w:rsidP="00F4238C">
            <w:pPr>
              <w:jc w:val="center"/>
              <w:rPr>
                <w:color w:val="000000" w:themeColor="text1"/>
              </w:rPr>
            </w:pPr>
            <w:r w:rsidRPr="00ED172B">
              <w:rPr>
                <w:color w:val="000000" w:themeColor="text1"/>
              </w:rPr>
              <w:t>68.50%</w:t>
            </w: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lastRenderedPageBreak/>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67.00%</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67.10%</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67.20%</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67.30%</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67.40%</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67.50%</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Target A2 ALL &gt;=</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r w:rsidRPr="00ED172B">
              <w:rPr>
                <w:color w:val="000000" w:themeColor="text1"/>
              </w:rPr>
              <w:t>67.00%</w:t>
            </w:r>
          </w:p>
        </w:tc>
        <w:tc>
          <w:tcPr>
            <w:tcW w:w="714" w:type="pct"/>
            <w:vAlign w:val="center"/>
          </w:tcPr>
          <w:p w14:paraId="4B772F30" w14:textId="33A8E96C" w:rsidR="00F4238C" w:rsidRPr="00ED172B" w:rsidRDefault="00F4238C" w:rsidP="00F4238C">
            <w:pPr>
              <w:jc w:val="center"/>
              <w:rPr>
                <w:color w:val="000000" w:themeColor="text1"/>
              </w:rPr>
            </w:pPr>
            <w:r w:rsidRPr="00ED172B">
              <w:rPr>
                <w:color w:val="000000" w:themeColor="text1"/>
              </w:rPr>
              <w:t>67.10%</w:t>
            </w:r>
          </w:p>
        </w:tc>
        <w:tc>
          <w:tcPr>
            <w:tcW w:w="714" w:type="pct"/>
            <w:vAlign w:val="center"/>
          </w:tcPr>
          <w:p w14:paraId="365A27CB" w14:textId="720FA5E7" w:rsidR="00F4238C" w:rsidRPr="00ED172B" w:rsidRDefault="00F4238C" w:rsidP="00F4238C">
            <w:pPr>
              <w:jc w:val="center"/>
              <w:rPr>
                <w:color w:val="000000" w:themeColor="text1"/>
              </w:rPr>
            </w:pPr>
            <w:r w:rsidRPr="00ED172B">
              <w:rPr>
                <w:color w:val="000000" w:themeColor="text1"/>
              </w:rPr>
              <w:t>67.20%</w:t>
            </w:r>
          </w:p>
        </w:tc>
        <w:tc>
          <w:tcPr>
            <w:tcW w:w="714" w:type="pct"/>
            <w:vAlign w:val="center"/>
          </w:tcPr>
          <w:p w14:paraId="3BB56B0A" w14:textId="5D5C8EAB" w:rsidR="00F4238C" w:rsidRPr="00ED172B" w:rsidRDefault="00F4238C" w:rsidP="00F4238C">
            <w:pPr>
              <w:jc w:val="center"/>
              <w:rPr>
                <w:color w:val="000000" w:themeColor="text1"/>
              </w:rPr>
            </w:pPr>
            <w:r w:rsidRPr="00ED172B">
              <w:rPr>
                <w:color w:val="000000" w:themeColor="text1"/>
              </w:rPr>
              <w:t>67.30%</w:t>
            </w:r>
          </w:p>
        </w:tc>
        <w:tc>
          <w:tcPr>
            <w:tcW w:w="714" w:type="pct"/>
            <w:vAlign w:val="center"/>
          </w:tcPr>
          <w:p w14:paraId="39D845BC" w14:textId="42DA2AC9" w:rsidR="00F4238C" w:rsidRPr="00ED172B" w:rsidRDefault="00F4238C" w:rsidP="00F4238C">
            <w:pPr>
              <w:jc w:val="center"/>
              <w:rPr>
                <w:color w:val="000000" w:themeColor="text1"/>
              </w:rPr>
            </w:pPr>
            <w:r w:rsidRPr="00ED172B">
              <w:rPr>
                <w:color w:val="000000" w:themeColor="text1"/>
              </w:rPr>
              <w:t>67.40%</w:t>
            </w:r>
          </w:p>
        </w:tc>
        <w:tc>
          <w:tcPr>
            <w:tcW w:w="714" w:type="pct"/>
            <w:vAlign w:val="center"/>
          </w:tcPr>
          <w:p w14:paraId="38F814BD" w14:textId="46A833BE" w:rsidR="00F4238C" w:rsidRPr="00ED172B" w:rsidRDefault="00F4238C" w:rsidP="00F4238C">
            <w:pPr>
              <w:jc w:val="center"/>
              <w:rPr>
                <w:color w:val="000000" w:themeColor="text1"/>
              </w:rPr>
            </w:pPr>
            <w:r w:rsidRPr="00ED172B">
              <w:rPr>
                <w:color w:val="000000" w:themeColor="text1"/>
              </w:rPr>
              <w:t>67.50%</w:t>
            </w: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76.67%</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76.70%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76.80%</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76.90%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77.00%</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77.10%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Target B1 ALL &gt;=</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r w:rsidRPr="00ED172B">
              <w:rPr>
                <w:color w:val="000000" w:themeColor="text1"/>
              </w:rPr>
              <w:t>76.67%</w:t>
            </w:r>
          </w:p>
        </w:tc>
        <w:tc>
          <w:tcPr>
            <w:tcW w:w="714" w:type="pct"/>
            <w:vAlign w:val="center"/>
          </w:tcPr>
          <w:p w14:paraId="52251FE8" w14:textId="79AC3921" w:rsidR="00F4238C" w:rsidRPr="00ED172B" w:rsidRDefault="00F4238C" w:rsidP="00F4238C">
            <w:pPr>
              <w:jc w:val="center"/>
              <w:rPr>
                <w:color w:val="000000" w:themeColor="text1"/>
              </w:rPr>
            </w:pPr>
            <w:r w:rsidRPr="00ED172B">
              <w:rPr>
                <w:color w:val="000000" w:themeColor="text1"/>
              </w:rPr>
              <w:t>76.70%</w:t>
            </w:r>
          </w:p>
        </w:tc>
        <w:tc>
          <w:tcPr>
            <w:tcW w:w="714" w:type="pct"/>
            <w:vAlign w:val="center"/>
          </w:tcPr>
          <w:p w14:paraId="7545D98D" w14:textId="5F1899A1" w:rsidR="00F4238C" w:rsidRPr="00ED172B" w:rsidRDefault="00F4238C" w:rsidP="00F4238C">
            <w:pPr>
              <w:jc w:val="center"/>
              <w:rPr>
                <w:color w:val="000000" w:themeColor="text1"/>
              </w:rPr>
            </w:pPr>
            <w:r w:rsidRPr="00ED172B">
              <w:rPr>
                <w:color w:val="000000" w:themeColor="text1"/>
              </w:rPr>
              <w:t>76.80%</w:t>
            </w:r>
          </w:p>
        </w:tc>
        <w:tc>
          <w:tcPr>
            <w:tcW w:w="714" w:type="pct"/>
            <w:vAlign w:val="center"/>
          </w:tcPr>
          <w:p w14:paraId="13B7E100" w14:textId="4DCA8C08" w:rsidR="00F4238C" w:rsidRPr="00ED172B" w:rsidRDefault="00F4238C" w:rsidP="00F4238C">
            <w:pPr>
              <w:jc w:val="center"/>
              <w:rPr>
                <w:color w:val="000000" w:themeColor="text1"/>
              </w:rPr>
            </w:pPr>
            <w:r w:rsidRPr="00ED172B">
              <w:rPr>
                <w:color w:val="000000" w:themeColor="text1"/>
              </w:rPr>
              <w:t>76.90%</w:t>
            </w:r>
          </w:p>
        </w:tc>
        <w:tc>
          <w:tcPr>
            <w:tcW w:w="714" w:type="pct"/>
            <w:vAlign w:val="center"/>
          </w:tcPr>
          <w:p w14:paraId="103F6A56" w14:textId="6E6AE0E0" w:rsidR="00F4238C" w:rsidRPr="00ED172B" w:rsidRDefault="00F4238C" w:rsidP="00F4238C">
            <w:pPr>
              <w:jc w:val="center"/>
              <w:rPr>
                <w:color w:val="000000" w:themeColor="text1"/>
              </w:rPr>
            </w:pPr>
            <w:r w:rsidRPr="00ED172B">
              <w:rPr>
                <w:color w:val="000000" w:themeColor="text1"/>
              </w:rPr>
              <w:t>77.00%</w:t>
            </w:r>
          </w:p>
        </w:tc>
        <w:tc>
          <w:tcPr>
            <w:tcW w:w="714" w:type="pct"/>
            <w:vAlign w:val="center"/>
          </w:tcPr>
          <w:p w14:paraId="6BDF1498" w14:textId="1541E6A4" w:rsidR="00F4238C" w:rsidRPr="00ED172B" w:rsidRDefault="00F4238C" w:rsidP="00F4238C">
            <w:pPr>
              <w:jc w:val="center"/>
              <w:rPr>
                <w:color w:val="000000" w:themeColor="text1"/>
              </w:rPr>
            </w:pPr>
            <w:r w:rsidRPr="00ED172B">
              <w:rPr>
                <w:color w:val="000000" w:themeColor="text1"/>
              </w:rPr>
              <w:t>77.10%</w:t>
            </w: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53.14%</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53.24%</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53.34%</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53.44%</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53.54%</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53.64%</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Target B2 ALL &gt;=</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r w:rsidRPr="00ED172B">
              <w:rPr>
                <w:color w:val="000000" w:themeColor="text1"/>
              </w:rPr>
              <w:t>53.14%</w:t>
            </w:r>
          </w:p>
        </w:tc>
        <w:tc>
          <w:tcPr>
            <w:tcW w:w="714" w:type="pct"/>
            <w:vAlign w:val="center"/>
          </w:tcPr>
          <w:p w14:paraId="214BF16B" w14:textId="4A46F5F2" w:rsidR="00F4238C" w:rsidRPr="00ED172B" w:rsidRDefault="00F4238C" w:rsidP="00F4238C">
            <w:pPr>
              <w:jc w:val="center"/>
              <w:rPr>
                <w:color w:val="000000" w:themeColor="text1"/>
              </w:rPr>
            </w:pPr>
            <w:r w:rsidRPr="00ED172B">
              <w:rPr>
                <w:color w:val="000000" w:themeColor="text1"/>
              </w:rPr>
              <w:t>53.24%</w:t>
            </w:r>
          </w:p>
        </w:tc>
        <w:tc>
          <w:tcPr>
            <w:tcW w:w="714" w:type="pct"/>
            <w:vAlign w:val="center"/>
          </w:tcPr>
          <w:p w14:paraId="7979654B" w14:textId="1F561C35" w:rsidR="00F4238C" w:rsidRPr="00ED172B" w:rsidRDefault="00F4238C" w:rsidP="00F4238C">
            <w:pPr>
              <w:jc w:val="center"/>
              <w:rPr>
                <w:color w:val="000000" w:themeColor="text1"/>
              </w:rPr>
            </w:pPr>
            <w:r w:rsidRPr="00ED172B">
              <w:rPr>
                <w:color w:val="000000" w:themeColor="text1"/>
              </w:rPr>
              <w:t>53.34%</w:t>
            </w:r>
          </w:p>
        </w:tc>
        <w:tc>
          <w:tcPr>
            <w:tcW w:w="714" w:type="pct"/>
            <w:vAlign w:val="center"/>
          </w:tcPr>
          <w:p w14:paraId="412FDCC4" w14:textId="4584E82F" w:rsidR="00F4238C" w:rsidRPr="00ED172B" w:rsidRDefault="00F4238C" w:rsidP="00F4238C">
            <w:pPr>
              <w:jc w:val="center"/>
              <w:rPr>
                <w:color w:val="000000" w:themeColor="text1"/>
              </w:rPr>
            </w:pPr>
            <w:r w:rsidRPr="00ED172B">
              <w:rPr>
                <w:color w:val="000000" w:themeColor="text1"/>
              </w:rPr>
              <w:t>53.44%</w:t>
            </w:r>
          </w:p>
        </w:tc>
        <w:tc>
          <w:tcPr>
            <w:tcW w:w="714" w:type="pct"/>
            <w:vAlign w:val="center"/>
          </w:tcPr>
          <w:p w14:paraId="6435220B" w14:textId="16CC1F21" w:rsidR="00F4238C" w:rsidRPr="00ED172B" w:rsidRDefault="00F4238C" w:rsidP="00F4238C">
            <w:pPr>
              <w:jc w:val="center"/>
              <w:rPr>
                <w:color w:val="000000" w:themeColor="text1"/>
              </w:rPr>
            </w:pPr>
            <w:r w:rsidRPr="00ED172B">
              <w:rPr>
                <w:color w:val="000000" w:themeColor="text1"/>
              </w:rPr>
              <w:t>53.54%</w:t>
            </w:r>
          </w:p>
        </w:tc>
        <w:tc>
          <w:tcPr>
            <w:tcW w:w="714" w:type="pct"/>
            <w:vAlign w:val="center"/>
          </w:tcPr>
          <w:p w14:paraId="6567EDD7" w14:textId="2FD2F67A" w:rsidR="00F4238C" w:rsidRPr="00ED172B" w:rsidRDefault="00F4238C" w:rsidP="00F4238C">
            <w:pPr>
              <w:jc w:val="center"/>
              <w:rPr>
                <w:color w:val="000000" w:themeColor="text1"/>
              </w:rPr>
            </w:pPr>
            <w:r w:rsidRPr="00ED172B">
              <w:rPr>
                <w:color w:val="000000" w:themeColor="text1"/>
              </w:rPr>
              <w:t>53.64%</w:t>
            </w: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57.90%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58.00%</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58.25%</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58.50%</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58.75%</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59.00%</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Target C1 ALL &gt;=</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r w:rsidRPr="00ED172B">
              <w:rPr>
                <w:color w:val="000000" w:themeColor="text1"/>
              </w:rPr>
              <w:t>57.90%</w:t>
            </w:r>
          </w:p>
        </w:tc>
        <w:tc>
          <w:tcPr>
            <w:tcW w:w="714" w:type="pct"/>
            <w:vAlign w:val="center"/>
          </w:tcPr>
          <w:p w14:paraId="6909A06F" w14:textId="3647C8C0" w:rsidR="00F4238C" w:rsidRPr="00ED172B" w:rsidRDefault="00F4238C" w:rsidP="00F4238C">
            <w:pPr>
              <w:jc w:val="center"/>
              <w:rPr>
                <w:color w:val="000000" w:themeColor="text1"/>
              </w:rPr>
            </w:pPr>
            <w:r w:rsidRPr="00ED172B">
              <w:rPr>
                <w:color w:val="000000" w:themeColor="text1"/>
              </w:rPr>
              <w:t>58.00%</w:t>
            </w:r>
          </w:p>
        </w:tc>
        <w:tc>
          <w:tcPr>
            <w:tcW w:w="714" w:type="pct"/>
            <w:vAlign w:val="center"/>
          </w:tcPr>
          <w:p w14:paraId="315CB3D8" w14:textId="7AED48C9" w:rsidR="00F4238C" w:rsidRPr="00ED172B" w:rsidRDefault="00F4238C" w:rsidP="00F4238C">
            <w:pPr>
              <w:jc w:val="center"/>
              <w:rPr>
                <w:color w:val="000000" w:themeColor="text1"/>
              </w:rPr>
            </w:pPr>
            <w:r w:rsidRPr="00ED172B">
              <w:rPr>
                <w:color w:val="000000" w:themeColor="text1"/>
              </w:rPr>
              <w:t>58.25%</w:t>
            </w:r>
          </w:p>
        </w:tc>
        <w:tc>
          <w:tcPr>
            <w:tcW w:w="714" w:type="pct"/>
            <w:vAlign w:val="center"/>
          </w:tcPr>
          <w:p w14:paraId="4C6C2010" w14:textId="7C0E3B74" w:rsidR="00F4238C" w:rsidRPr="00ED172B" w:rsidRDefault="00F4238C" w:rsidP="00F4238C">
            <w:pPr>
              <w:jc w:val="center"/>
              <w:rPr>
                <w:color w:val="000000" w:themeColor="text1"/>
              </w:rPr>
            </w:pPr>
            <w:r w:rsidRPr="00ED172B">
              <w:rPr>
                <w:color w:val="000000" w:themeColor="text1"/>
              </w:rPr>
              <w:t>58.50%</w:t>
            </w:r>
          </w:p>
        </w:tc>
        <w:tc>
          <w:tcPr>
            <w:tcW w:w="714" w:type="pct"/>
            <w:vAlign w:val="center"/>
          </w:tcPr>
          <w:p w14:paraId="6B16E14C" w14:textId="490BDBD5" w:rsidR="00F4238C" w:rsidRPr="00ED172B" w:rsidRDefault="00F4238C" w:rsidP="00F4238C">
            <w:pPr>
              <w:jc w:val="center"/>
              <w:rPr>
                <w:color w:val="000000" w:themeColor="text1"/>
              </w:rPr>
            </w:pPr>
            <w:r w:rsidRPr="00ED172B">
              <w:rPr>
                <w:color w:val="000000" w:themeColor="text1"/>
              </w:rPr>
              <w:t>58.75%</w:t>
            </w:r>
          </w:p>
        </w:tc>
        <w:tc>
          <w:tcPr>
            <w:tcW w:w="714" w:type="pct"/>
            <w:vAlign w:val="center"/>
          </w:tcPr>
          <w:p w14:paraId="67CE187E" w14:textId="66FD5C9C" w:rsidR="00F4238C" w:rsidRPr="00ED172B" w:rsidRDefault="00F4238C" w:rsidP="00F4238C">
            <w:pPr>
              <w:jc w:val="center"/>
              <w:rPr>
                <w:color w:val="000000" w:themeColor="text1"/>
              </w:rPr>
            </w:pPr>
            <w:r w:rsidRPr="00ED172B">
              <w:rPr>
                <w:color w:val="000000" w:themeColor="text1"/>
              </w:rPr>
              <w:t>59.00%</w:t>
            </w: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60.70%</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60.80%</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60.90%</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61.00%</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61.10%</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61.20%</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Target C2 ALL &gt;=</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r w:rsidRPr="00ED172B">
              <w:rPr>
                <w:color w:val="000000" w:themeColor="text1"/>
              </w:rPr>
              <w:t>60.70%</w:t>
            </w:r>
          </w:p>
        </w:tc>
        <w:tc>
          <w:tcPr>
            <w:tcW w:w="714" w:type="pct"/>
            <w:vAlign w:val="center"/>
          </w:tcPr>
          <w:p w14:paraId="18ABAD92" w14:textId="4929D32A" w:rsidR="00F4238C" w:rsidRPr="00ED172B" w:rsidRDefault="00F4238C" w:rsidP="00F4238C">
            <w:pPr>
              <w:jc w:val="center"/>
              <w:rPr>
                <w:color w:val="000000" w:themeColor="text1"/>
              </w:rPr>
            </w:pPr>
            <w:r w:rsidRPr="00ED172B">
              <w:rPr>
                <w:color w:val="000000" w:themeColor="text1"/>
              </w:rPr>
              <w:t>60.80%</w:t>
            </w:r>
          </w:p>
        </w:tc>
        <w:tc>
          <w:tcPr>
            <w:tcW w:w="714" w:type="pct"/>
            <w:vAlign w:val="center"/>
          </w:tcPr>
          <w:p w14:paraId="0D2E81AD" w14:textId="6496C520" w:rsidR="00F4238C" w:rsidRPr="00ED172B" w:rsidRDefault="00F4238C" w:rsidP="00F4238C">
            <w:pPr>
              <w:jc w:val="center"/>
              <w:rPr>
                <w:color w:val="000000" w:themeColor="text1"/>
              </w:rPr>
            </w:pPr>
            <w:r w:rsidRPr="00ED172B">
              <w:rPr>
                <w:color w:val="000000" w:themeColor="text1"/>
              </w:rPr>
              <w:t>60.90%</w:t>
            </w:r>
          </w:p>
        </w:tc>
        <w:tc>
          <w:tcPr>
            <w:tcW w:w="714" w:type="pct"/>
            <w:vAlign w:val="center"/>
          </w:tcPr>
          <w:p w14:paraId="4C316FD6" w14:textId="071558C9" w:rsidR="00F4238C" w:rsidRPr="00ED172B" w:rsidRDefault="00F4238C" w:rsidP="00F4238C">
            <w:pPr>
              <w:jc w:val="center"/>
              <w:rPr>
                <w:color w:val="000000" w:themeColor="text1"/>
              </w:rPr>
            </w:pPr>
            <w:r w:rsidRPr="00ED172B">
              <w:rPr>
                <w:color w:val="000000" w:themeColor="text1"/>
              </w:rPr>
              <w:t>61.00%</w:t>
            </w:r>
          </w:p>
        </w:tc>
        <w:tc>
          <w:tcPr>
            <w:tcW w:w="714" w:type="pct"/>
            <w:vAlign w:val="center"/>
          </w:tcPr>
          <w:p w14:paraId="1F9C421B" w14:textId="58FBC9AB" w:rsidR="00F4238C" w:rsidRPr="00ED172B" w:rsidRDefault="00F4238C" w:rsidP="00F4238C">
            <w:pPr>
              <w:jc w:val="center"/>
              <w:rPr>
                <w:color w:val="000000" w:themeColor="text1"/>
              </w:rPr>
            </w:pPr>
            <w:r w:rsidRPr="00ED172B">
              <w:rPr>
                <w:color w:val="000000" w:themeColor="text1"/>
              </w:rPr>
              <w:t>61.10%</w:t>
            </w:r>
          </w:p>
        </w:tc>
        <w:tc>
          <w:tcPr>
            <w:tcW w:w="714" w:type="pct"/>
            <w:vAlign w:val="center"/>
          </w:tcPr>
          <w:p w14:paraId="48A0C5B9" w14:textId="4E749D3B" w:rsidR="00F4238C" w:rsidRPr="00ED172B" w:rsidRDefault="00F4238C" w:rsidP="00F4238C">
            <w:pPr>
              <w:jc w:val="center"/>
              <w:rPr>
                <w:color w:val="000000" w:themeColor="text1"/>
              </w:rPr>
            </w:pPr>
            <w:r w:rsidRPr="00ED172B">
              <w:rPr>
                <w:color w:val="000000" w:themeColor="text1"/>
              </w:rPr>
              <w:t>61.20%</w:t>
            </w: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23,419</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1,317</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5.95%</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3,183</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14.39%</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3,247</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14.68%</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5,669</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25.63%</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8,705</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39.35%</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1,328</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5.67%</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3,572</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15.25%</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3,248</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13.87%</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6,293</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26.87%</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8,978</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38.34%</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8,916</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13,416</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67.39%</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67.39%</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66.46%</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lastRenderedPageBreak/>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14,374</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22,121</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67.00%</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67.00%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64.98%</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49DFE088" w14:textId="5A342A73" w:rsidR="00A01E85" w:rsidRPr="00ED172B" w:rsidRDefault="00A01E85" w:rsidP="00A01E85">
      <w:pPr>
        <w:rPr>
          <w:rFonts w:cs="Arial"/>
          <w:b/>
          <w:i/>
          <w:color w:val="000000" w:themeColor="text1"/>
          <w:szCs w:val="16"/>
        </w:rPr>
      </w:pPr>
      <w:r w:rsidRPr="00ED172B">
        <w:rPr>
          <w:b/>
          <w:color w:val="000000" w:themeColor="text1"/>
        </w:rPr>
        <w:t>Provide reasons for A2 slippage, if applicable</w:t>
      </w:r>
      <w:r w:rsidRPr="00ED172B">
        <w:rPr>
          <w:rFonts w:cs="Arial"/>
          <w:b/>
          <w:color w:val="000000" w:themeColor="text1"/>
          <w:szCs w:val="16"/>
        </w:rPr>
        <w:t xml:space="preserve"> </w:t>
      </w:r>
    </w:p>
    <w:p w14:paraId="2CB5A177" w14:textId="130EED60" w:rsidR="00A01E85" w:rsidRDefault="001E39E3" w:rsidP="001E39E3">
      <w:pPr>
        <w:rPr>
          <w:color w:val="000000" w:themeColor="text1"/>
        </w:rPr>
      </w:pPr>
      <w:r w:rsidRPr="00ED172B">
        <w:rPr>
          <w:color w:val="000000" w:themeColor="text1"/>
        </w:rPr>
        <w:t>The State had a 10.15% decrease in the number of children who exited early intervention services this year when compared to last year. Additionally, a 12.86% decrease in the number of infants and toddlers who were functioning within age expectations by the time they turned 3 years of age or exited the program. This resulted in a 2.02% slippage between Federal Fiscal Year 2019 and Federal Fiscal Year 2020.  Some reasons for slippage include limited information technology supplies (laptops, phones, etc.,) broadband infrastructure and families having accessibility to and knowledge of technology.</w:t>
      </w:r>
    </w:p>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9,541</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14,441</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67.23%</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67.39%</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66.07%</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15,271</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23,419</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67.22%</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67.00%</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65.21%</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145C060F" w14:textId="456C1890" w:rsidR="00A01E85" w:rsidRPr="00ED172B" w:rsidRDefault="00A01E85" w:rsidP="00A01E85">
      <w:pPr>
        <w:rPr>
          <w:rFonts w:cs="Arial"/>
          <w:b/>
          <w:i/>
          <w:color w:val="000000" w:themeColor="text1"/>
          <w:szCs w:val="16"/>
        </w:rPr>
      </w:pPr>
      <w:r w:rsidRPr="00ED172B">
        <w:rPr>
          <w:b/>
          <w:color w:val="000000" w:themeColor="text1"/>
        </w:rPr>
        <w:t xml:space="preserve">Provide reasons for A1 AR/ALL slippage, if applicable </w:t>
      </w:r>
    </w:p>
    <w:p w14:paraId="29612EF0" w14:textId="4868764E" w:rsidR="00A01E85" w:rsidRDefault="002F5A9E" w:rsidP="002F5A9E">
      <w:pPr>
        <w:rPr>
          <w:color w:val="000000" w:themeColor="text1"/>
        </w:rPr>
      </w:pPr>
      <w:r w:rsidRPr="00ED172B">
        <w:rPr>
          <w:color w:val="000000" w:themeColor="text1"/>
        </w:rPr>
        <w:t>The State had a 5.88% decrease in the number of children who exited early intervention services this year when compared to last year. Additionally, a 7.52% decrease in the number of infants and toddlers who substantially increased their rate of growth by the time they turned 3 years of age or exited the program. Resulting in a 1.17% slippage between Federal Fiscal Year2019 and Federal Fiscal Year 2020. Some reasons for slippage include limited information technology supplies (laptops, phones, etc.,) broadband infrastructure and families having accessibility to and knowledge of technology.</w:t>
      </w:r>
    </w:p>
    <w:p w14:paraId="10527D97" w14:textId="1A31261A" w:rsidR="00A01E85" w:rsidRPr="00ED172B" w:rsidRDefault="00A01E85" w:rsidP="00A01E85">
      <w:pPr>
        <w:rPr>
          <w:rFonts w:cs="Arial"/>
          <w:b/>
          <w:i/>
          <w:color w:val="000000" w:themeColor="text1"/>
          <w:szCs w:val="16"/>
        </w:rPr>
      </w:pPr>
      <w:r w:rsidRPr="00ED172B">
        <w:rPr>
          <w:b/>
          <w:color w:val="000000" w:themeColor="text1"/>
        </w:rPr>
        <w:t>Provide reasons for A2 AR/ALL slippage, if applicable</w:t>
      </w:r>
    </w:p>
    <w:p w14:paraId="47A8B982" w14:textId="2214B659" w:rsidR="00A01E85" w:rsidRDefault="001E39E3" w:rsidP="001E39E3">
      <w:pPr>
        <w:rPr>
          <w:color w:val="000000" w:themeColor="text1"/>
        </w:rPr>
      </w:pPr>
      <w:r w:rsidRPr="00ED172B">
        <w:rPr>
          <w:color w:val="000000" w:themeColor="text1"/>
        </w:rPr>
        <w:t>The State had a 9.34% decrease in the number of children who exited early intervention services this year when compared to last year. Additionally, a 12.06% decrease in the number of infants and toddlers who were functioning within age expectations by the time they turned 3 years of age or exited the program. Resulting in a 2.01% slippage between Federal Fiscal Year 2019 and Federal Fiscal Year 2020.  Some reasons for slippage include limited information technology supplies (laptops, phones, etc.,) broadband infrastructure and families having accessibility to and knowledge of technology.</w:t>
      </w:r>
    </w:p>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631</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2.85%</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3,694</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16.70%</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6,219</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28.11%</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7,313</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33.06%</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4,264</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19.28%</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636</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2.72%</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4,232</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18.07%</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6,223</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26.57%</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7,896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33.72%</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4,432</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18.92%</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13,532</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17,857</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76.67%</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76.67%</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75.78%</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11,577</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22,121</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53.14%</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53.14%</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52.33%</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14,119</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18,987</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75.51%</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76.67%</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74.36%</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12,328</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23,419</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53.44%</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53.14%</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52.64%</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32D30CE0" w14:textId="360C6F88"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B1 AR/ALL slippage, if applicable </w:t>
      </w:r>
    </w:p>
    <w:p w14:paraId="65A1CD82" w14:textId="5DAC496A" w:rsidR="00A01E85" w:rsidRDefault="001E39E3" w:rsidP="001E39E3">
      <w:pPr>
        <w:rPr>
          <w:color w:val="000000" w:themeColor="text1"/>
        </w:rPr>
      </w:pPr>
      <w:r w:rsidRPr="00ED172B">
        <w:rPr>
          <w:color w:val="000000" w:themeColor="text1"/>
        </w:rPr>
        <w:t>The State had a 8.06% decrease in children exiting early intervention services this year. Additionally, a 9.46% decrease in the number of infants and toddlers who substantially increased their rate of growth by the time they turned 3 years of age or exited the program. Resulting in a 1.26% slippage between Federal Fiscal Year 2019 and Federal Fiscal Year 2020.  Some reasons for slippage include limited information technology supplies (laptops, phones, etc.,) broadband infrastructure and families having accessibility to and knowledge of technology.</w:t>
      </w:r>
    </w:p>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1,329</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6.01%</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4,396</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19.87%</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3,155</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14.26%</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4,439</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20.07%</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8,802</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39.79%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lastRenderedPageBreak/>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1,351</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5.77%</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4,897</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20.91%</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3,159</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13.49%</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4,991</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21.31%</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9,021</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38.52%</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7,594</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13,319</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57.90%</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57.90%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57.02%</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13,241</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22,121</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60.70%</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60.70%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59.86%</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8,150</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14,398</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57.67%</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57.90%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56.61%</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14,012</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23,419</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60.72%</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60.70%</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59.83%</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CBB0034" w14:textId="1575EF83" w:rsidR="00A01E85" w:rsidRPr="00ED172B" w:rsidRDefault="00A01E85" w:rsidP="00A01E85">
      <w:pPr>
        <w:rPr>
          <w:rFonts w:cs="Arial"/>
          <w:b/>
          <w:i/>
          <w:color w:val="000000" w:themeColor="text1"/>
          <w:szCs w:val="16"/>
        </w:rPr>
      </w:pPr>
      <w:r w:rsidRPr="00ED172B">
        <w:rPr>
          <w:b/>
          <w:color w:val="000000" w:themeColor="text1"/>
        </w:rPr>
        <w:t xml:space="preserve">Provide reasons for C1 AR/ALL slippage, if applicable </w:t>
      </w:r>
    </w:p>
    <w:p w14:paraId="4D0388EE" w14:textId="682575E7" w:rsidR="00A01E85" w:rsidRDefault="005C14C2" w:rsidP="005C14C2">
      <w:pPr>
        <w:rPr>
          <w:color w:val="000000" w:themeColor="text1"/>
        </w:rPr>
      </w:pPr>
      <w:r w:rsidRPr="00ED172B">
        <w:rPr>
          <w:color w:val="000000" w:themeColor="text1"/>
        </w:rPr>
        <w:t>The State had a 7.92% decrease in children exiting early intervention services this year. Additionally, a 9.63% decrease in the number of infants and toddlers who substantially increased their rate of growth by the time they turned 3 years of age or exited the program. Resulting in a 1.06% slippage between Federal Fiscal Year 2019 and Federal Fiscal Year 2020.  Some reasons for slippage include limited information technology supplies (laptops, phones, etc.,) broadband infrastructure and families having accessibility to and knowledge of technology.</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41,564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8,859</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lastRenderedPageBreak/>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Children were considered comparable to same-aged peers if their functional age in a given developmental domain was within 25 percent of their chronological age.</w:t>
      </w:r>
      <w:r w:rsidRPr="00ED172B">
        <w:rPr>
          <w:rFonts w:cs="Arial"/>
          <w:color w:val="000000" w:themeColor="text1"/>
          <w:szCs w:val="16"/>
        </w:rPr>
        <w:br/>
      </w:r>
      <w:r w:rsidRPr="00ED172B">
        <w:rPr>
          <w:rFonts w:cs="Arial"/>
          <w:color w:val="000000" w:themeColor="text1"/>
          <w:szCs w:val="16"/>
        </w:rPr>
        <w:br/>
        <w:t>Beyond the use of standard evaluation tools specific to each licensed professional, informed clinical judgment was one of several key principles employed for determining functional levels and, therefore, child progress/outcomes. Regional Center and contracted clinicians also used: (1) formal assessment techniques and instruments; (2) direct informal observations of the child; (3) review of all pertinent records; and, (4) parent/caregiver interview or discussion.</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Data for this indicator is gathered by the California Department of Developmental Services and the California Department of Education. Department of Developmental Services’ Early Start Report captures Office of Special Education Programs required data elements for children, including those with high risk conditions, assessed in all child outcome areas, served by all 21 regional centers. California Department of Education’s data is gathered via the Desired Results Developmental Profile and includes all infants and toddlers with solely-low incidence disabilities assessed in all child outcome areas.</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1. The impact on data completeness, validity and reliability for the indicator: The number of infants and toddlers who exited the Part C program during the reporting period, as reported in the State's part C exiting 618 data compared to the number of infants and toddlers with IFSPs assessed may have been negatively affected due to COVID-19.</w:t>
      </w:r>
      <w:r w:rsidRPr="00ED172B">
        <w:rPr>
          <w:rFonts w:cs="Arial"/>
          <w:color w:val="000000" w:themeColor="text1"/>
          <w:szCs w:val="16"/>
        </w:rPr>
        <w:br/>
        <w:t>2. An explanation of how COVID-19 specifically impacted the State’s ability to collect the data for the indicator: Regional Center delays to complete final assessments</w:t>
      </w:r>
      <w:r w:rsidRPr="00ED172B">
        <w:rPr>
          <w:rFonts w:cs="Arial"/>
          <w:color w:val="000000" w:themeColor="text1"/>
          <w:szCs w:val="16"/>
        </w:rPr>
        <w:br/>
        <w:t xml:space="preserve">3. Any steps the State took to mitigate the impact of COVID-19 on the data collection: California has enhanced communication and technical assistance with Regional Centers to improve the accuracy of reporting the status of infants and toddlers exiting the Part C program.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70.50%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72.23%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78.74%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80.97%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80.70%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79.60%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72.23%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84.33%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83.71%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83.91%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83.38%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84.33%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75.50%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83.60%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81.62%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81.89%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82.54%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72.23%</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72.50%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72.50%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72.50%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72.50%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72.50%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84.33%</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84.34%</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84.34%</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84.34%</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84.34%</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84.34%</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83.60%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83.61%</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83.61%</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83.61%</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83.61%</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83.61%</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Previous baseline year was 2005.  The Baseline Year for Indicator 4a was chosen as 2019/2020, since this was the most recent data collected and provides the most representative and normalized benchmark for data comparison. The target for 2020/21 of 72.23% was set according to linear regression. The target for 2021/22 of 72.50% is an increase of 0.25% from the previous year's target. The following years' targets remain constant at 72.5%. </w:t>
      </w:r>
      <w:r w:rsidRPr="00ED172B">
        <w:rPr>
          <w:rFonts w:cs="Arial"/>
          <w:color w:val="000000" w:themeColor="text1"/>
          <w:szCs w:val="16"/>
        </w:rPr>
        <w:br/>
      </w:r>
      <w:r w:rsidRPr="00ED172B">
        <w:rPr>
          <w:rFonts w:cs="Arial"/>
          <w:color w:val="000000" w:themeColor="text1"/>
          <w:szCs w:val="16"/>
        </w:rPr>
        <w:br/>
        <w:t>The Baseline Year for Indicator 4b was chosen as 2019/2020, since this was the most recent data collected and provides the most representative and normalized benchmark for data comparison. The target for 2020/21 of 84.33% was set according to linear regression and is the same as the actuals from the base year. The target for 2021/22 of 84.34% is an increase of 0.01% from the previous year's target. The following years' targets remain constant at 84.34%.</w:t>
      </w:r>
      <w:r w:rsidRPr="00ED172B">
        <w:rPr>
          <w:rFonts w:cs="Arial"/>
          <w:color w:val="000000" w:themeColor="text1"/>
          <w:szCs w:val="16"/>
        </w:rPr>
        <w:br/>
      </w:r>
      <w:r w:rsidRPr="00ED172B">
        <w:rPr>
          <w:rFonts w:cs="Arial"/>
          <w:color w:val="000000" w:themeColor="text1"/>
          <w:szCs w:val="16"/>
        </w:rPr>
        <w:br/>
        <w:t xml:space="preserve">The Baseline Year for Indicator 4c was chosen as 2019/2020, since this was the most recent data collected and provides the most representative and normalized benchmark for data comparison. The target for 2020/21 of 83.6% was set according to linear regression and is the same as the actuals from the base year. The target for 2021/22 of 83.61% is an increase of 0.01% from the previous year's target. The following years' targets remain constant at 83.61%.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10,874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1,323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12.17%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914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1,190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969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1,188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928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1,187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72.23%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72.23%</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76.81%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84.33%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84.33%</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81.57%</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83.60%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78.18%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lastRenderedPageBreak/>
        <w:t>This reporting year had a 45% increase in participant responses yet a 2.76% slippage between FFY 2019 to FFY 2020. Reasons for slippage include families having limited accessibility to technology and limited access to information technology supplies (laptops, phones, etc.,) to access and understand the services being provided that would help them learn how to effectively communicate their children's needs.</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This reporting year had a 46.36% increase in participant responses yet a 5.42% slippage between FFY 2019 to FFY 2020. Reasons for slippage include families having limited accessibility to technology and limited access to information technology supplies (laptops, phones, etc.,) to access and understand the services being provided that would help them lean how to help their children develop and learn.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A representative sample was taken from California's Part C participant population based on the ethnic background of participants and respondents and based on the percentage of California's Part C population they represent. </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10.31%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12.17%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California is looking at ways to distribute to a larger population while maintaining the integrity of the demographic representation of California. To achieve this the Department will partner with Regional Centers and Family Resource Centers to reach more families.  The State will identify additional languages to distribute additional surveys to reach more marginalized communities. This year , the State updated the cover letter to explain the importance of providing feedback.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California’s survey response rate was 12.17%. Asians had a 13.31% response rate, followed by Whites at 12.33%, two + races at 10.84% and Hispanics at 8.17%, African Americans at 7.01% and Native Americans at 5.26%. The analysis that California completed identified African Americans and Native Americans were among the lowest in response rates, however the 7.01% of African American who responded still reflects the 4.47% overall Part C population.  Similarly in the Native American population who responded, the 5.25% of Native Americans reflects the 0.23% of the overall Part C population.  Historically African American and Native Americans have had the lowest response rates compared to other ethnic groups, to ameliorate this issue we have over targeted these groups to ensure a representative response.  </w:t>
      </w:r>
      <w:r w:rsidRPr="00ED172B">
        <w:rPr>
          <w:rFonts w:cs="Arial"/>
          <w:color w:val="000000" w:themeColor="text1"/>
          <w:szCs w:val="16"/>
        </w:rPr>
        <w:br/>
      </w:r>
      <w:r w:rsidRPr="00ED172B">
        <w:rPr>
          <w:rFonts w:cs="Arial"/>
          <w:color w:val="000000" w:themeColor="text1"/>
          <w:szCs w:val="16"/>
        </w:rPr>
        <w:br/>
        <w:t xml:space="preserve">To improve response rates in the future, California plans to increase communication frequency between the Interagency Coordinating Council, Regional Centers, and State Systemic Improvement Plan partners, and Family Resource Centers of the importance of the Family Outcomes Survey, dates of survey dissemination, and available assistance for families to complete the survey.  Additionally, greater outreach with African American and Native American communities will be conducted by engaging Family Resource Centers and Regional Centers to enhance awareness as well as identifying languages that the survey should be available in to reach marginalized communities.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All 180 of Native American infants and toddlers enrolled in Part C were surveyed. Of the 6,108 Asians enrolled in Part C, 1,803 were surveyed. Of the 3,483 African American infants and toddlers enrolled in Part C, 1,725 were surveyed. Of the 37,827 Hispanic infants and toddlers enrolled in Part C, 1,898 were surveyed. Of 14,357 Whites enrolled in Part C, 1,865 were surveyed.</w:t>
      </w:r>
      <w:r w:rsidRPr="00ED172B">
        <w:rPr>
          <w:rFonts w:cs="Arial"/>
          <w:color w:val="000000" w:themeColor="text1"/>
          <w:szCs w:val="16"/>
        </w:rPr>
        <w:br/>
        <w:t>The demographic of the survey panel was designed in such a way to replicate the demographics of the Part C program population. Native Americans were 0.23% of the Part C population and constituted 0.87% of the survey panel population. Whites made up 18.43% of the Part C population and constituted 17.15% of the survey panel population. Asians however make up 7.84% of the Part C population but constituted 16.58% of the survey panel population. African American make up 4.47% of the Part C population but constituted 15.86% of the survey panel population. Hispanics make up 48.55% of the Part C population and constituted 17.45% of the survey panel population.</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California uses Custom Insight’s Random Sampling tool. The numbers of survey sent out were based on the population of the ethnicity in the state, with a +/- 5% margin of error, and at a 95 percent level of confidence. Every child with active cases were compiled and grouped by their ethnicity. The Custom Insight Random Sampling tool was then used to identify subsets of the case population based on their ethnic population in the greater sample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1. The impact on data completeness, validity and reliability for the indicator.</w:t>
      </w:r>
      <w:r w:rsidRPr="00ED172B">
        <w:rPr>
          <w:rFonts w:cs="Arial"/>
          <w:color w:val="000000" w:themeColor="text1"/>
          <w:szCs w:val="16"/>
        </w:rPr>
        <w:br/>
        <w:t xml:space="preserve">We saw an increase in the number of Family Outcomes Survey received this year, but the percentage of completion is still below historical averages. </w:t>
      </w:r>
      <w:r w:rsidRPr="00ED172B">
        <w:rPr>
          <w:rFonts w:cs="Arial"/>
          <w:color w:val="000000" w:themeColor="text1"/>
          <w:szCs w:val="16"/>
        </w:rPr>
        <w:br/>
        <w:t xml:space="preserve"> 2. An explanation of how COVID-19 specifically impacted the State’s ability to collect the data for the indicator.</w:t>
      </w:r>
      <w:r w:rsidRPr="00ED172B">
        <w:rPr>
          <w:rFonts w:cs="Arial"/>
          <w:color w:val="000000" w:themeColor="text1"/>
          <w:szCs w:val="16"/>
        </w:rPr>
        <w:br/>
        <w:t xml:space="preserve"> Mailing capacity for the Office of State Publishing was not operating at pre-COVID-19 staffing. </w:t>
      </w:r>
      <w:r w:rsidRPr="00ED172B">
        <w:rPr>
          <w:rFonts w:cs="Arial"/>
          <w:color w:val="000000" w:themeColor="text1"/>
          <w:szCs w:val="16"/>
        </w:rPr>
        <w:br/>
        <w:t>3. Any steps the State took to mitigate the impact of COVID-19 on the data collection.</w:t>
      </w:r>
      <w:r w:rsidRPr="00ED172B">
        <w:rPr>
          <w:rFonts w:cs="Arial"/>
          <w:color w:val="000000" w:themeColor="text1"/>
          <w:szCs w:val="16"/>
        </w:rPr>
        <w:br/>
        <w:t>To mitigate the effects of COVID-19 and the problems with the mailing system, California offered the survey electronically, in various principal languages and sent two reminder mailers out to the families that were included in the sample.</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1.09%</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1.09%</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1.09%</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1.10%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1.10%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1.11%</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1.11%</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Previous baseline year was 2013 with a 0.79% baseline data. The identified Baseline Year of 2018/2019 was the last FY prior to impact of COVID-19 and so it provides the most representative and normalized benchmark for data comparison. FY 2020 Target is set at 1.09% and will remain the same for 2021, increasing to 1.1% in 2022 and 2023 and 1.11% in 2024 and 2025.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4,386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446,864</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4,386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446,864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lastRenderedPageBreak/>
        <w:t>The numbers of children served from FFY 2019 compared with FFY 2020 has decreased by 14 percent, which contributed to the decline in numbers of infants and toddlers from birth to 1 with Individual Family Services Plan. Slippage occurred due to COVID, families’ needs and priorities shifted and therefore decreasing the number of families participating in the Part C program.</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California did not meet the measurable and rigorous target for this indicator. FFY 2020-21 data indicate that .98% percent of infants, ages birth to 1, were served. This figure is .11 percent below target resulting in slippage due to less children served during the reporting period. California Department of Education experienced an overall 25% decrease in child count, additionally this indicator has historically been smaller resulting in a deeper impact to this overall decrease in child count. </w:t>
      </w:r>
      <w:r w:rsidRPr="00ED172B">
        <w:rPr>
          <w:color w:val="000000" w:themeColor="text1"/>
        </w:rPr>
        <w:br/>
      </w:r>
      <w:r w:rsidRPr="00ED172B">
        <w:rPr>
          <w:color w:val="000000" w:themeColor="text1"/>
        </w:rPr>
        <w:br/>
        <w:t xml:space="preserve">1. The impact on data completeness, validity and reliability for the indicator: Data analysis indicates COVID-19 did not impact data completeness, validity, or reliability for this indicator. </w:t>
      </w:r>
      <w:r w:rsidRPr="00ED172B">
        <w:rPr>
          <w:color w:val="000000" w:themeColor="text1"/>
        </w:rPr>
        <w:br/>
        <w:t xml:space="preserve">2. An explanation of how COVID-19 specifically impacted the State’s ability to collect the data for the indicator: There is no evidence indicating that COVID-19 impacted the State's ability to collect data for this indicator. </w:t>
      </w:r>
      <w:r w:rsidRPr="00ED172B">
        <w:rPr>
          <w:color w:val="000000" w:themeColor="text1"/>
        </w:rPr>
        <w:br/>
        <w:t xml:space="preserve">3. Any steps the State took to mitigate the impact of COVID-19 on the data collection: No additional steps were taken since data collection was not impacted by COVID-19.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2018</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3.47%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2.70%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3.47%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3.76%</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3.47%</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3.47%</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3.48%</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3.48%</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3.49%</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3.49%</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Previous baseline year was 2005 and baseline data was 1.99%. The identified Baseline Year of 2018/2019 was the last FY prior to impact of COVID and so it provides the most representative and normalized benchmark for data comparison. FY 2020 Target is set at 3.47% and will increased by .01% every other year.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45,189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1,352,608</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45,189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1,352,608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3.76%</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3.47%</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3.34%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 xml:space="preserve">Due to COVID, families’ needs and priorities shifted and therefore decreasing the number of families participating in the Part C program. </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California did not meet the measurable and rigorous target for this indicator. FFY 2020-21 data indicate that 3.34% percent of infants, ages birth to 3, were served. This figure is .13 percent below target resulting in slippage due to less children served during the reporting period. California Department of </w:t>
      </w:r>
      <w:r w:rsidRPr="00ED172B">
        <w:rPr>
          <w:rFonts w:cs="Arial"/>
          <w:color w:val="000000" w:themeColor="text1"/>
          <w:szCs w:val="16"/>
        </w:rPr>
        <w:lastRenderedPageBreak/>
        <w:t>Education experienced an overall 25% decrease in child count impacting this indicator.</w:t>
      </w:r>
      <w:r w:rsidRPr="00ED172B">
        <w:rPr>
          <w:rFonts w:cs="Arial"/>
          <w:color w:val="000000" w:themeColor="text1"/>
          <w:szCs w:val="16"/>
        </w:rPr>
        <w:br/>
      </w:r>
      <w:r w:rsidRPr="00ED172B">
        <w:rPr>
          <w:rFonts w:cs="Arial"/>
          <w:color w:val="000000" w:themeColor="text1"/>
          <w:szCs w:val="16"/>
        </w:rPr>
        <w:br/>
        <w:t xml:space="preserve">1. The impact on data completeness, validity and reliability for the indicator: Data analysis indicates COVID-19 did not impact data completeness, validity, or reliability for this indicator. </w:t>
      </w:r>
      <w:r w:rsidRPr="00ED172B">
        <w:rPr>
          <w:rFonts w:cs="Arial"/>
          <w:color w:val="000000" w:themeColor="text1"/>
          <w:szCs w:val="16"/>
        </w:rPr>
        <w:br/>
        <w:t xml:space="preserve">2. An explanation of how COVID-19 specifically impacted the State’s ability to collect the data for the indicator: There is no evidence indicating that COVID-19 impacted the State's ability to collect data for this indicator. </w:t>
      </w:r>
      <w:r w:rsidRPr="00ED172B">
        <w:rPr>
          <w:rFonts w:cs="Arial"/>
          <w:color w:val="000000" w:themeColor="text1"/>
          <w:szCs w:val="16"/>
        </w:rPr>
        <w:br/>
        <w:t xml:space="preserve">3. Any steps the State took to mitigate the impact of COVID-19 on the data collection: No additional steps were taken since data collection was not impacted by COVID-19.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90.43%</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85.54%</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78.80%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86.87%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78.21%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87.46%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237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296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87.46%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91.55%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Department of Developmental Services, regional centers, providers, and families were faced with many challenges, including but not limited to concerns with: operational infrastructure, limited IT technology supplies (laptops, phones, etc.,) broadband infrastructure, Health Insurance Portability Accountability Act and security compliance, and families having accessibility to and knowledge of technology. Department of Developmental Services took steps to mitigate the impact on the data collection by issuing guidance to regional centers on the requirement to continue to implement the requirements of IDEA during the pandemic. Department of Developmental Services established a web page for information and guidance related to COVID-19 on the Department of Developmental Services website at: https://www.dds.ca.gov/corona-virus-information-and-resources/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Department of Developmental Services conducts comprehensive regional center Early Start programs reviews via a three-year monitoring cycle of identified cohorts. Department of Developmental Services conducted seven remote reviews during FFY 2020. The sample of records reviewed is random and based on the population served. California Department of Education data is derived from monitoring for infants and toddlers served with solely low incidence disabilities in FFY 2020.</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1. The impact on data completeness, validity and reliability for the indicator: Data analysis indicates COVID-19 did not impact data completeness, validity, or reliability for this indicator. </w:t>
      </w:r>
      <w:r w:rsidRPr="00ED172B">
        <w:rPr>
          <w:rFonts w:cs="Arial"/>
          <w:color w:val="000000" w:themeColor="text1"/>
          <w:szCs w:val="16"/>
        </w:rPr>
        <w:br/>
        <w:t xml:space="preserve">2. An explanation of how COVID-19 specifically impacted the State’s ability to collect the data for the indicator: There is no evidence indicating that COVID-19 impacted the State's ability to collect data for this indicator. </w:t>
      </w:r>
      <w:r w:rsidRPr="00ED172B">
        <w:rPr>
          <w:rFonts w:cs="Arial"/>
          <w:color w:val="000000" w:themeColor="text1"/>
          <w:szCs w:val="16"/>
        </w:rPr>
        <w:br/>
        <w:t xml:space="preserve">3. Any steps the State took to mitigate the impact of COVID-19 on the data collection: No additional steps were taken since data collection was not impacted by COVID-19.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California verifies that the IFSP meeting was held, although late for any child whose IFSP meeting did not occur in a timely manner, unless the child is no longer within the jurisdiction of the EIS program, consistent with OSEP Memo 09-02. In addition, California ensures that each EIS program with identified noncompliance is correctly implementing the specific regulatory requirements by completing subsequent review of records in order to achieve 100% compliance as soon as possible, but in no case later than one year from identification of noncompliance. Of the six findings of noncompliance identified in FFY 2019, six findings were identified by DDS and the thirty-four remaining findings were identified by CDE.</w:t>
      </w:r>
      <w:r w:rsidRPr="00ED172B">
        <w:rPr>
          <w:rFonts w:cs="Arial"/>
          <w:color w:val="000000" w:themeColor="text1"/>
          <w:szCs w:val="16"/>
        </w:rPr>
        <w:br/>
      </w:r>
      <w:r w:rsidRPr="00ED172B">
        <w:rPr>
          <w:rFonts w:cs="Arial"/>
          <w:color w:val="000000" w:themeColor="text1"/>
          <w:szCs w:val="16"/>
        </w:rPr>
        <w:br/>
        <w:t xml:space="preserve">Findings identified by Department of Developmental Services </w:t>
      </w:r>
      <w:r w:rsidRPr="00ED172B">
        <w:rPr>
          <w:rFonts w:cs="Arial"/>
          <w:color w:val="000000" w:themeColor="text1"/>
          <w:szCs w:val="16"/>
        </w:rPr>
        <w:br/>
        <w:t>Department of Developmental Services requires a specific level of follow-up review and reporting when noncompliance is identified with each regional center (RC) and notifies the RC, in writing, of the noncompliance. Subsequently, a root cause analysis for all outstanding findings is completed by the regional center, with assistance from Department of Developmental Services, to determine the actions necessary to ensure compliance. These actions are documented in a plan of correction and submitted to Department of Developmental Services. Based on that plan of correction, Department of Developmental Services ensures that each RC with identified noncompliance takes appropriate action to meet the specific regulatory requirements and confirm that the IFSP meeting was held, unless the child is no longer within the jurisdiction of the EIS program. In addition to the plan of correction, Department of Developmental Services completes periodic subsequent reviews of an additional sample of twenty records until 100% compliance is achieved for each RC finding of noncompliance. During this subsequent review process, Department of Developmental Services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§§303.321 and 303.342, and are in 100% compliance. Department of Developmental Services completed the above mentioned process with the six RCs that had outstanding findings in FFY 2019. Department of Developmental Services verified that five of the RCs are correctly implementing the specific regulatory requirements in 34 CFR, §§303.321 and 303.342, and met 100% compliance within the required timeline. However, one of the RCs did not meet 100% compliance within the twelve-month timeline due to loss of staff and service providers as a result of COVID-19. Department of Developmental Services will complete another subsequent review in April 2022 and verify that the remaining RC is correctly implementing the specific regulatory requirements in 34 CFR, §§303.321 and 303.342.</w:t>
      </w:r>
      <w:r w:rsidRPr="00ED172B">
        <w:rPr>
          <w:rFonts w:cs="Arial"/>
          <w:color w:val="000000" w:themeColor="text1"/>
          <w:szCs w:val="16"/>
        </w:rPr>
        <w:br/>
      </w:r>
      <w:r w:rsidRPr="00ED172B">
        <w:rPr>
          <w:rFonts w:cs="Arial"/>
          <w:color w:val="000000" w:themeColor="text1"/>
          <w:szCs w:val="16"/>
        </w:rPr>
        <w:br/>
        <w:t>Findings identified by California Department of Education (CDE)</w:t>
      </w:r>
      <w:r w:rsidRPr="00ED172B">
        <w:rPr>
          <w:rFonts w:cs="Arial"/>
          <w:color w:val="000000" w:themeColor="text1"/>
          <w:szCs w:val="16"/>
        </w:rPr>
        <w:br/>
        <w:t>CDE requires a stringent level of follow-up review and reporting in districts with identified noncompliance related to this indicator. The CDE ensures LEAs are correctly implementing the specific regulatory requirements by reviewing policies, procedures and practices, providing staff training, and by reviewing a new sample of student records for each district-level finding. District-level corrective actions are given a timeline of three months. For all findings, correction must be completed as soon as possible but, in no case later than one year.</w:t>
      </w:r>
      <w:r w:rsidRPr="00ED172B">
        <w:rPr>
          <w:rFonts w:cs="Arial"/>
          <w:color w:val="000000" w:themeColor="text1"/>
          <w:szCs w:val="16"/>
        </w:rPr>
        <w:br/>
      </w:r>
      <w:r w:rsidRPr="00ED172B">
        <w:rPr>
          <w:rFonts w:cs="Arial"/>
          <w:color w:val="000000" w:themeColor="text1"/>
          <w:szCs w:val="16"/>
        </w:rPr>
        <w:br/>
        <w:t>CDE issued the remaining thirty-four findings identified on this indicator which were verified as corrected within the required timeline. CDE verified that each LEA with noncompliance identified in FFY 2019 is correctly implementing the specific regulatory requirements in 34 CFR, §§303.321 and 303.342, and are in 100% 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Department of Developmental Services and CDE ensured appropriate action to correct each individual case of noncompliance through the monitoring review process and subsequent follow-up. Department of Developmental Services or CDE verified that the IFSP was completed, although late for all children whose IFSP did not occur in a timely manner, unless the child is no longer within the jurisdiction of the EIS program; consistent with OSEP Memo 09-02. For each finding identified, the state verified that the noncompliance was corrected and the IFSP was completed by obtaining a copy of the IFSP to confirm correction of noncompliance.</w:t>
      </w:r>
    </w:p>
    <w:p w14:paraId="200B05A1" w14:textId="3B4A6BBF" w:rsidR="008203B4" w:rsidRPr="00ED172B" w:rsidRDefault="00CD74B5" w:rsidP="00B83404">
      <w:pPr>
        <w:rPr>
          <w:color w:val="000000" w:themeColor="text1"/>
        </w:rPr>
      </w:pPr>
      <w:r>
        <w:rPr>
          <w:b/>
          <w:color w:val="000000" w:themeColor="text1"/>
        </w:rPr>
        <w:t>FFY 2019 Findings of Noncompliance Not Yet Verified as Corrected</w:t>
      </w:r>
    </w:p>
    <w:p w14:paraId="61E3BC91" w14:textId="77777777" w:rsidR="008203B4" w:rsidRPr="00ED172B" w:rsidRDefault="008203B4" w:rsidP="008203B4">
      <w:pPr>
        <w:rPr>
          <w:rFonts w:cs="Arial"/>
          <w:b/>
          <w:color w:val="000000" w:themeColor="text1"/>
          <w:szCs w:val="16"/>
        </w:rPr>
      </w:pPr>
      <w:r w:rsidRPr="00ED172B">
        <w:rPr>
          <w:rFonts w:cs="Arial"/>
          <w:b/>
          <w:color w:val="000000" w:themeColor="text1"/>
          <w:szCs w:val="16"/>
        </w:rPr>
        <w:t>Actions taken if noncompliance not corrected</w:t>
      </w:r>
    </w:p>
    <w:p w14:paraId="78C5E0A9" w14:textId="159B9CDB" w:rsidR="008203B4" w:rsidRDefault="00860830" w:rsidP="008203B4">
      <w:pPr>
        <w:rPr>
          <w:rFonts w:cs="Arial"/>
          <w:color w:val="000000" w:themeColor="text1"/>
          <w:szCs w:val="16"/>
        </w:rPr>
      </w:pPr>
      <w:r w:rsidRPr="00ED172B">
        <w:rPr>
          <w:rFonts w:cs="Arial"/>
          <w:color w:val="000000" w:themeColor="text1"/>
          <w:szCs w:val="16"/>
        </w:rPr>
        <w:lastRenderedPageBreak/>
        <w:t>Department of Developmental Services will complete another subsequent review in April, 2022 and verify that the remaining RC is correctly implementing the specific regulatory requirements in 34 CFR, §§ 303.342(e), and 303.344(f)(1), and are in 100% compliance.</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California verifies that the IFSP meeting was held, although late for any child whose IFSP meeting did not occur in a timely manner, unless the child is no longer within the jurisdiction of the EIS program, consistent with OSEP Memo 09-02. In addition, California ensures that each EIS program with identified noncompliance is correctly implementing the specific regulatory requirements by completing subsequent review of records in order to achieve 100% compliance as soon as possible, but in no case later than one year from identification of noncompliance. Of the eighteen findings of noncompliance identified in FFY 2018, seven findings were identified by Department of Developmental Services and the remaining eleven findings were identified by CDE. </w:t>
      </w:r>
      <w:r w:rsidRPr="00ED172B">
        <w:rPr>
          <w:color w:val="000000" w:themeColor="text1"/>
        </w:rPr>
        <w:br/>
        <w:t>Findings identified by Department of Developmental Services</w:t>
      </w:r>
      <w:r w:rsidRPr="00ED172B">
        <w:rPr>
          <w:color w:val="000000" w:themeColor="text1"/>
        </w:rPr>
        <w:br/>
        <w:t>Department of Developmental Services requires a specific level of follow-up review and reporting when noncompliance is identified with each RC and notifies the RC, in writing, of the noncompliance. Subsequently, a root cause analysis for all outstanding findings is completed by the RC, with assistance from Department of Developmental Services, to determine the actions necessary to ensure compliance. These actions are documented in a plan of correction and submitted to Department of Developmental Services. Based on that plan of correction, Department of Developmental Services ensures that each RC with identified noncompliance takes appropriate action to meet the specific regulatory requirements and confirm that the IFSP meeting was held, unless the child is no longer within the jurisdiction of the EIS program. In addition to the plan of correction, Department of Developmental Services completes periodic subsequent reviews of an additional sample of twenty records until 100% compliance is achieved for each RC finding of noncompliance. During this subsequent review process, Department of Developmental Services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§§303.321 and 303.342, and are in 100% compliance. Department of Developmental Services completed the above mentioned process with the seven RCs that had outstanding findings in FFY 2018. Department of Developmental Services verified that six of the RCs are correctly implementing the specific regulatory requirements in 34 CFR, §§303.321 and 303.342, and met 100% compliance within the required timeline. However, one of the RCs met 100% compliance outside the required timeline. Verification of 100% compliance was completed through an additional subsequent review with that RC in May of 2021.</w:t>
      </w:r>
      <w:r w:rsidRPr="00ED172B">
        <w:rPr>
          <w:color w:val="000000" w:themeColor="text1"/>
        </w:rPr>
        <w:br/>
        <w:t>Findings identified by CDE</w:t>
      </w:r>
      <w:r w:rsidRPr="00ED172B">
        <w:rPr>
          <w:color w:val="000000" w:themeColor="text1"/>
        </w:rPr>
        <w:br/>
        <w:t>CDE requires a stringent level of follow-up review and reporting in districts with identified noncompliance related to this indicator. The CDE ensures LEAs are correctly implementing the specific regulatory requirements by reviewing policies, procedures and practices, providing staff training, and by reviewing a new sample of student records for each district-level finding. District-level corrective actions are given a timeline of three months. For all findings, correction must be completed as soon as possible but, in no case later than one year.</w:t>
      </w:r>
      <w:r w:rsidRPr="00ED172B">
        <w:rPr>
          <w:color w:val="000000" w:themeColor="text1"/>
        </w:rPr>
        <w:br/>
      </w:r>
      <w:r w:rsidRPr="00ED172B">
        <w:rPr>
          <w:color w:val="000000" w:themeColor="text1"/>
        </w:rPr>
        <w:br/>
        <w:t>CDE issued the remaining eleven findings identified on this indicator which were verified as corrected within the required timeline. CDE verified that each LEA with noncompliance identified in FFY 2018 is correctly implementing the specific regulatory requirements in 34 CFR, §§303.321 and 303.342, and are in 100% compliance.</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 xml:space="preserve">DDS and CDE ensured appropriate action to correct each individual case of noncompliance through the monitoring review process and subsequent follow-up.  DDS or CDE verified that the IFSP was completed, although late for all children whose IFSP did not occur in a timely manner, unless the child is no longer within the jurisdiction of the EIS program; consistent with OSEP Memo 09-02.  For each finding identified, the state verified that the noncompliance was corrected and the IFSP was completed by obtaining a copy of the IFSP to confirm correction of noncompliance. </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was corrected. When reporting on the correction of noncompliance, the State must report, in the FFY 2020 SPP/APR, that it has verified that each EIS program or provider with findings of noncompliance identified in FFY 2019 and the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California verifies that the IFSP meeting was held, although late for any child whose IFSP meeting did not occur in a timely manner, unless the child is no longer within the jurisdiction of the EIS program, consistent with OSEP Memo 09-02. In addition, California ensures that each EIS program with identified noncompliance is correctly implementing the specific regulatory requirements by completing subsequent review of records in order to achieve 100% compliance as soon as possible, but in no case later than one year from identification of noncompliance. Of the six findings of noncompliance identified in FFY 2019, six findings were identified by DDS and the thirty-four remaining findings were identified by CDE.</w:t>
      </w:r>
      <w:r w:rsidRPr="00ED172B">
        <w:rPr>
          <w:color w:val="000000" w:themeColor="text1"/>
        </w:rPr>
        <w:br/>
      </w:r>
      <w:r w:rsidRPr="00ED172B">
        <w:rPr>
          <w:color w:val="000000" w:themeColor="text1"/>
        </w:rPr>
        <w:br/>
        <w:t xml:space="preserve">Findings identified by Department of Developmental Services (DDS) </w:t>
      </w:r>
      <w:r w:rsidRPr="00ED172B">
        <w:rPr>
          <w:color w:val="000000" w:themeColor="text1"/>
        </w:rPr>
        <w:br/>
      </w:r>
      <w:r w:rsidRPr="00ED172B">
        <w:rPr>
          <w:color w:val="000000" w:themeColor="text1"/>
        </w:rPr>
        <w:lastRenderedPageBreak/>
        <w:t>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IFSP meeting was held, unless the child is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§§303.321 and 303.342, and are in 100% compliance. DDS completed the above mentioned process with the six RCs that had outstanding findings in FFY 2019. DDS verified that five of the RCs are correctly implementing the specific regulatory requirements in 34 CFR, §§303.321 and 303.342, and met 100% compliance within the required timeline. However, one of the RCs did not meet 100% compliance within the twelve-month timeline due to loss of staff and service providers as a result of COVID-19. DDS will complete another subsequent review in April 2022 and verify that the remaining RC is correctly implementing the specific regulatory requirements in 34 CFR, §§303.321 and 303.342.</w:t>
      </w:r>
      <w:r w:rsidRPr="00ED172B">
        <w:rPr>
          <w:color w:val="000000" w:themeColor="text1"/>
        </w:rPr>
        <w:br/>
      </w:r>
      <w:r w:rsidRPr="00ED172B">
        <w:rPr>
          <w:color w:val="000000" w:themeColor="text1"/>
        </w:rPr>
        <w:br/>
        <w:t>Findings identified by California Department of Education (CDE)</w:t>
      </w:r>
      <w:r w:rsidRPr="00ED172B">
        <w:rPr>
          <w:color w:val="000000" w:themeColor="text1"/>
        </w:rPr>
        <w:br/>
        <w:t>CDE requires a stringent level of follow-up review and reporting in districts with identified noncompliance related to this indicator. The CDE ensures local education agencies (LEAs) are correctly implementing the specific regulatory requirements by reviewing policies, procedures and practices, providing staff training, and by reviewing a new sample of student records for each district-level finding. District-level corrective actions are given a timeline of three months. For all findings, correction must be completed as soon as possible but, in no case later than one year.</w:t>
      </w:r>
      <w:r w:rsidRPr="00ED172B">
        <w:rPr>
          <w:color w:val="000000" w:themeColor="text1"/>
        </w:rPr>
        <w:br/>
      </w:r>
      <w:r w:rsidRPr="00ED172B">
        <w:rPr>
          <w:color w:val="000000" w:themeColor="text1"/>
        </w:rPr>
        <w:br/>
        <w:t>CDE issued the remaining thirty-four findings identified on this indicator which were verified as corrected within the required timeline. CDE verified that each LEA with noncompliance identified in FFY 2019 is correctly implementing the specific regulatory requirements in 34 CFR, §§303.321 and 303.342, and are in 100% compliance.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one remaining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85.71%</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80.36%</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79.12%</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74.47%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81.65%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89.16%</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223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273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89.16%</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89.38%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21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There were various reasons for delay in timely steps and services including but not limited to: administrative challenges with regional centers (RCs) and local education agencies (LEAs) and lack of resources related to staffing availability. Department of Developmental Services (DDS) took steps to mitigate the impact on the data collection by issuing guidance to Regional Centers on the requirement to continue to implement the requirements of IDEA during the pandemic. DDS established a web page for information and guidance related to COVID-19 on the DDS website at: https://www.dds.ca.gov/corona-virus-information-and-resources/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DDS conducts comprehensive RC Early Start programs reviews via a three-year monitoring cycle of identified cohorts. DDS conducted seven remote reviews during FFY 2020. The sample of records reviewed is random and based on the population served. California Department of Education (CDE) data is derived from monitoring for infants and toddlers served with solely low incidence (SLI) disabilities in FFY 2020.</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If data for this reporting period were impacted specifically by COVID-19, the State must include in the narrative for the indicator: </w:t>
      </w:r>
      <w:r w:rsidRPr="00ED172B">
        <w:rPr>
          <w:rFonts w:cs="Arial"/>
          <w:color w:val="000000" w:themeColor="text1"/>
          <w:szCs w:val="16"/>
        </w:rPr>
        <w:br/>
        <w:t xml:space="preserve">(1) the impact on data completeness, validity and reliability for the indicator; (2) an explanation of how COVID-19 specifically impacted the State’s ability to collect the data for the indicator; and (3) any steps the State took to mitigate the impact of COVID-19 on the data collection. </w:t>
      </w:r>
      <w:r w:rsidRPr="00ED172B">
        <w:rPr>
          <w:rFonts w:cs="Arial"/>
          <w:color w:val="000000" w:themeColor="text1"/>
          <w:szCs w:val="16"/>
        </w:rPr>
        <w:br/>
        <w:t xml:space="preserve">(1) The statewide school closure impacted the data for this indicator by truncating the school year and impugned the completeness and reliability of this data. </w:t>
      </w:r>
      <w:r w:rsidRPr="00ED172B">
        <w:rPr>
          <w:rFonts w:cs="Arial"/>
          <w:color w:val="000000" w:themeColor="text1"/>
          <w:szCs w:val="16"/>
        </w:rPr>
        <w:br/>
        <w:t>(2) The data was specifically impacted by COVID-19 because Indicator 12 data is collected during the end of year California Longitudinal Pupil Achievement Data System (CALPADS) submission which includes the period of time schools were closed.</w:t>
      </w:r>
      <w:r w:rsidRPr="00ED172B">
        <w:rPr>
          <w:rFonts w:cs="Arial"/>
          <w:color w:val="000000" w:themeColor="text1"/>
          <w:szCs w:val="16"/>
        </w:rPr>
        <w:br/>
        <w:t xml:space="preserve">(3) The California Department of Education (CDE) took steps to mitigate the impact on the data collection by issuing guidance to local educational agencies on the requirement to continue to implement the requirements of IDEA during the school site closures. The CDE established a web page for information and guidance related to COVID-19 on the CDE website at https://www.cde.ca.gov/ls/he/hn/coronavirus.asp.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California verifies that transition steps and services were completed, although late, for any child whose transition did not occur in a timely manner, unless the child was no longer within the jurisdiction of the EIS program, consistent with OSEP Memo 09-02. In addition, California ensures that each EIS program with identified noncompliance is correctly implementing the specific regulatory requirements by completing subsequent review of records six findings were identified by DDS.</w:t>
      </w:r>
      <w:r w:rsidRPr="00ED172B">
        <w:rPr>
          <w:color w:val="000000" w:themeColor="text1"/>
        </w:rPr>
        <w:br/>
      </w:r>
      <w:r w:rsidRPr="00ED172B">
        <w:rPr>
          <w:color w:val="000000" w:themeColor="text1"/>
        </w:rPr>
        <w:br/>
        <w:t xml:space="preserve">Findings identified by Department of Developmental Services (DDS) </w:t>
      </w:r>
      <w:r w:rsidRPr="00ED172B">
        <w:rPr>
          <w:color w:val="000000" w:themeColor="text1"/>
        </w:rPr>
        <w:br/>
        <w:t xml:space="preserve">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transition steps and services were completed for any child whose transition did not occur in a timely manner, unless the child was no </w:t>
      </w:r>
      <w:r w:rsidRPr="00ED172B">
        <w:rPr>
          <w:color w:val="000000" w:themeColor="text1"/>
        </w:rPr>
        <w:lastRenderedPageBreak/>
        <w:t xml:space="preserve">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303.209 and 303.344 (h), and are in 100% compliance. DDS completed the above-mentioned process with the six RCs that had outstanding findings in FFY 2019. DDS verified that the six RCs correctly implemented the specific regulatory requirements in 34 CFR, §§ 303.209 and 303.344 (h), and met 100% compliance. </w:t>
      </w:r>
      <w:r w:rsidRPr="00ED172B">
        <w:rPr>
          <w:color w:val="000000" w:themeColor="text1"/>
        </w:rPr>
        <w:br/>
      </w:r>
      <w:r w:rsidRPr="00ED172B">
        <w:rPr>
          <w:color w:val="000000" w:themeColor="text1"/>
        </w:rPr>
        <w:br/>
        <w:t>California Department of Education (CDE) was not able to conduct any monitoring activities in FFY 2020. See answers to the following questions in the Provide additional information about this indicator section.</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DDS ensured appropriate action to correct each individual case of noncompliance through the monitoring review process and subsequent follow-up. DDS verified that an IFSP with transition steps and services was completed, although late, for any child whose transition did not occur in a timely manner, unless the child was no longer within the jurisdiction of the EIS program; consistent with OSEP Memo 09-02. For each finding identified, the state verified that the noncompliance was corrected by obtaining a copy of the IFSP that outlines transition steps and services to confirm correction of noncompliance.</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California verifies that transition steps and services were completed, although late, for any child whose transition did not occur in a timely manner, unless the child was no longer within the jurisdiction of the EIS program, consistent with OSEP Memo 09-02. In addition, California ensures that each EIS program with identified noncompliance is correctly implementing the specific regulatory requirements by completing subsequent review of records six findings were identified by DDS.</w:t>
      </w:r>
      <w:r w:rsidRPr="00ED172B">
        <w:rPr>
          <w:color w:val="000000" w:themeColor="text1"/>
        </w:rPr>
        <w:br/>
      </w:r>
      <w:r w:rsidRPr="00ED172B">
        <w:rPr>
          <w:color w:val="000000" w:themeColor="text1"/>
        </w:rPr>
        <w:br/>
        <w:t>Findings identified by Department of Developmental Services (DDS)</w:t>
      </w:r>
      <w:r w:rsidRPr="00ED172B">
        <w:rPr>
          <w:color w:val="000000" w:themeColor="text1"/>
        </w:rPr>
        <w:br/>
        <w:t xml:space="preserve">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transition steps and services were completed for any child whose transition did not occur in a timely manner, unless the child was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303.209 and 303.344 (h), and are in 100% compliance. DDS completed the above-mentioned process with the six RCs that had outstanding findings in FFY 2019. DDS verified that the six RCs correctly implemented the specific regulatory requirements in 34 CFR, §§ 303.209 and 303.344 (h), and met 100% compliance. </w:t>
      </w:r>
      <w:r w:rsidRPr="00ED172B">
        <w:rPr>
          <w:color w:val="000000" w:themeColor="text1"/>
        </w:rPr>
        <w:br/>
      </w:r>
      <w:r w:rsidRPr="00ED172B">
        <w:rPr>
          <w:color w:val="000000" w:themeColor="text1"/>
        </w:rPr>
        <w:br/>
        <w:t>California Department of Education (CDE) was not able to conduct any monitoring activities in FFY 2020. See answers to the following questions in the Provide additional information about this indicator section.</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w:t>
      </w:r>
      <w:r w:rsidRPr="00ED172B">
        <w:rPr>
          <w:color w:val="000000" w:themeColor="text1"/>
        </w:rPr>
        <w:lastRenderedPageBreak/>
        <w:t xml:space="preserve">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92.86%</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76.07%</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78.85%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87.23%</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86.83%</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85.37%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236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288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85.37%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81.94%</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FY 2020 data indicates that 81.94 percent of LEA and SEA notification occurred within the required timelines. This figure represents slippage from FFY 2019 of 3.34 percent. This slippage may be attributed to a variety of factors, including administrative challenges with regional centers (RCs) and LEAs and lack of resources related to staffing availability.</w:t>
      </w:r>
      <w:r w:rsidRPr="00ED172B">
        <w:rPr>
          <w:color w:val="000000" w:themeColor="text1"/>
        </w:rPr>
        <w:br/>
      </w:r>
      <w:r w:rsidRPr="00ED172B">
        <w:rPr>
          <w:color w:val="000000" w:themeColor="text1"/>
        </w:rPr>
        <w:br/>
        <w:t>California provided targeted technical assistance and support to the local programs struggling to comply with this requirement. Furthermore, California continues to provide staff development and capacity building through California’s Comprehensive System of Personnel Development.</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Timely referral to Part B delays included but was not limited to: In specific areas of the state, the LEAs were not accepting referrals due to reported closure of schools related to the COVID-19 pandemic. This public health emergency highlighted the need for technical resources and systems and staff. Reportedly LEA staff shortages were related to lack of resources and pivoting to remote service delivery. DDS took steps to mitigate the impact on the data collection by issuing guidance to regional centers on the requirement to continue to implement the requirements of IDEA during the pandemic. DDS established a web page for information and guidance related to COVID-19 on the DDS website at: https://www.dds.ca.gov/corona-virus-information-and-resources/</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Notification to the LEA </w:t>
      </w:r>
      <w:r w:rsidRPr="00ED172B">
        <w:rPr>
          <w:color w:val="000000" w:themeColor="text1"/>
          <w:szCs w:val="16"/>
        </w:rPr>
        <w:br/>
      </w:r>
      <w:r w:rsidRPr="00ED172B">
        <w:rPr>
          <w:color w:val="000000" w:themeColor="text1"/>
          <w:szCs w:val="16"/>
        </w:rPr>
        <w:br/>
        <w:t xml:space="preserve">DDS conducts comprehensive RC Early Start programs reviews via a three-year monitoring cycle of identified cohorts. DDS conducted seven remote reviews during FFY 2020. The sample of records reviewed is random and based on the population served. CDE data is derived from monitoring for infants and toddlers served with SLI disabilities in FFY 2020. </w:t>
      </w:r>
      <w:r w:rsidRPr="00ED172B">
        <w:rPr>
          <w:color w:val="000000" w:themeColor="text1"/>
          <w:szCs w:val="16"/>
        </w:rPr>
        <w:br/>
      </w:r>
      <w:r w:rsidRPr="00ED172B">
        <w:rPr>
          <w:color w:val="000000" w:themeColor="text1"/>
          <w:szCs w:val="16"/>
        </w:rPr>
        <w:br/>
        <w:t>Notification to the State Educational Agency (SEA)</w:t>
      </w:r>
      <w:r w:rsidRPr="00ED172B">
        <w:rPr>
          <w:color w:val="000000" w:themeColor="text1"/>
          <w:szCs w:val="16"/>
        </w:rPr>
        <w:br/>
      </w:r>
      <w:r w:rsidRPr="00ED172B">
        <w:rPr>
          <w:color w:val="000000" w:themeColor="text1"/>
          <w:szCs w:val="16"/>
        </w:rPr>
        <w:br/>
        <w:t xml:space="preserve">Each month, DDS notifies CDE of children potentially eligible for Part B services at least 90 days prior to each child’s third birthday.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DDS conducts comprehensive RC Early Start programs reviews via a three-year monitoring cycle of identified cohorts. DDS conducted seven remote reviews during FFY 2020. The sample of records reviewed is random and based on the population served. CDE data is derived from monitoring for infants and toddlers served with solely low incidence (SLI) disabilities in FFY 2020.</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If data for this reporting period were impacted specifically by COVID-19, the State must include in the narrative for the indicator: </w:t>
      </w:r>
      <w:r w:rsidRPr="00ED172B">
        <w:rPr>
          <w:rFonts w:cs="Arial"/>
          <w:color w:val="000000" w:themeColor="text1"/>
          <w:szCs w:val="16"/>
        </w:rPr>
        <w:br/>
        <w:t xml:space="preserve">(1) the impact on data completeness, validity and reliability for the indicator; (2) an explanation of how COVID-19 specifically impacted the State’s ability to collect the data for the indicator; and (3) any steps the State took to mitigate the impact of COVID-19 on the data collection. </w:t>
      </w:r>
      <w:r w:rsidRPr="00ED172B">
        <w:rPr>
          <w:rFonts w:cs="Arial"/>
          <w:color w:val="000000" w:themeColor="text1"/>
          <w:szCs w:val="16"/>
        </w:rPr>
        <w:br/>
        <w:t xml:space="preserve">(1) The statewide school closure impacted the data for this indicator by truncating the school year and impugned the completeness and reliability of this data. </w:t>
      </w:r>
      <w:r w:rsidRPr="00ED172B">
        <w:rPr>
          <w:rFonts w:cs="Arial"/>
          <w:color w:val="000000" w:themeColor="text1"/>
          <w:szCs w:val="16"/>
        </w:rPr>
        <w:br/>
        <w:t>(2) The data was specifically impacted by COVID-19 because Indicator 12 data is collected during the end of year California Longitudinal Pupil Achievement Data System (CALPADS) submission which includes the period of time schools were closed.</w:t>
      </w:r>
      <w:r w:rsidRPr="00ED172B">
        <w:rPr>
          <w:rFonts w:cs="Arial"/>
          <w:color w:val="000000" w:themeColor="text1"/>
          <w:szCs w:val="16"/>
        </w:rPr>
        <w:br/>
        <w:t xml:space="preserve">(3) CDE took steps to mitigate the impact on the data collection by issuing guidance to local educational agencies on the requirement to continue to </w:t>
      </w:r>
      <w:r w:rsidRPr="00ED172B">
        <w:rPr>
          <w:rFonts w:cs="Arial"/>
          <w:color w:val="000000" w:themeColor="text1"/>
          <w:szCs w:val="16"/>
        </w:rPr>
        <w:lastRenderedPageBreak/>
        <w:t>implement the requirements of IDEA during the school site closures. CDE established a web page for information and guidance related to COVID-19 on the CDE website at https://www.cde.ca.gov/ls/he/hn/coronavirus.asp.</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California verifies that the LEA and SEA notification occurred, although late, for any child whose transition notification did not occur in a timely manner, unless the child was no longer within the jurisdiction of the EIS program, consistent with OSEP Memo 09-02. In addition, California ensures that each EIS program with identified noncompliance is correctly implementing the specific regulatory requirements by completing subsequent review of records in order to achieve 100% compliance as soon as possible, but in no case later than one year from identification of noncompliance. Of the seven findings of noncompliance identified in FFY 2019, seven findings were identified by DDS.</w:t>
      </w:r>
      <w:r w:rsidRPr="00ED172B">
        <w:rPr>
          <w:rFonts w:cs="Arial"/>
          <w:color w:val="000000" w:themeColor="text1"/>
          <w:szCs w:val="16"/>
        </w:rPr>
        <w:br/>
      </w:r>
      <w:r w:rsidRPr="00ED172B">
        <w:rPr>
          <w:rFonts w:cs="Arial"/>
          <w:color w:val="000000" w:themeColor="text1"/>
          <w:szCs w:val="16"/>
        </w:rPr>
        <w:br/>
        <w:t>Findings identified by Department of Developmental Services (DDS)</w:t>
      </w:r>
      <w:r w:rsidRPr="00ED172B">
        <w:rPr>
          <w:rFonts w:cs="Arial"/>
          <w:color w:val="000000" w:themeColor="text1"/>
          <w:szCs w:val="16"/>
        </w:rPr>
        <w:br/>
        <w:t>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LEA and SEA notification occurred, although late, for any child whose transition notification did not occur in a timely manner, unless the child was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303.209 and 303.344 (h) and are in 100% compliance. DDS completed the above-mentioned process with the seven RCs that had outstanding findings in FFY 2019. DDS verified that the seven RCs correctly implemented the specific regulatory requirements in 34 CFR, §§ 303.209 and 303.344 (h) and met 100% compliance.</w:t>
      </w:r>
      <w:r w:rsidRPr="00ED172B">
        <w:rPr>
          <w:rFonts w:cs="Arial"/>
          <w:color w:val="000000" w:themeColor="text1"/>
          <w:szCs w:val="16"/>
        </w:rPr>
        <w:br/>
      </w:r>
      <w:r w:rsidRPr="00ED172B">
        <w:rPr>
          <w:rFonts w:cs="Arial"/>
          <w:color w:val="000000" w:themeColor="text1"/>
          <w:szCs w:val="16"/>
        </w:rPr>
        <w:br/>
        <w:t>California Department of Education (CDE) was not able to conduct any monitoring activities in FFY 2020. See answers to COVID impact questions in the Provide additional information about this indicator section.</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DDS ensured appropriate action to correct each individual case of noncompliance through the monitoring review process and subsequent follow-up. DDS verified that the LEA notification occurred, although late, for any child whose transition notification did not occur in a timely manner, unless the child was no longer within the jurisdiction of the EIS program, consistent with OSEP Memo 09-02. For each finding identified, the state verified that the noncompliance was corrected by obtaining a copy of the notification sent to the LEA and SEA to confirm correction of noncompliance.</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California verifies that the LEA and SEA notification occurred, although late, for any child whose transition notification did not occur in a timely manner, unless the child was no longer within the jurisdiction of the EIS program, consistent with OSEP Memo 09-02. In addition, California ensures that each EIS program with identified noncompliance is correctly implementing the specific regulatory requirements by completing subsequent review of records in order to achieve 100% compliance as soon as possible, but in no case later than one year from identification of noncompliance. Of the seven findings of noncompliance identified in FFY 2019, seven findings were identified by DDS.</w:t>
      </w:r>
      <w:r w:rsidRPr="00ED172B">
        <w:rPr>
          <w:color w:val="000000" w:themeColor="text1"/>
        </w:rPr>
        <w:br/>
      </w:r>
      <w:r w:rsidRPr="00ED172B">
        <w:rPr>
          <w:color w:val="000000" w:themeColor="text1"/>
        </w:rPr>
        <w:br/>
        <w:t xml:space="preserve">Findings identified by Department of Developmental Services (DDS) </w:t>
      </w:r>
      <w:r w:rsidRPr="00ED172B">
        <w:rPr>
          <w:color w:val="000000" w:themeColor="text1"/>
        </w:rPr>
        <w:br/>
        <w:t xml:space="preserve">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w:t>
      </w:r>
      <w:r w:rsidRPr="00ED172B">
        <w:rPr>
          <w:color w:val="000000" w:themeColor="text1"/>
        </w:rPr>
        <w:lastRenderedPageBreak/>
        <w:t>confirm that the LEA and SEA notification occurred, although late, for any child whose transition notification did not occur in a timely manner, unless the child was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303.209 and 303.344 (h) and are in 100% compliance. DDS completed the above-mentioned process with the seven RCs that had outstanding findings in FFY 2019. DDS verified that the seven RCs correctly implemented the specific regulatory requirements in 34 CFR, §§ 303.209 and 303.344 (h) and met 100% compliance.</w:t>
      </w:r>
      <w:r w:rsidRPr="00ED172B">
        <w:rPr>
          <w:color w:val="000000" w:themeColor="text1"/>
        </w:rPr>
        <w:br/>
      </w:r>
      <w:r w:rsidRPr="00ED172B">
        <w:rPr>
          <w:color w:val="000000" w:themeColor="text1"/>
        </w:rPr>
        <w:br/>
        <w:t>California Department of Education (CDE) was not able to conduct any monitoring activities in FFY 2020. See answers to COVID impact questions in the Provide additional information about this indicator section.</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92.86%</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87.86%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88.60%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90.91%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84.31%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81.56%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208</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273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81.56%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87.40%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There were various reasons for delay in timely conference including but not limited to: administrative challenges with regional centers (RCs) and local education agencies (LEAs) due to RCs and LEAs lack of resources related to staffing availability, lack of technical resources/systems, and reported school district union issues (staff operating during COVID-19). DDS took steps to mitigate the impact on the data collection by issuing guidance to Regional Centers on the requirement to continue to implement the requirements of IDEA during the pandemic. DDS established a web page for information and guidance related to COVID-19 on the DDS website at: https://www.dds.ca.gov/corona-virus-information-and-resources/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DDS conducts comprehensive RC Early Start programs reviews via a three-year monitoring cycle of identified cohorts. DDS conducted seven remote reviews during FFY 2020. The sample of records reviewed is random and based on the population served. California Department of Education (CDE) data is derived from monitoring for infants and toddlers served with solely low incidence (SLI) disabilities in FFY 2020.</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If data for this reporting period were impacted specifically by COVID-19, the State must include in the narrative for the indicator: </w:t>
      </w:r>
      <w:r w:rsidRPr="00ED172B">
        <w:rPr>
          <w:rFonts w:cs="Arial"/>
          <w:color w:val="000000" w:themeColor="text1"/>
          <w:szCs w:val="16"/>
        </w:rPr>
        <w:br/>
        <w:t xml:space="preserve">(1) the impact on data completeness, validity and reliability for the indicator; (2) an explanation of how COVID-19 specifically impacted the State’s ability to collect the data for the indicator; and (3) any steps the State took to mitigate the impact of COVID-19 on the data collection. </w:t>
      </w:r>
      <w:r w:rsidRPr="00ED172B">
        <w:rPr>
          <w:rFonts w:cs="Arial"/>
          <w:color w:val="000000" w:themeColor="text1"/>
          <w:szCs w:val="16"/>
        </w:rPr>
        <w:br/>
        <w:t xml:space="preserve">(1) The statewide school closure impacted the data for this indicator by truncating the school year and impugned the completeness and reliability of this data. </w:t>
      </w:r>
      <w:r w:rsidRPr="00ED172B">
        <w:rPr>
          <w:rFonts w:cs="Arial"/>
          <w:color w:val="000000" w:themeColor="text1"/>
          <w:szCs w:val="16"/>
        </w:rPr>
        <w:br/>
        <w:t>(2) The data was specifically impacted by COVID-19 because Indicator 12 data is collected during the end of year California Longitudinal Pupil Achievement Data System (CALPADS) submission which includes the period of time schools were closed.</w:t>
      </w:r>
      <w:r w:rsidRPr="00ED172B">
        <w:rPr>
          <w:rFonts w:cs="Arial"/>
          <w:color w:val="000000" w:themeColor="text1"/>
          <w:szCs w:val="16"/>
        </w:rPr>
        <w:br/>
        <w:t>(3) CDE took steps to mitigate the impact on the data collection by issuing guidance to local educational agencies on the requirement to continue to implement the requirements of IDEA during the school site closures.  CDE established a web page for information and guidance related to COVID-19 on the CDE website at https://www.cde.ca.gov/ls/he/hn/coronavirus.asp.</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California verifies that the transition conference was held, although late, for any child whose transition conference did not occur in a timely manner, unless the child was no longer within the jurisdiction of the EIS program, consistent with OSEP Memo 09-02. In addition, California ensures that each EIS program with identified noncompliance is correctly implementing the specific regulatory requirements by completing subsequent reviews of records </w:t>
      </w:r>
      <w:r w:rsidRPr="00ED172B">
        <w:rPr>
          <w:color w:val="000000" w:themeColor="text1"/>
        </w:rPr>
        <w:lastRenderedPageBreak/>
        <w:t>in order to achieve 100% compliance as soon as possible, but in no case later than one year from identification of noncompliance. Of the five findings of noncompliance identified in FFY 2019, five findings were identified by DDS.</w:t>
      </w:r>
      <w:r w:rsidRPr="00ED172B">
        <w:rPr>
          <w:color w:val="000000" w:themeColor="text1"/>
        </w:rPr>
        <w:br/>
      </w:r>
      <w:r w:rsidRPr="00ED172B">
        <w:rPr>
          <w:color w:val="000000" w:themeColor="text1"/>
        </w:rPr>
        <w:br/>
        <w:t>Findings identified by Department of Developmental Services (DDS)</w:t>
      </w:r>
      <w:r w:rsidRPr="00ED172B">
        <w:rPr>
          <w:color w:val="000000" w:themeColor="text1"/>
        </w:rPr>
        <w:br/>
        <w:t>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transition conference was held, although late, for any child whose transition conference did not occur in a timely manner, unless the child was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303.209 and 303.344(h), and are in 100% compliance. DDS completed the above-mentioned process with the five RCs that had outstanding findings in FFY 2019. DDS verified that the five RCs correctly implemented the specific regulatory requirements in 34 CFR, §§ 303.209 and 303.344(h), and met 100% compliance.</w:t>
      </w:r>
      <w:r w:rsidRPr="00ED172B">
        <w:rPr>
          <w:color w:val="000000" w:themeColor="text1"/>
        </w:rPr>
        <w:br/>
      </w:r>
      <w:r w:rsidRPr="00ED172B">
        <w:rPr>
          <w:color w:val="000000" w:themeColor="text1"/>
        </w:rPr>
        <w:br/>
        <w:t>California Department of Education (CDE) was not able to conduct any monitoring activities in FFY 2020. See answers to the COVID impact questions in the Provide additional information about this indicator section.</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DDS ensured appropriate action to correct each individual case of noncompliance through the monitoring review process and subsequent follow-up. DDS verified verifies that the transition conference was held, although late, for any child whose transition conference did not occur in a timely manner, unless the child was no longer within the jurisdiction of the EIS program, consistent with OSEP Memo 09-02. For each finding identified, the state verified that the noncompliance was corrected by obtaining documentation that the transition conference was held.</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California verifies that the transition conference was held, although late, for any child whose transition conference did not occur in a timely manner, unless the child was no longer within the jurisdiction of the EIS program, consistent with OSEP Memo 09-02. In addition, California ensures that each EIS program with identified noncompliance is correctly implementing the specific regulatory requirements by completing subsequent reviews of records in order to achieve 100% compliance as soon as possible, but in no case later than one year from identification of noncompliance. Of the five findings of noncompliance identified in FFY 2019, five findings were identified by DDS.</w:t>
      </w:r>
      <w:r w:rsidRPr="00ED172B">
        <w:rPr>
          <w:color w:val="000000" w:themeColor="text1"/>
        </w:rPr>
        <w:br/>
      </w:r>
      <w:r w:rsidRPr="00ED172B">
        <w:rPr>
          <w:color w:val="000000" w:themeColor="text1"/>
        </w:rPr>
        <w:br/>
        <w:t>Findings identified by Department of Developmental Services (DDS)</w:t>
      </w:r>
      <w:r w:rsidRPr="00ED172B">
        <w:rPr>
          <w:color w:val="000000" w:themeColor="text1"/>
        </w:rPr>
        <w:br/>
        <w:t xml:space="preserve">DDS requires a specific level of follow-up review and reporting when noncompliance is identified with each regional center (RC) and notifies the RC, in writing, of the noncompliance. Subsequently, a root cause analysis for all outstanding findings is completed by the RC, with assistance from DDS, to determine the actions necessary to ensure compliance. These actions are documented in a plan of correction and submitted to DDS. Based on that plan of correction, DDS ensures that each RC with identified noncompliance takes appropriate action to meet the specific regulatory requirements and confirm that the transition conference was held, although late, for any child whose transition conference did not occur in a timely manner, unless the child was no longer within the jurisdiction of the EIS program. In addition to the plan of correction, DDS completes periodic subsequent reviews of an additional sample of twenty records until 100% compliance is achieved for each RC finding of noncompliance. During this subsequent review process, DDS provides technical assistance that includes but not limited to: resources related to staff training, professional development, and guidance on procedures, practices, and regulations as related to their EIS program. The aforementioned steps are taken to ensure RCs are correctly implementing the specific regulatory requirements in 34 Code of Federal Regulations (CFR), §§ 303.209 and 303.344(h), and are in 100% compliance. DDS completed the above-mentioned process with the five RCs that had outstanding findings in FFY 2019. DDS verified that the five RCs correctly implemented the specific regulatory requirements in 34 CFR, §§ 303.209 and 303.344(h), and met 100% compliance. </w:t>
      </w:r>
      <w:r w:rsidRPr="00ED172B">
        <w:rPr>
          <w:color w:val="000000" w:themeColor="text1"/>
        </w:rPr>
        <w:br/>
      </w:r>
      <w:r w:rsidRPr="00ED172B">
        <w:rPr>
          <w:color w:val="000000" w:themeColor="text1"/>
        </w:rPr>
        <w:br/>
        <w:t>California Department of Education (CDE) was not able to conduct any monitoring activities in FFY 2020. See answers to the COVID impact questions in the Provide additional information about this indicator section.</w:t>
      </w: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7</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6</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55.00%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85.00%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88.89%</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87.50%</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80.00%</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85.00%</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85.00%</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85.00%</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85.00%</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85.00%</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968"/>
        <w:gridCol w:w="2035"/>
        <w:gridCol w:w="1384"/>
        <w:gridCol w:w="949"/>
        <w:gridCol w:w="910"/>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6</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7</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100.00%</w:t>
            </w: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80.00%</w:t>
            </w: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85.71%</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Met target</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No Slippage</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This year this indicator does not appear to be affected by COVID-19.</w:t>
      </w: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provided targets for FFYs 2020 through 2025 for this indicator, and OSEP accepts those targets.</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with disabilities in California who will substantially increase their rate of growth in positive social-emotional skills (including social relationships) by the time they exit the early intervention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https://www.dds.ca.gov/wp-content/uploads/2019/02/EarlyStart_TheoryofAction_20190205.pdf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67.39%</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67.39%</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67.50%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67.75%</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68.00%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68.25%</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68.50%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8,916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13,416</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67.39%</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67.39%</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66.46%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The source of Data for this indicator is gathered by the Department of Developmental Services and the California Department of Education. California Department of Developmental Services’ online Early Start Report captures federally required data elements for childrenF assessed in all child outcome areas, served by all 21 regional centers. California Department of Education's data is gathered via the Desired Results Developmental Profile and includes all infants and toddlers with solely low incidence disabilities assessed in all child outcome areas.</w:t>
      </w:r>
      <w:r w:rsidRPr="00ED172B">
        <w:rPr>
          <w:color w:val="000000" w:themeColor="text1"/>
        </w:rPr>
        <w:br/>
      </w:r>
      <w:r w:rsidRPr="00ED172B">
        <w:rPr>
          <w:color w:val="000000" w:themeColor="text1"/>
        </w:rPr>
        <w:br/>
        <w:t xml:space="preserve">Numerator: # of infants and toddlers reported in progress category (c) plus # of infants and toddlers reported in category (d)) </w:t>
      </w:r>
      <w:r w:rsidRPr="00ED172B">
        <w:rPr>
          <w:color w:val="000000" w:themeColor="text1"/>
        </w:rPr>
        <w:br/>
        <w:t>Denominator: # of infants and toddlers reported in progress category (a) plus # of infants and toddlers reported in progress category (b) plus # of infants and toddlers reported in progress category (c) plus # of infants and toddlers reported in progress category (d))</w:t>
      </w:r>
    </w:p>
    <w:p w14:paraId="58E947E6" w14:textId="35C272EA" w:rsidR="00C14BC7" w:rsidRPr="00C14BC7" w:rsidRDefault="00C14BC7" w:rsidP="00C14BC7">
      <w:r w:rsidRPr="00F85A5B">
        <w:rPr>
          <w:b/>
          <w:bCs/>
        </w:rPr>
        <w:lastRenderedPageBreak/>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data for the SiMR is gathered by the Department of Developmental Service and the California Department of Education. Department of Developmental Services’ online Early Start Report captures the federally required data elements for children assessed for social and emotional (including social relationships) development, served by all 21 regional centers. California Department of Education’s data is gathered via the Desired Results Developmental Profile and includes all infants and toddlers with solely low incidence disabilities assessed in social and emotional (including social relationships) development. Data collected for the SiMR includes infants and toddlers who entered early intervention below age expectations in social and emotional development and substantially increased their rate of growth by the time they turned 3 years of age or exited the program.</w:t>
      </w:r>
      <w:r w:rsidRPr="00ED172B">
        <w:rPr>
          <w:color w:val="000000" w:themeColor="text1"/>
        </w:rPr>
        <w:br/>
      </w:r>
      <w:r w:rsidRPr="00ED172B">
        <w:rPr>
          <w:color w:val="000000" w:themeColor="text1"/>
        </w:rPr>
        <w:br/>
        <w:t xml:space="preserve">Updated baseline year and baseline data are updated due to corrections made to the calculations regarding child outcomes for this indicator as noted in Federal Fiscal Year 2018 reporting year. As a result, the State's data more accurately reflects the progress infants and toddlers made during their time receiving services in the Early Start Program. Baseline years of 2013 and 2015 for 3A1 were previously used for this indicator. </w:t>
      </w:r>
      <w:r w:rsidRPr="00ED172B">
        <w:rPr>
          <w:color w:val="000000" w:themeColor="text1"/>
        </w:rPr>
        <w:br/>
      </w:r>
      <w:r w:rsidRPr="00ED172B">
        <w:rPr>
          <w:color w:val="000000" w:themeColor="text1"/>
        </w:rPr>
        <w:br/>
        <w:t xml:space="preserve">All targets reflect the regression model based on previous years performance.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Three items were added to the Family Outcomes Survey to assess how helpful early intervention has been to families in three areas related to a child’s social and emotional development. Families rated items on a 5-point Likert scale (5=Extremely Helpful to 1=Not at all Helpful). </w:t>
      </w:r>
      <w:r w:rsidRPr="00ED172B">
        <w:rPr>
          <w:color w:val="000000" w:themeColor="text1"/>
        </w:rPr>
        <w:br/>
      </w:r>
      <w:r w:rsidRPr="00ED172B">
        <w:rPr>
          <w:color w:val="000000" w:themeColor="text1"/>
        </w:rPr>
        <w:br/>
        <w:t>How helpful has early intervention been in giving you useful information about how to respond to your child’s emotions? Last reporting year, 73.6% of 615 respondents reported this survey item as Helpful or Extremely Helpful. This reporting year 69% of 1087 respondents reported this survey item as Helpful or Extremely Helpful. This shows an 76.7% increase in the number of respondents and a 4.6% decrease in the number of respondents who found this survey item Helpful or Extremely Helpful.</w:t>
      </w:r>
      <w:r w:rsidRPr="00ED172B">
        <w:rPr>
          <w:color w:val="000000" w:themeColor="text1"/>
        </w:rPr>
        <w:br/>
        <w:t xml:space="preserve"> </w:t>
      </w:r>
      <w:r w:rsidRPr="00ED172B">
        <w:rPr>
          <w:color w:val="000000" w:themeColor="text1"/>
        </w:rPr>
        <w:br/>
        <w:t>How helpful has early intervention been in giving you useful information about how to help your child learn to calm down when they are upset or overwhelmed? Last reporting year, 67.2% of 531 respondents reported this survey item as Helpful or Extremely Helpful. This reporting year 62% of 1087 respondents reported this survey item as Helpful or Extremely Helpful. This shows a 105% increase in the number of respondents and a 5.2% decrease in the number of respondents who found this survey item Helpful or Extremely Helpful.</w:t>
      </w:r>
      <w:r w:rsidRPr="00ED172B">
        <w:rPr>
          <w:color w:val="000000" w:themeColor="text1"/>
        </w:rPr>
        <w:br/>
        <w:t xml:space="preserve"> </w:t>
      </w:r>
      <w:r w:rsidRPr="00ED172B">
        <w:rPr>
          <w:color w:val="000000" w:themeColor="text1"/>
        </w:rPr>
        <w:br/>
        <w:t xml:space="preserve">How helpful has early intervention been in identifying ways for you to encourage appropriate behavior from your child. Last reporting year, 74.8% of 595 respondents reported this survey item as Helpful or Extremely Helpful. This reporting year 61% of 1087 respondents reported this survey item as Helpful or Extremely Helpful. This shows an 82.7% increase in the number of respondents and a 13.8% decrease in the number of respondents who found this survey item Helpful or Extremely Helpful.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1. The impact on data completeness, validity and reliability for the indicator: The number of infants and toddlers who exited the Part C program during the reporting period, as reported in the State's part C exiting 618 data compared to the number of infants and toddlers with IFSPs assessed continues to be negatively affected due to COVID-19. </w:t>
      </w:r>
      <w:r w:rsidRPr="00ED172B">
        <w:rPr>
          <w:color w:val="000000" w:themeColor="text1"/>
        </w:rPr>
        <w:br/>
      </w:r>
      <w:r w:rsidRPr="00ED172B">
        <w:rPr>
          <w:color w:val="000000" w:themeColor="text1"/>
        </w:rPr>
        <w:br/>
        <w:t>2. An explanation of how COVID-19 specifically impacted the State’s ability to collect the data for the indicator: regional centers experienced limited IT technology supplies (laptops, phones, etc.,) broadband infrastructure and families having accessibility to and knowledge of technology.</w:t>
      </w:r>
      <w:r w:rsidRPr="00ED172B">
        <w:rPr>
          <w:color w:val="000000" w:themeColor="text1"/>
        </w:rPr>
        <w:br/>
      </w:r>
      <w:r w:rsidRPr="00ED172B">
        <w:rPr>
          <w:color w:val="000000" w:themeColor="text1"/>
        </w:rPr>
        <w:br/>
        <w:t>3. Any steps the State took to mitigate the impact of COVID-19 on the data collection: California has enhanced communication and technical assistance with regional centers and Office of Education to improve the accuracy of reporting the status of infants and toddlers exiting the Part C program. DDS took steps to mitigate the impact on the data collection by issuing guidance to regional centers on the requirement to continue to implement the requirements of IDEA during the pandemic. DDS established a web page for information and guidance related to COVID-19 on the DDS website at: https://www.dds.ca.gov/corona-virus-information-and-resources/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A previously submitted draft evaluation plan was included in the Federal Fiscal Year 2015 report. Moving forward, the State has adopted that plan and has been reporting outcomes relevant to the evaluation questions. Changes related to activities, strategies, or timelines have been updated in our publicly posted evaluation plan located here on the State’s website: https://www.dds.ca.gov/wp-content/uploads/2021/12/SSIP_Evaluation_Plan_2016_2020.pdf</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lastRenderedPageBreak/>
        <w:t>The following changes or improvements to infrastructure supports are indicators of impacts. Regional Center Leads were asked to rate the extent to which infrastructure components were in place to support the regional center’s plan using a 3-point scale (0 = Not in Place, 1 = Partially in Place, and 2 = Fully in Place). The following lists the ten components in order of most in place to least in place:</w:t>
      </w:r>
      <w:r w:rsidRPr="00ED172B">
        <w:rPr>
          <w:color w:val="000000" w:themeColor="text1"/>
        </w:rPr>
        <w:br/>
      </w:r>
      <w:r w:rsidRPr="00ED172B">
        <w:rPr>
          <w:color w:val="000000" w:themeColor="text1"/>
        </w:rPr>
        <w:br/>
        <w:t>1. Individual Family Service Plans are monitored to ensure that social and emotional outcomes are included for all children whose parents express concern about or priority for the child's SE development: 90.5%: 2 (Fully in Place); 9.5%:1 (Partially in Place)</w:t>
      </w:r>
      <w:r w:rsidRPr="00ED172B">
        <w:rPr>
          <w:color w:val="000000" w:themeColor="text1"/>
        </w:rPr>
        <w:br/>
        <w:t>2. Specific evidence-based practices/approaches for promoting children's social and emotional development have been adopted by the regional center: 91.0%: 2 (Fully in Place); 19.1%:1 (Partially in Place)</w:t>
      </w:r>
      <w:r w:rsidRPr="00ED172B">
        <w:rPr>
          <w:color w:val="000000" w:themeColor="text1"/>
        </w:rPr>
        <w:br/>
        <w:t>3. Assessment tools and/or procedures to specifically evaluate children's social and emotional outcomes have been adopted and are being implemented: 76.2%:2 (Fully in Place); 23.8%:1 (Partially in Place)</w:t>
      </w:r>
      <w:r w:rsidRPr="00ED172B">
        <w:rPr>
          <w:color w:val="000000" w:themeColor="text1"/>
        </w:rPr>
        <w:br/>
        <w:t>4. Role descriptions &amp; responsibilities for service coordinators are written and include expectations for the implementation of practices that support children's social and emotional development: 57.1%: 2 (Fully in Place); 42.9%:1 (Partially in Place)</w:t>
      </w:r>
      <w:r w:rsidRPr="00ED172B">
        <w:rPr>
          <w:color w:val="000000" w:themeColor="text1"/>
        </w:rPr>
        <w:br/>
        <w:t>5.</w:t>
      </w:r>
      <w:r w:rsidRPr="00ED172B">
        <w:rPr>
          <w:color w:val="000000" w:themeColor="text1"/>
        </w:rPr>
        <w:tab/>
        <w:t xml:space="preserve">Improvements have been made to the regional center's training system (e.g. hiring new trainers/coaches, requiring all new staff to complete the Early Start Online course in social and emotional development, and so on): 38.1%: 2 (Fully in Place); 57.1%:1 (Partially in Place); 4.8%:0 (Not in Place) </w:t>
      </w:r>
      <w:r w:rsidRPr="00ED172B">
        <w:rPr>
          <w:color w:val="000000" w:themeColor="text1"/>
        </w:rPr>
        <w:br/>
        <w:t>6.</w:t>
      </w:r>
      <w:r w:rsidRPr="00ED172B">
        <w:rPr>
          <w:color w:val="000000" w:themeColor="text1"/>
        </w:rPr>
        <w:tab/>
        <w:t xml:space="preserve">Strategies to increase stakeholder engagement in activities have been adopted and are being implemented: 52.4%: 2 (Fully in Place); 33.3%:1 (Partially in Place); 14.3%:0 (Not in Place) </w:t>
      </w:r>
      <w:r w:rsidRPr="00ED172B">
        <w:rPr>
          <w:color w:val="000000" w:themeColor="text1"/>
        </w:rPr>
        <w:br/>
        <w:t>7. Interagency agreements are in place for all Early Start provider agencies and include expectations for the use of evidence-based practices to support social and emotional development and participation in SSIP activities: 42.9%: 2 (Fully in Place); 33.3%:1 (Partially in Place); 28.3%:0 (Not in Place)</w:t>
      </w:r>
      <w:r w:rsidRPr="00ED172B">
        <w:rPr>
          <w:color w:val="000000" w:themeColor="text1"/>
        </w:rPr>
        <w:br/>
        <w:t>8. A written strategic plan has been developed that specifies regional center actions to increase the emphasis on supporting social and emotional development in children for the catchment area: 38.1%: 2 (Fully in Place); 28.6%:1 (Partially in Place); 33.3%:0 (Not in Place)</w:t>
      </w:r>
      <w:r w:rsidRPr="00ED172B">
        <w:rPr>
          <w:color w:val="000000" w:themeColor="text1"/>
        </w:rPr>
        <w:br/>
        <w:t>9. Practices have been implemented that improve the use of data to make decisions about  implementation: 38.1%: 2 (Fully in Place); 28.6%:1 (Partially in Place); 33.3%:0 (Not in Place)</w:t>
      </w:r>
      <w:r w:rsidRPr="00ED172B">
        <w:rPr>
          <w:color w:val="000000" w:themeColor="text1"/>
        </w:rPr>
        <w:br/>
        <w:t>10. Funding sources have been identified/secured to support high priority SSIP activities. 33.3%: 2 (Fully in Place); 33.3%:1 (Partially in Place); 33.3%:0 (Not in Place)</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Data on Implementation and Outcomes: Evaluation findings for the State Systemic Improvement Plan (referred to as the Plan), for the period July 1, 2020 - June 30, 2021, are organized by activity strand and evaluation question. Each include the number of respondents and the resulting outcomes. The data reported here are collected by a series of surveys; respondents include families of infants and toddlers in the Part C program; providers of early intervention services; Plan Leads at the 21 regional centers (RC); local participating agencies who are members of the Local Implementation Teams; and trainees who participated in the social emotional training program. Short-term and intermediate outcomes are reported by evaluation question within strands.</w:t>
      </w:r>
      <w:r w:rsidRPr="00ED172B">
        <w:rPr>
          <w:color w:val="000000" w:themeColor="text1"/>
        </w:rPr>
        <w:br/>
        <w:t xml:space="preserve">Strand of Action 1. Parent and Provider Education: Develop and implement sustainable outreach, education, and training strategies for the entire Early Start community, including families and service providers, on evidence-based practices and family-centered philosophies. </w:t>
      </w:r>
      <w:r w:rsidRPr="00ED172B">
        <w:rPr>
          <w:color w:val="000000" w:themeColor="text1"/>
        </w:rPr>
        <w:br/>
        <w:t xml:space="preserve">Are families given the Take a Minute resources? RC Plan Leads reported 100% were using the Take a Minute flyer. This is a 28% increase from last reporting period. They also reported how many service coordinators (all or many) were consistently disseminating the resources to families (85.7%), discussing the resources with families (57.1%), and revisiting the resources at regular intervals with families (33.3%). Local Implementation Team members were asked about the approaches used in their agencies to promote social and emotional development. Responses (n = 60) indicated 78.3% provided parent education through distribution of the Take a Minute resources, and 69.5% provided education to direct service providers through Take a Minute Provider Tips. </w:t>
      </w:r>
      <w:r w:rsidRPr="00ED172B">
        <w:rPr>
          <w:color w:val="000000" w:themeColor="text1"/>
        </w:rPr>
        <w:br/>
        <w:t xml:space="preserve">Did Take a Minute materials increase family’s knowledge? Families (n = 273) provided responses to questions about how much they agreed or disagreed with statements about what they had learned through their exposure to and use of the Take a Minute resources. Over 80% of the respondents agreed or strongly agreed they learned strategies: to help their child (80.3%); about their child’s social and emotional development (82.0%); and their role in supporting social and emotional development (83.0%). This is consistent with previously reported data. </w:t>
      </w:r>
      <w:r w:rsidRPr="00ED172B">
        <w:rPr>
          <w:color w:val="000000" w:themeColor="text1"/>
        </w:rPr>
        <w:br/>
        <w:t xml:space="preserve">Are families using practices from the Take a Minute materials? Families were surveyed about how they were using the seven strategies for supporting social and emotional development introduced in the resource. The percentage of families who responded, agreed or strongly agreed with a series of statements ranged from 85% - 75%. This is a 10% increase from last reporting period. In addition to providing information about the strategies they were using, families provided information about the practices they would welcome additional help or information on. The percentage of families who requested assistance for each strategy ranged from 54%-36%. </w:t>
      </w:r>
      <w:r w:rsidRPr="00ED172B">
        <w:rPr>
          <w:color w:val="000000" w:themeColor="text1"/>
        </w:rPr>
        <w:br/>
        <w:t xml:space="preserve">Are providers receiving the Provider Tips resource, implementing the practices listed in the resource, and are the practices effective? No survey responses were received during this reporting period. </w:t>
      </w:r>
      <w:r w:rsidRPr="00ED172B">
        <w:rPr>
          <w:color w:val="000000" w:themeColor="text1"/>
        </w:rPr>
        <w:br/>
        <w:t xml:space="preserve">Are providers and other staff given, and do they use, the Take a Minute and Provider Tips resources? RCs reported use of the Take a Minute flyer (85.7%), Provider Tips (66.7%), and Take a Minute video (less than 35%). RCs reported distribution and use of Provider Tips by RC staff: half or more of staff had received the resource (47.6%), used the resource regularly (23.8%) and participated in training about the practices (14.3%). RCs reported use of Provider Tips by partner agencies within the RC catchment area: half or more of the partner agencies received the resource by 52.5% of RCs, and 76.1% reported agencies used the resources half or more of the time. The Local Implementation Team survey asked respondents (n = 67) about the resources used by their agency/program to promote increased knowledge and skill in supporting social and emotional development and reported 78% used the Take a Minute resources and 69.5% used the Provider Tips resource. The Local Implementation Teams reported the percentages of agency personnel who had been trained in and consistently used the evidence-based approaches/practices effectively: 70.5% indicated 61% to 100% of their personnel had been trained, and 63.7% indicated 61% to 100% of those trained used the practices consistently. </w:t>
      </w:r>
      <w:r w:rsidRPr="00ED172B">
        <w:rPr>
          <w:color w:val="000000" w:themeColor="text1"/>
        </w:rPr>
        <w:br/>
        <w:t>What evidence of the effectiveness of the Take a Minute and Provider Tips materials and strategies and the impact of SSIP activities is reported? Between 60 - 70% of respondents agreed or strongly agreed their participation in the SSIP initiative and activities resulted in increased knowledge of resources, practices, and skills for supporting social and emotional development in young children.</w:t>
      </w:r>
      <w:r w:rsidRPr="00ED172B">
        <w:rPr>
          <w:color w:val="000000" w:themeColor="text1"/>
        </w:rPr>
        <w:br/>
        <w:t>Strand of Action 2. Professional Development: Promote and implement sustainable evidence-based training strategies for the entire Early Start community on social-emotional development, evidence-based assessments, and parent-child relationships. Leverage effective, evidence-based practices of RCs and local educational agencies in engaging families in the social-emotional development of the child through enhanced parent-child relationships.</w:t>
      </w:r>
      <w:r w:rsidRPr="00ED172B">
        <w:rPr>
          <w:color w:val="000000" w:themeColor="text1"/>
        </w:rPr>
        <w:br/>
        <w:t xml:space="preserve">How many trainees completed the social-emotional training? Between July 1, 2020 and June 30, 2021, 168 participants completed the social emotional development course sequence (n = 27 for facilitated, n = 141 for open-access). </w:t>
      </w:r>
      <w:r w:rsidRPr="00ED172B">
        <w:rPr>
          <w:color w:val="000000" w:themeColor="text1"/>
        </w:rPr>
        <w:br/>
        <w:t xml:space="preserve">Did the web-based course increase participants’ knowledge? All individuals who complete the online courses complete a pre- and post-course quiz. </w:t>
      </w:r>
      <w:r w:rsidRPr="00ED172B">
        <w:rPr>
          <w:color w:val="000000" w:themeColor="text1"/>
        </w:rPr>
        <w:lastRenderedPageBreak/>
        <w:t>Scores were averaged across all participants. The average pre-course score was 66.67% (69.08% for facilitated; 64.25% for open-access). The average post-course score was 78.26% (81.73% for facilitated and 74.79% for open-access). This represents a consistent increase in scores from pre-to post-course of approximately 10 to 12% points, verifying an increase in knowledge.</w:t>
      </w:r>
      <w:r w:rsidRPr="00ED172B">
        <w:rPr>
          <w:color w:val="000000" w:themeColor="text1"/>
        </w:rPr>
        <w:br/>
        <w:t>Are participants using what they learned in their daily work? Participants completing the follow up survey, indicated the content was relevant to their work (53% agree and 47% strongly agree), that practices learned in the training were applied (80% agree and 20% strongly agree), and they are confident using those practices (60% agree and 20% strongly agree).</w:t>
      </w:r>
      <w:r w:rsidRPr="00ED172B">
        <w:rPr>
          <w:color w:val="000000" w:themeColor="text1"/>
        </w:rPr>
        <w:br/>
        <w:t>Strand of Action 3. Interagency Collaboration: Identify and partner with statewide collaboratives to disseminate information on the importance of parent-child relationships and social-emotional development with the Interagency Coordination Council as the lead.</w:t>
      </w:r>
      <w:r w:rsidRPr="00ED172B">
        <w:rPr>
          <w:color w:val="000000" w:themeColor="text1"/>
        </w:rPr>
        <w:br/>
        <w:t>Did training and other SSIP activities result in increased knowledge of local training participants with the RC catchment area? Participants in the Local Implementation Teams were asked to rate the effectiveness of activities at increasing local participants’ knowledge related to several aspects of the Plan. The percentage of respondents reporting effective or very effective strategies include: increasing parent or provider knowledge of strategies to support social development (73.1%), increasing provider knowledge of practices to increase parent engagement (70.2%) and increasing provider participation in Plan activities (67.2%).</w:t>
      </w:r>
      <w:r w:rsidRPr="00ED172B">
        <w:rPr>
          <w:color w:val="000000" w:themeColor="text1"/>
        </w:rPr>
        <w:br/>
        <w:t>Do training participants implement practices and use resources from the Plan initiative? Participants in the Local Implementation Teams reported 78.3% of agencies were providing parent education through the distribution of the Take a Minute resources, 69.5% of agencies were participating in provider training using the Take a Minute Provider Tips resources, 73.3% of agencies have providers participate in the Early Start online training, and 85.0% of agencies have staff access the Early Start Neighborhood for information and resources.</w:t>
      </w:r>
      <w:r w:rsidRPr="00ED172B">
        <w:rPr>
          <w:color w:val="000000" w:themeColor="text1"/>
        </w:rPr>
        <w:br/>
        <w:t>In summary, rate of use of Plan materials and activities vary widely across the state.</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Provide a summary of the next steps for each infrastructure improvement strategy and the anticipated outcomes to be attained during the next reporting period. </w:t>
      </w:r>
      <w:r w:rsidRPr="00ED172B">
        <w:rPr>
          <w:color w:val="000000" w:themeColor="text1"/>
        </w:rPr>
        <w:br/>
      </w:r>
      <w:r w:rsidRPr="00ED172B">
        <w:rPr>
          <w:color w:val="000000" w:themeColor="text1"/>
        </w:rPr>
        <w:br/>
        <w:t>1.</w:t>
      </w:r>
      <w:r w:rsidRPr="00ED172B">
        <w:rPr>
          <w:color w:val="000000" w:themeColor="text1"/>
        </w:rPr>
        <w:tab/>
        <w:t xml:space="preserve">Individualized Family Service Plans are monitored to ensure that social and emotional outcomes are included for all children whose parents express concern about or priority for the child's SE development. The State will continue to provide technical assistance to regional centers through monthly check-in calls and annual meetings to ensure monitoring efforts are continued and improved upon. Anticipated outcome is to improve the implementation percentage from its current 90.5% threshold. </w:t>
      </w:r>
      <w:r w:rsidRPr="00ED172B">
        <w:rPr>
          <w:color w:val="000000" w:themeColor="text1"/>
        </w:rPr>
        <w:br/>
        <w:t>2.</w:t>
      </w:r>
      <w:r w:rsidRPr="00ED172B">
        <w:rPr>
          <w:color w:val="000000" w:themeColor="text1"/>
        </w:rPr>
        <w:tab/>
        <w:t xml:space="preserve">Specific evidence-based practices/approaches for promoting children's SE development have been adopted by the regional center. The State will continue to provide technical assistance to regional centers through monthly check-in calls and annual meetings to evaluate which practices are being implemented and to improve the implementation percentage from its current 91% threshold. </w:t>
      </w:r>
      <w:r w:rsidRPr="00ED172B">
        <w:rPr>
          <w:color w:val="000000" w:themeColor="text1"/>
        </w:rPr>
        <w:br/>
        <w:t>3.</w:t>
      </w:r>
      <w:r w:rsidRPr="00ED172B">
        <w:rPr>
          <w:color w:val="000000" w:themeColor="text1"/>
        </w:rPr>
        <w:tab/>
        <w:t xml:space="preserve">Assessment tools and/or procedures to specifically evaluate children's social and emotional outcomes have been adopted and are being implemented. The State will provide technical assistance on best practices for evaluation and proper data entry use. Next steps include releasing an updated technical assistance guide, this is anticipated to improve data literacy and accurate tool reporting to improve the implementation percentage from its current 76.2% threshold. </w:t>
      </w:r>
      <w:r w:rsidRPr="00ED172B">
        <w:rPr>
          <w:color w:val="000000" w:themeColor="text1"/>
        </w:rPr>
        <w:br/>
        <w:t>4.</w:t>
      </w:r>
      <w:r w:rsidRPr="00ED172B">
        <w:rPr>
          <w:color w:val="000000" w:themeColor="text1"/>
        </w:rPr>
        <w:tab/>
        <w:t xml:space="preserve">Role descriptions &amp; responsibilities for service coordinators are written and include expectations for the implementation of practices that support children's SE development. The State will continue to provide technical assistance to regional centers through monthly check-in calls and annual meetings on how they communicate the expectations and what barriers are in place that need to be addressed in order to improve the current percentage of 57.1%. Through this assistance, it is anticipated that more regional centers will report having these in place. </w:t>
      </w:r>
      <w:r w:rsidRPr="00ED172B">
        <w:rPr>
          <w:color w:val="000000" w:themeColor="text1"/>
        </w:rPr>
        <w:br/>
        <w:t>5. Strategies to increase stakeholder engagement in SSIP activities have been adopted and are being implemented. The State will continue to provide technical assistance to regional centers through monthly check-in calls and annual meetings as well as provide refresher trainings as requested by local implementation teams on engagement activities and resources. The State anticipates an increase in engagement activities to improve from its current implementation 52.4% percentage threshold.</w:t>
      </w:r>
      <w:r w:rsidRPr="00ED172B">
        <w:rPr>
          <w:color w:val="000000" w:themeColor="text1"/>
        </w:rPr>
        <w:br/>
        <w:t>6. Interagency agreements are in place for all Early Start provider agencies and include expectations for the use of evidence-based practices to support Social Emotional development and participation in SSIP activities. The State will continue to provide technical assistance to regional centers through monthly check-in calls and annual meetings to aid and provide examples of best practices of agreements currently in place in order to improve upon the current 42.9% implementation rate.</w:t>
      </w:r>
      <w:r w:rsidRPr="00ED172B">
        <w:rPr>
          <w:color w:val="000000" w:themeColor="text1"/>
        </w:rPr>
        <w:br/>
        <w:t>7. Improvements have been made to the regional center’s training system (e.g. hiring new trainers/coaches, requiring all new staff to complete the Early Start Online course in SE development, and so on). The State will continue to provide technical assistance to regional centers through monthly check-in calls and annual meetings to ensure all new staff are aware of available trainings. Additionally, the State is incorporating more non-facilitated courses so new staff have more flexibility in their availability to complete the self-paced courses. With more of these courses being offered in this format, it is anticipated that more Center’s will utilize the training platform for new staff and increase from its current 38.1% threshold.</w:t>
      </w:r>
      <w:r w:rsidRPr="00ED172B">
        <w:rPr>
          <w:color w:val="000000" w:themeColor="text1"/>
        </w:rPr>
        <w:br/>
        <w:t>8.</w:t>
      </w:r>
      <w:r w:rsidRPr="00ED172B">
        <w:rPr>
          <w:color w:val="000000" w:themeColor="text1"/>
        </w:rPr>
        <w:tab/>
        <w:t xml:space="preserve">A written strategic plan has been developed that specifies regional renter actions to increase the emphasis on supporting social and emotional development in children for the regional center catchment area. The State will continue to provide technical assistance to regional centers through monthly check-in calls and annual meetings to aid and provide best practices of strategic plans currently in place in order to improve upon the current 38.1% implementation rate. The State anticipates the updated Theory of Action activities to provide further support in improving this infrastructure. </w:t>
      </w:r>
      <w:r w:rsidRPr="00ED172B">
        <w:rPr>
          <w:color w:val="000000" w:themeColor="text1"/>
        </w:rPr>
        <w:br/>
        <w:t>9. Practices have been implemented that improve the use of data to make decisions about implementation. The State will continue to provide technical assistance to regional centers through monthly check-in calls and annual meetings on data entry best practices. Additional data literacy support will be provided as data is presented and analyzed with each regional center during monitoring activities. Increasing data literacy will be supported through a new technical guide being distributed so regional centers can improve their understanding of data and how it guides decisions on implementation. These additional supports and resources are anticipated to improve the current 38.1% implementation rate.</w:t>
      </w:r>
      <w:r w:rsidRPr="00ED172B">
        <w:rPr>
          <w:color w:val="000000" w:themeColor="text1"/>
        </w:rPr>
        <w:br/>
        <w:t>10. Funding sources have been identified/secured to support high priority activities. The State will continue to provide technical assistance to regional centers through monthly check-in calls and annual meetings around potential non-state funding sources. The State anticipates the updated Theory of Action activities will realign priorities to aid in the identification of non-state funds specific to initiative implementation. This is anticipated to improve the current 33.3% implementation rate.</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Current evidence-based practices and approaches being used by regional centers in this reporting period: </w:t>
      </w:r>
      <w:r w:rsidRPr="00ED172B">
        <w:rPr>
          <w:color w:val="000000" w:themeColor="text1"/>
        </w:rPr>
        <w:br/>
        <w:t>1. Division of Early Childhood Recommended Practices</w:t>
      </w:r>
      <w:r w:rsidRPr="00ED172B">
        <w:rPr>
          <w:color w:val="000000" w:themeColor="text1"/>
        </w:rPr>
        <w:br/>
        <w:t>2.</w:t>
      </w:r>
      <w:r w:rsidRPr="00ED172B">
        <w:rPr>
          <w:color w:val="000000" w:themeColor="text1"/>
        </w:rPr>
        <w:tab/>
        <w:t xml:space="preserve">Pyramid Model </w:t>
      </w:r>
      <w:r w:rsidRPr="00ED172B">
        <w:rPr>
          <w:color w:val="000000" w:themeColor="text1"/>
        </w:rPr>
        <w:br/>
        <w:t>3. Coaching</w:t>
      </w:r>
      <w:r w:rsidRPr="00ED172B">
        <w:rPr>
          <w:color w:val="000000" w:themeColor="text1"/>
        </w:rPr>
        <w:br/>
        <w:t>4.</w:t>
      </w:r>
      <w:r w:rsidRPr="00ED172B">
        <w:rPr>
          <w:color w:val="000000" w:themeColor="text1"/>
        </w:rPr>
        <w:tab/>
        <w:t xml:space="preserve">Routines-based Interview </w:t>
      </w:r>
      <w:r w:rsidRPr="00ED172B">
        <w:rPr>
          <w:color w:val="000000" w:themeColor="text1"/>
        </w:rPr>
        <w:br/>
        <w:t>5.</w:t>
      </w:r>
      <w:r w:rsidRPr="00ED172B">
        <w:rPr>
          <w:color w:val="000000" w:themeColor="text1"/>
        </w:rPr>
        <w:tab/>
        <w:t xml:space="preserve">Family-guided Routines-based Intervention and Caregiver Coaching </w:t>
      </w:r>
      <w:r w:rsidRPr="00ED172B">
        <w:rPr>
          <w:color w:val="000000" w:themeColor="text1"/>
        </w:rPr>
        <w:br/>
      </w:r>
      <w:r w:rsidRPr="00ED172B">
        <w:rPr>
          <w:color w:val="000000" w:themeColor="text1"/>
        </w:rPr>
        <w:lastRenderedPageBreak/>
        <w:t>6. Routines-based Early Intervention</w:t>
      </w:r>
      <w:r w:rsidRPr="00ED172B">
        <w:rPr>
          <w:color w:val="000000" w:themeColor="text1"/>
        </w:rPr>
        <w:br/>
        <w:t>7. Strengthening Families</w:t>
      </w:r>
      <w:r w:rsidRPr="00ED172B">
        <w:rPr>
          <w:color w:val="000000" w:themeColor="text1"/>
        </w:rPr>
        <w:br/>
        <w:t>8. Developmental, Individual-differences, &amp; Relationship-based model and Floortime</w:t>
      </w:r>
      <w:r w:rsidRPr="00ED172B">
        <w:rPr>
          <w:color w:val="000000" w:themeColor="text1"/>
        </w:rPr>
        <w:br/>
        <w:t>9. Reflective practice and supervision</w:t>
      </w:r>
      <w:r w:rsidRPr="00ED172B">
        <w:rPr>
          <w:color w:val="000000" w:themeColor="text1"/>
        </w:rPr>
        <w:br/>
        <w:t>10. Trauma informed care or practice</w:t>
      </w:r>
      <w:r w:rsidRPr="00ED172B">
        <w:rPr>
          <w:color w:val="000000" w:themeColor="text1"/>
        </w:rPr>
        <w:br/>
        <w:t>11. Incredible Years</w:t>
      </w:r>
      <w:r w:rsidRPr="00ED172B">
        <w:rPr>
          <w:color w:val="000000" w:themeColor="text1"/>
        </w:rPr>
        <w:br/>
        <w:t>12. Project ImPact</w:t>
      </w:r>
      <w:r w:rsidRPr="00ED172B">
        <w:rPr>
          <w:color w:val="000000" w:themeColor="text1"/>
        </w:rPr>
        <w:br/>
        <w:t>13. Denver Model</w:t>
      </w:r>
      <w:r w:rsidRPr="00ED172B">
        <w:rPr>
          <w:color w:val="000000" w:themeColor="text1"/>
        </w:rPr>
        <w:br/>
        <w:t>14. Social Communication, Emotional Regulation, and Transactional Support</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This summary identifies the evidence-based practices used by vendors in the regional centers’ catchment area and provides web-links for accessing additional information about the practices.</w:t>
      </w:r>
      <w:r w:rsidRPr="00ED172B">
        <w:rPr>
          <w:color w:val="000000" w:themeColor="text1"/>
        </w:rPr>
        <w:br/>
      </w:r>
      <w:r w:rsidRPr="00ED172B">
        <w:rPr>
          <w:color w:val="000000" w:themeColor="text1"/>
        </w:rPr>
        <w:br/>
        <w:t>1.</w:t>
      </w:r>
      <w:r w:rsidRPr="00ED172B">
        <w:rPr>
          <w:color w:val="000000" w:themeColor="text1"/>
        </w:rPr>
        <w:tab/>
        <w:t xml:space="preserve">Division of Early Childhood Recommended Practices:  Division of Early Childhood (of the Council for Exceptional Children) Recommended Practices, such as Family Practices (family-centered, capacity- building, family-professional collaboration), Interactions Practices (promoting social-emotional development and skills), or Instruction (strength-based, child preferences, embedded in typical routines)  https://www.dec-sped.org/dec-recommended-practices; https://ectacenter.org/decrp/decrp.asp  </w:t>
      </w:r>
      <w:r w:rsidRPr="00ED172B">
        <w:rPr>
          <w:color w:val="000000" w:themeColor="text1"/>
        </w:rPr>
        <w:br/>
        <w:t>2.</w:t>
      </w:r>
      <w:r w:rsidRPr="00ED172B">
        <w:rPr>
          <w:color w:val="000000" w:themeColor="text1"/>
        </w:rPr>
        <w:tab/>
        <w:t xml:space="preserve">Pyramid Model (also Center on Social and Emotional Foundations for Learning – or National Center for Pyramid Model Interventions by Mary Louise Hemmeter and colleagues)  https://challengingbehavior.cbcs.usf.edu/Pyramid/overview/index.html; https://www.pyramidmodel.org/  </w:t>
      </w:r>
      <w:r w:rsidRPr="00ED172B">
        <w:rPr>
          <w:color w:val="000000" w:themeColor="text1"/>
        </w:rPr>
        <w:br/>
        <w:t>3.</w:t>
      </w:r>
      <w:r w:rsidRPr="00ED172B">
        <w:rPr>
          <w:color w:val="000000" w:themeColor="text1"/>
        </w:rPr>
        <w:tab/>
        <w:t xml:space="preserve">Coaching:  Coaching in Natural Learning Environments (M’Lisa Shelden &amp; Dathan Rush)  https://fipp.ncdhhs.gov/publications-products/case-publications/casecollections/  </w:t>
      </w:r>
      <w:r w:rsidRPr="00ED172B">
        <w:rPr>
          <w:color w:val="000000" w:themeColor="text1"/>
        </w:rPr>
        <w:br/>
        <w:t>4.</w:t>
      </w:r>
      <w:r w:rsidRPr="00ED172B">
        <w:rPr>
          <w:color w:val="000000" w:themeColor="text1"/>
        </w:rPr>
        <w:tab/>
        <w:t xml:space="preserve">Routines-Based Interview:  Routines-based Interview by Robin McWilliam and colleagues)  http://eieio.ua.edu/evidence.html  </w:t>
      </w:r>
      <w:r w:rsidRPr="00ED172B">
        <w:rPr>
          <w:color w:val="000000" w:themeColor="text1"/>
        </w:rPr>
        <w:br/>
        <w:t>5.</w:t>
      </w:r>
      <w:r w:rsidRPr="00ED172B">
        <w:rPr>
          <w:color w:val="000000" w:themeColor="text1"/>
        </w:rPr>
        <w:tab/>
        <w:t xml:space="preserve">Family-Guided Routines-Based Intervention:  Family-guided Routines-based Intervention and Caregiver Coaching, developed by Julianne Woods and colleagues)  http://fgrbi.com/  </w:t>
      </w:r>
      <w:r w:rsidRPr="00ED172B">
        <w:rPr>
          <w:color w:val="000000" w:themeColor="text1"/>
        </w:rPr>
        <w:br/>
        <w:t>6.</w:t>
      </w:r>
      <w:r w:rsidRPr="00ED172B">
        <w:rPr>
          <w:color w:val="000000" w:themeColor="text1"/>
        </w:rPr>
        <w:tab/>
        <w:t xml:space="preserve">Routines-Based Early Intervention:  Routines-based Early Intervention (McWilliam)  http://eieio.ua.edu/evidence.html  </w:t>
      </w:r>
      <w:r w:rsidRPr="00ED172B">
        <w:rPr>
          <w:color w:val="000000" w:themeColor="text1"/>
        </w:rPr>
        <w:br/>
        <w:t>7.</w:t>
      </w:r>
      <w:r w:rsidRPr="00ED172B">
        <w:rPr>
          <w:color w:val="000000" w:themeColor="text1"/>
        </w:rPr>
        <w:tab/>
        <w:t xml:space="preserve">Strengthening Families:  Strengthening Families: a protective factors framework.  https://cssp.org/our-work/project/strengthening-families/;  https://www.caltrin.org/training/caltrin-hosted-trainings-evidence-based-service-delivery-models/the-protective-factors-framework/  </w:t>
      </w:r>
      <w:r w:rsidRPr="00ED172B">
        <w:rPr>
          <w:color w:val="000000" w:themeColor="text1"/>
        </w:rPr>
        <w:br/>
        <w:t>8.</w:t>
      </w:r>
      <w:r w:rsidRPr="00ED172B">
        <w:rPr>
          <w:color w:val="000000" w:themeColor="text1"/>
        </w:rPr>
        <w:tab/>
        <w:t xml:space="preserve">Developmental, Individual-differences, &amp; Relationship-based (Floortime) model and Floortime (Greenspan &amp; Wieder).  https://www.stanleygreenspan.com/ ; https://www.icdl.com/home  </w:t>
      </w:r>
      <w:r w:rsidRPr="00ED172B">
        <w:rPr>
          <w:color w:val="000000" w:themeColor="text1"/>
        </w:rPr>
        <w:br/>
        <w:t>9.</w:t>
      </w:r>
      <w:r w:rsidRPr="00ED172B">
        <w:rPr>
          <w:color w:val="000000" w:themeColor="text1"/>
        </w:rPr>
        <w:tab/>
        <w:t xml:space="preserve">Reflective Practice:  Reflective practice and supervision  http://cacenter-ecmh.org/wp/  </w:t>
      </w:r>
      <w:r w:rsidRPr="00ED172B">
        <w:rPr>
          <w:color w:val="000000" w:themeColor="text1"/>
        </w:rPr>
        <w:br/>
        <w:t>10.</w:t>
      </w:r>
      <w:r w:rsidRPr="00ED172B">
        <w:rPr>
          <w:color w:val="000000" w:themeColor="text1"/>
        </w:rPr>
        <w:tab/>
        <w:t xml:space="preserve">Trauma-Informed Care:  Trauma informed care or practice.  http://www.trauma-informed-california.org/ ;   https://www.acesaware.org/ace-fundamentals/principles-of-trauma-informed-care/   </w:t>
      </w:r>
      <w:r w:rsidRPr="00ED172B">
        <w:rPr>
          <w:color w:val="000000" w:themeColor="text1"/>
        </w:rPr>
        <w:br/>
        <w:t>11.</w:t>
      </w:r>
      <w:r w:rsidRPr="00ED172B">
        <w:rPr>
          <w:color w:val="000000" w:themeColor="text1"/>
        </w:rPr>
        <w:tab/>
        <w:t xml:space="preserve">Incredible Years:  Parent training in supporting social-emotional development (Carolyn Webster-Stratton).  https://incredibleyears.com/  </w:t>
      </w:r>
      <w:r w:rsidRPr="00ED172B">
        <w:rPr>
          <w:color w:val="000000" w:themeColor="text1"/>
        </w:rPr>
        <w:br/>
        <w:t>12.</w:t>
      </w:r>
      <w:r w:rsidRPr="00ED172B">
        <w:rPr>
          <w:color w:val="000000" w:themeColor="text1"/>
        </w:rPr>
        <w:tab/>
        <w:t xml:space="preserve">Project ImPact:  Teaching Social Communication project is a research grant at San Diego State University.  https://newscenter.sdsu.edu/sdsu_newscenter/news_story.aspx?sid=77786   </w:t>
      </w:r>
      <w:r w:rsidRPr="00ED172B">
        <w:rPr>
          <w:color w:val="000000" w:themeColor="text1"/>
        </w:rPr>
        <w:br/>
        <w:t>13.</w:t>
      </w:r>
      <w:r w:rsidRPr="00ED172B">
        <w:rPr>
          <w:color w:val="000000" w:themeColor="text1"/>
        </w:rPr>
        <w:tab/>
        <w:t xml:space="preserve">Early Start Denver Model for Young Children with Autism: Promoting Language, Learning, and Engagement  (Denver Model: by Sally Rogers)  https://www.amazon.com/Early-Start-Denver-Children-Autism/dp/1606236318   </w:t>
      </w:r>
      <w:r w:rsidRPr="00ED172B">
        <w:rPr>
          <w:color w:val="000000" w:themeColor="text1"/>
        </w:rPr>
        <w:br/>
        <w:t>14.</w:t>
      </w:r>
      <w:r w:rsidRPr="00ED172B">
        <w:rPr>
          <w:color w:val="000000" w:themeColor="text1"/>
        </w:rPr>
        <w:tab/>
        <w:t xml:space="preserve">Social Communication, Emotional Regulation, and Transactional Support: for young children with ASD and their families (Barry Prizant, Amy Wetherby, and others). https://brookespublishing.com/product/scerts/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Regional Centers were surveyed about the use of evidence-based practices and its use by providers in their region. They were asked to check each evidence-based practice from a list that is currently being used by their Early Start vendors and to indicate which of those practices was/were being evaluated for implementation effectiveness, either by the Regional Center and/or the vendor. This summary identifies the evidence-based practices used by vendors in the regional centers’ catchment area and identifies the number of regions using the practice and any indication fidelity data are collected.</w:t>
      </w:r>
      <w:r w:rsidRPr="00ED172B">
        <w:rPr>
          <w:color w:val="000000" w:themeColor="text1"/>
        </w:rPr>
        <w:br/>
      </w:r>
      <w:r w:rsidRPr="00ED172B">
        <w:rPr>
          <w:color w:val="000000" w:themeColor="text1"/>
        </w:rPr>
        <w:br/>
        <w:t>1. Division of Early Childhood Recommended Practices: 14 regional centers reported use in the region and 5 indicated that some fidelity data were collected.</w:t>
      </w:r>
      <w:r w:rsidRPr="00ED172B">
        <w:rPr>
          <w:color w:val="000000" w:themeColor="text1"/>
        </w:rPr>
        <w:br/>
        <w:t>2. Pyramid: 3 regional centers reported use in the region and 1 indicated that some fidelity data were collected.</w:t>
      </w:r>
      <w:r w:rsidRPr="00ED172B">
        <w:rPr>
          <w:color w:val="000000" w:themeColor="text1"/>
        </w:rPr>
        <w:br/>
        <w:t>3. Coaching: 12 regional centers reported use in the region and 3 indicated that some fidelity data were collected.</w:t>
      </w:r>
      <w:r w:rsidRPr="00ED172B">
        <w:rPr>
          <w:color w:val="000000" w:themeColor="text1"/>
        </w:rPr>
        <w:br/>
        <w:t>4. Routines-Based Interview: 11 regional centers reported use in the region and 3 indicated that some fidelity data were collected.</w:t>
      </w:r>
      <w:r w:rsidRPr="00ED172B">
        <w:rPr>
          <w:color w:val="000000" w:themeColor="text1"/>
        </w:rPr>
        <w:br/>
        <w:t>5. Family-Guided Routines-Based Intervention: 7 regional centers reported use in the region and 5 indicated that some fidelity data were collected.</w:t>
      </w:r>
      <w:r w:rsidRPr="00ED172B">
        <w:rPr>
          <w:color w:val="000000" w:themeColor="text1"/>
        </w:rPr>
        <w:br/>
        <w:t>6. Routines-Based Early Intervention: 13 regional centers reported use in the region and 4 indicated that some fidelity data were collected.</w:t>
      </w:r>
      <w:r w:rsidRPr="00ED172B">
        <w:rPr>
          <w:color w:val="000000" w:themeColor="text1"/>
        </w:rPr>
        <w:br/>
        <w:t>7. Strengthening Families: 5 regional centers reported use in the region and 2 indicated that some fidelity data were collected.</w:t>
      </w:r>
      <w:r w:rsidRPr="00ED172B">
        <w:rPr>
          <w:color w:val="000000" w:themeColor="text1"/>
        </w:rPr>
        <w:br/>
        <w:t>8. Developmental, Individual-differences, &amp; Relationship-based (Floortime): 2 regional centers reported use in the region and 1 indicated that some fidelity data were collected.</w:t>
      </w:r>
      <w:r w:rsidRPr="00ED172B">
        <w:rPr>
          <w:color w:val="000000" w:themeColor="text1"/>
        </w:rPr>
        <w:br/>
        <w:t>9.</w:t>
      </w:r>
      <w:r w:rsidRPr="00ED172B">
        <w:rPr>
          <w:color w:val="000000" w:themeColor="text1"/>
        </w:rPr>
        <w:tab/>
        <w:t xml:space="preserve">Reflective Practice: 2 regional centers reported use in the region and 1 indicated that some fidelity data were collected. </w:t>
      </w:r>
      <w:r w:rsidRPr="00ED172B">
        <w:rPr>
          <w:color w:val="000000" w:themeColor="text1"/>
        </w:rPr>
        <w:br/>
        <w:t>10. Trauma-Informed Care: 1 regional center reported use in the region and 0 indicated that some fidelity data were collected.</w:t>
      </w:r>
      <w:r w:rsidRPr="00ED172B">
        <w:rPr>
          <w:color w:val="000000" w:themeColor="text1"/>
        </w:rPr>
        <w:br/>
        <w:t>11. Incredible Years: 1 regional center reported use in the region and indicated that some fidelity data were collected.</w:t>
      </w:r>
      <w:r w:rsidRPr="00ED172B">
        <w:rPr>
          <w:color w:val="000000" w:themeColor="text1"/>
        </w:rPr>
        <w:br/>
        <w:t>12. Project ImPact: 1 regional center reported use in the region and indicated that some fidelity data were collected.</w:t>
      </w:r>
      <w:r w:rsidRPr="00ED172B">
        <w:rPr>
          <w:color w:val="000000" w:themeColor="text1"/>
        </w:rPr>
        <w:br/>
        <w:t>13. Early Start Denver Model for Young Children with Autism: 1 regional center reported use in the region and indicated that some fidelity data were collected.</w:t>
      </w:r>
      <w:r w:rsidRPr="00ED172B">
        <w:rPr>
          <w:color w:val="000000" w:themeColor="text1"/>
        </w:rPr>
        <w:br/>
        <w:t>14. Social Communication, Emotional Regulation, and Transactional Support: 1 regional center reported use in the region and indicated that some fidelity data were collected.</w:t>
      </w:r>
      <w:r w:rsidRPr="00ED172B">
        <w:rPr>
          <w:color w:val="000000" w:themeColor="text1"/>
        </w:rPr>
        <w:br/>
        <w:t xml:space="preserve"> </w:t>
      </w:r>
      <w:r w:rsidRPr="00ED172B">
        <w:rPr>
          <w:color w:val="000000" w:themeColor="text1"/>
        </w:rPr>
        <w:br/>
        <w:t xml:space="preserve">The number of evidence-based practices being used in a regional center catchment area ranged from zero (0) to eleven (11) with a mean of 3.57 (M = 3.57). Seven (7) regional centers reported using none or one evidence-based practice. Thirteen (13) regional centers reported using two (2) to six (6) evidence-based practices. The remaining regional center (n = 1) reported using eleven (11) different evidence-based practices. The use and implementation of evidence-based practices is embedded in the state’s current Theory of Action. Since implementing the State Systemic Improvement Plan, regional centers have standardized the use of evidence-based practices and offered training to providers on how to implement. The next phase of the implementation will be to ensure local systems are competently and consistently implementing these practices and introducing how to measure the </w:t>
      </w:r>
      <w:r w:rsidRPr="00ED172B">
        <w:rPr>
          <w:color w:val="000000" w:themeColor="text1"/>
        </w:rPr>
        <w:lastRenderedPageBreak/>
        <w:t xml:space="preserve">effectiveness to inform and further adjust practices and procedures as necessary to continue making a positive impact on the State’s SiMR. </w:t>
      </w:r>
      <w:r w:rsidRPr="00ED172B">
        <w:rPr>
          <w:color w:val="000000" w:themeColor="text1"/>
        </w:rPr>
        <w:br/>
      </w:r>
      <w:r w:rsidRPr="00ED172B">
        <w:rPr>
          <w:color w:val="000000" w:themeColor="text1"/>
        </w:rPr>
        <w:br/>
        <w:t xml:space="preserve">Additionally, regional centers, families, and Local Implementation Teams were surveyed and asked to respond to a number of questions about training, resource use and distribution, perceived effectiveness of practices, and resources developed. Results were provided to regional centers to inform on the effectiveness of provider engagement and parent education about the importance of social and emotional development as one activity strand in the State Systemic Improvement Plan. Findings are reported in detail in the template section on “describe the short-term or intermediate outcomes achieved…” regarding the following resources: </w:t>
      </w:r>
      <w:r w:rsidRPr="00ED172B">
        <w:rPr>
          <w:color w:val="000000" w:themeColor="text1"/>
        </w:rPr>
        <w:br/>
        <w:t>1.</w:t>
      </w:r>
      <w:r w:rsidRPr="00ED172B">
        <w:rPr>
          <w:color w:val="000000" w:themeColor="text1"/>
        </w:rPr>
        <w:tab/>
        <w:t xml:space="preserve">Take a Minute Flyer and Video: Provides ideas and tips to assist parents in examining social and emotional interactions with their child based on evidence-informed practices. https://earlystartneighborhood.ning.com/ssip-resources/For+Parents </w:t>
      </w:r>
      <w:r w:rsidRPr="00ED172B">
        <w:rPr>
          <w:color w:val="000000" w:themeColor="text1"/>
        </w:rPr>
        <w:br/>
        <w:t>2.</w:t>
      </w:r>
      <w:r w:rsidRPr="00ED172B">
        <w:rPr>
          <w:color w:val="000000" w:themeColor="text1"/>
        </w:rPr>
        <w:tab/>
        <w:t xml:space="preserve">Take a Minute Provider Tips: Identifies eight evidence-informed strategies for use by practitioners in assisting parents to support their child’s social emotional development. https://earlystartneighborhood.ning.com/ssip-resources/For+Parents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Specific data points are not currently being collected. In this reporting period regional center State Systemic Improvement Leads were surveyed and asked: “Are you or any of your partner agencies collecting data to measure the quality of implementation of your chosen local initiative? If so, please describe what data are being collected and by whom.”</w:t>
      </w:r>
      <w:r w:rsidRPr="00ED172B">
        <w:rPr>
          <w:color w:val="000000" w:themeColor="text1"/>
        </w:rPr>
        <w:br/>
        <w:t>All regional centers responded: 71.4% (n = 15) indicated they were not collecting these data and 28.6% (n = 6) indicated they were collecting these data. Six (6) centers (28.6%) provided a response to this open-ended item.</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This data is currently not being collected.</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The State has developed and implemented targeting improvements to social and emotional development outcomes for young children, and has adopted a number of evidence-based practices that vary by locale to best match the needs, interests, priorities, and culture of each community. To date, the state has been able to collect information from its regional centers about the practices/approaches that have been adopted but has encountered difficulty in collecting data to evaluate how well and with what frequency and intensity the practices are being implemented. During the next reporting period, the state is developing a webinar to present information on the range of options for evaluating the frequency, intensity, and quality of the evidence-based practice implemented and the benefits associated with collecting and using these kinds of data. It is expected that this webinar will increase knowledge of evidence-based practices implementation evaluation strategies and how to use the collected data make informed decisions.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Based on positive outcomes of activities, continuation of current activities, strategies, and timelines remained through this reporting period. The state intends to modify the evaluation plan, activities, strategies, and timelines during the next reporting period to increase the impact of the State Identified Measurable Result (SiMR).</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Input on current and future targets included in this Annual Performance Report, including those associated with California’s State Systemic Improvement Plan, were provided by the State’s broad and diverse Interagency Coordinating Council which includes parents, professionals providing services to infants and toddlers, as well as State departments involved in the provision of services for infants and toddlers. In California, the Interagency Coordinating Council also benefits from the participation of community representatives, which increases the diversity of perspectives presented.</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Specific stakeholder engagement related to the State Systemic Improvement Plan included using inclusion tools to identify stakeholder's ethnicity, geographical oversight, personal and professional roles of engagement, and any affiliated advocacy to ensure the broadest group of representation. Liaisons, comprised of state staff, work as a cohesive team to provide support and guidance to the 21 regional centers through monthly conference call meetings. Liaisons are the primary contacts for the regional centers’ Local Implementation Teams and stakeholders to ensure resources, technical assistance, and local trainings are provided to support ongoing implementation and sustainability efforts. Stakeholders, including Early Start program directors, supervisors, pediatricians, former Early Start parents, advocates, and staff from related state programs, continue to provide input into the work and direction of the related activities, strategies, and timelines through quarterly Interagency Coordination Council meetings and sub-committee meetings. Additional, bi-annual meetings are provided by the state for early intervention specialists, family resource center professionals, and department of education staff to collect perspectives on specific information on challenges and successes around implementation and sustainability efforts, to share child outcomes data and progress made, and to provide local implementation engagement strategies to further improve SiMR outcomes. </w:t>
      </w:r>
      <w:r w:rsidRPr="00ED172B">
        <w:rPr>
          <w:rFonts w:cs="Arial"/>
          <w:b w:val="0"/>
          <w:color w:val="000000" w:themeColor="text1"/>
          <w:szCs w:val="16"/>
        </w:rPr>
        <w:br/>
      </w:r>
      <w:r w:rsidRPr="00ED172B">
        <w:rPr>
          <w:rFonts w:cs="Arial"/>
          <w:b w:val="0"/>
          <w:color w:val="000000" w:themeColor="text1"/>
          <w:szCs w:val="16"/>
        </w:rPr>
        <w:br/>
        <w:t xml:space="preserve">Parent members provided comprehensive feedback and analysis of the State’s recommended target updates and target setting methodology. Their analysis included reviewing trend performances of the past 5 years, examining the Office of Special Education Programs recommended approaches for target setting, and establishing a base line year for newly approved targets. To increase data literacy and engagement the use of data visualizations and charts were created to translate the various aspects of the data. Engagement included discussions and clarification on factors affecting data such as COVID-19, budget changes, natural disasters, and state initiatives. Data improvement strategy recommendations were collected for consideration in updating the State’s current evaluation process.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Stakeholder engagement strategies include monthly conference calls between state liaisons and regional center early start and local program implementation team members; quarterly meetings of the Interagency Coordination Council, bi-annual meetings for Early Start, Office of Education, and Family Resource Center leads. On the local level, Local Implementation Teams hold meetings on a varied schedule. Local Teams include providers, </w:t>
      </w:r>
      <w:r w:rsidRPr="00ED172B">
        <w:rPr>
          <w:color w:val="000000" w:themeColor="text1"/>
        </w:rPr>
        <w:lastRenderedPageBreak/>
        <w:t>parents, advocacy agencies, and staff representatives from regional centers, family resource centers, and Local Educational Agencies. The state provides technical assistance, as requested, around engagement activities and strategies related to making improvements towards the SiMR, data and target setting updates, and professional training opportunities.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The State addressed the following concerns expressed by stakeholders:</w:t>
      </w:r>
      <w:r w:rsidRPr="00ED172B">
        <w:rPr>
          <w:color w:val="000000" w:themeColor="text1"/>
        </w:rPr>
        <w:br/>
        <w:t xml:space="preserve">1. Concerns related to technology: Family resource centers and regional centers used state funds to purchase tablets and hot spot devices to increase access to families to receive Early Start Services. </w:t>
      </w:r>
      <w:r w:rsidRPr="00ED172B">
        <w:rPr>
          <w:color w:val="000000" w:themeColor="text1"/>
        </w:rPr>
        <w:br/>
        <w:t xml:space="preserve">2. Concerns related to funding: Printing costs were reduced by the State converting more resources into electronic formats that could be shared with families and providers. Timelines for using grant funds for training initiatives were extended by the State. </w:t>
      </w:r>
      <w:r w:rsidRPr="00ED172B">
        <w:rPr>
          <w:color w:val="000000" w:themeColor="text1"/>
        </w:rPr>
        <w:br/>
        <w:t>3. Concerns related to time constraints: State directives allowing virtual platforms to provide related services and training has reduced travel time for service coordinators and families.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Next steps for infrastructure improvements include:</w:t>
      </w:r>
      <w:r w:rsidRPr="00ED172B">
        <w:rPr>
          <w:color w:val="000000" w:themeColor="text1"/>
        </w:rPr>
        <w:br/>
        <w:t>• Convening a culturally diverse group of stakeholders.</w:t>
      </w:r>
      <w:r w:rsidRPr="00ED172B">
        <w:rPr>
          <w:color w:val="000000" w:themeColor="text1"/>
        </w:rPr>
        <w:br/>
        <w:t>• Scheduling regular meetings with stakeholder groups including parent stakeholders to review prior SSIP activities, outcomes, and systemic improvements made at both state and local levels during the previous SSIP timeline.</w:t>
      </w:r>
      <w:r w:rsidRPr="00ED172B">
        <w:rPr>
          <w:color w:val="000000" w:themeColor="text1"/>
        </w:rPr>
        <w:br/>
        <w:t>• Implementing a Nominal Group Technique within stakeholder group to identify and reach consensus on activities, timelines, resources and outcomes to update the Theory of Action, Logic Model, and Evaluation plan for the next reporting period.</w:t>
      </w:r>
      <w:r w:rsidRPr="00ED172B">
        <w:rPr>
          <w:color w:val="000000" w:themeColor="text1"/>
        </w:rPr>
        <w:br/>
        <w:t>•</w:t>
      </w:r>
      <w:r w:rsidRPr="00ED172B">
        <w:rPr>
          <w:color w:val="000000" w:themeColor="text1"/>
        </w:rPr>
        <w:tab/>
        <w:t xml:space="preserve">Creating fidelity webinars as a tool to collect data on evidence-based practices being implemented. </w:t>
      </w:r>
      <w:r w:rsidRPr="00ED172B">
        <w:rPr>
          <w:color w:val="000000" w:themeColor="text1"/>
        </w:rPr>
        <w:br/>
      </w:r>
      <w:r w:rsidRPr="00ED172B">
        <w:rPr>
          <w:color w:val="000000" w:themeColor="text1"/>
        </w:rPr>
        <w:br/>
        <w:t>By taking these steps, the State expects the following outcomes:</w:t>
      </w:r>
      <w:r w:rsidRPr="00ED172B">
        <w:rPr>
          <w:color w:val="000000" w:themeColor="text1"/>
        </w:rPr>
        <w:br/>
        <w:t>•</w:t>
      </w:r>
      <w:r w:rsidRPr="00ED172B">
        <w:rPr>
          <w:color w:val="000000" w:themeColor="text1"/>
        </w:rPr>
        <w:tab/>
        <w:t xml:space="preserve">A comprehensive culturally diverse of outreach activities targeted towards families, providers, and community agencies specific to improving social and emotional development for infants and toddlers receiving early intervention services. </w:t>
      </w:r>
      <w:r w:rsidRPr="00ED172B">
        <w:rPr>
          <w:color w:val="000000" w:themeColor="text1"/>
        </w:rPr>
        <w:br/>
        <w:t>•</w:t>
      </w:r>
      <w:r w:rsidRPr="00ED172B">
        <w:rPr>
          <w:color w:val="000000" w:themeColor="text1"/>
        </w:rPr>
        <w:tab/>
        <w:t xml:space="preserve">A measured increase in families’, providers’, and service coordinators’ awareness on the importance and impact of social and emotional development through the distribution of culturally diverse, accessible outreach and educational materials and trainings. </w:t>
      </w:r>
      <w:r w:rsidRPr="00ED172B">
        <w:rPr>
          <w:color w:val="000000" w:themeColor="text1"/>
        </w:rPr>
        <w:br/>
        <w:t>•</w:t>
      </w:r>
      <w:r w:rsidRPr="00ED172B">
        <w:rPr>
          <w:color w:val="000000" w:themeColor="text1"/>
        </w:rPr>
        <w:tab/>
        <w:t xml:space="preserve">Increased professional development opportunities for early intervention specialists to identify and improve equity and gaps in services, cultural humility, and implicit bias that negatively impact service delivery of interventions designed to improve social and emotional outcomes of infants and toddlers receiving early intervention services. </w:t>
      </w:r>
      <w:r w:rsidRPr="00ED172B">
        <w:rPr>
          <w:color w:val="000000" w:themeColor="text1"/>
        </w:rPr>
        <w:br/>
        <w:t>•</w:t>
      </w:r>
      <w:r w:rsidRPr="00ED172B">
        <w:rPr>
          <w:color w:val="000000" w:themeColor="text1"/>
        </w:rPr>
        <w:tab/>
        <w:t xml:space="preserve">Meaningful interagency collaboration measured through initial thresholds that promote and enhance the SSIP activities and efforts at the local level to improve social and emotional outcomes for infants and toddlers receiving early intervention services. </w:t>
      </w:r>
      <w:r w:rsidRPr="00ED172B">
        <w:rPr>
          <w:color w:val="000000" w:themeColor="text1"/>
        </w:rPr>
        <w:br/>
        <w:t>• Increase in providers meeting fidelity thresholds of evidence-based practices that are implemented at the local level.</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Over the next Fiscal year, the State will move forward with the revision of the Theory of Action, Evaluation Plan, and implementation activities to support improvements made to the current SiMR. These components are slated for completion in Spring 2022. While the current Theory of Action strands will remain the same, gathered stakeholder feedback supports designing additional resources for families, providers, and advocacy agencies as well as updating outreach for and recruitment for new activities that are culturally diverse and more inclusive than previous implementation activities. New activities are slated to begin in Summer 2022. Additionally, a fidelity webinar is approved to be distributed in January 2022. Outcomes from this webinar series will provide richer data to inform decisions on what level of technical assistance is needed for program evaluation that may lead to the development of a pilot program designed to help providers to evaluate the effectiveness of their evidence-based programs and capture necessary data for informing decisions at the local level.</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Since originally implementing the State Systemic Improvement Plan, the State has seen a variety of infrastructure changes at the local and state level. At the State level, a comprehensive analysis of the Early Start Reporting system led to the reprogramming and creation of a data dictionary that more accurately defines the 5 progress categories within Child Outcomes. Though this was noted in the 2018 Annual Performance Report under Indicator 3, this change was stimulated by data analysis of SiMR outcomes and resulted in substantial improvements in our SiMR. Furthermore, this system update, led to a redesign of provided technical assistance and system user manuals available to regional centers, resulting in an overall increase in data literacy at the local level. Furthermore, at the local level, the infrastructure changes reported elsewhere during this reporting period have seen consistent growth since implementation with many nearly fully sustained across the regional center system. Additional contract language related to reporting data on State Systemic Improvement Plan activities, trainings, and resource distribution has been written into the Scope of Work for contracts held between the State and individual Family Resource Centers and the Family Resource Center Network of California. The data helps to further inform on implementation efforts related to resource distribution, interagency collaboration, and initiative training opportunities. Since collecting this data, the State has seen a 6-10% increase in these activities among the statewide Family Resource Centers.</w:t>
      </w:r>
      <w:r w:rsidRPr="00ED172B">
        <w:rPr>
          <w:color w:val="000000" w:themeColor="text1"/>
        </w:rPr>
        <w:br/>
      </w:r>
      <w:r w:rsidRPr="00ED172B">
        <w:rPr>
          <w:color w:val="000000" w:themeColor="text1"/>
        </w:rPr>
        <w:br/>
        <w:t>COVID Impact</w:t>
      </w:r>
      <w:r w:rsidRPr="00ED172B">
        <w:rPr>
          <w:color w:val="000000" w:themeColor="text1"/>
        </w:rPr>
        <w:br/>
        <w:t>1. The impact on data completeness, validity and reliability for the indicator.</w:t>
      </w:r>
      <w:r w:rsidRPr="00ED172B">
        <w:rPr>
          <w:color w:val="000000" w:themeColor="text1"/>
        </w:rPr>
        <w:br/>
      </w:r>
      <w:r w:rsidRPr="00ED172B">
        <w:rPr>
          <w:color w:val="000000" w:themeColor="text1"/>
        </w:rPr>
        <w:br/>
        <w:t xml:space="preserve"> 2. An explanation of how COVID-19 specifically impacted the State’s ability to collect the data for the indicator.</w:t>
      </w:r>
      <w:r w:rsidRPr="00ED172B">
        <w:rPr>
          <w:color w:val="000000" w:themeColor="text1"/>
        </w:rPr>
        <w:br/>
        <w:t xml:space="preserve"> </w:t>
      </w:r>
      <w:r w:rsidRPr="00ED172B">
        <w:rPr>
          <w:color w:val="000000" w:themeColor="text1"/>
        </w:rPr>
        <w:br/>
        <w:t>3. Any steps the State took to mitigate the impact of COVID-19 on the data collection.</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lastRenderedPageBreak/>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 xml:space="preserve">OSEP notes that the State provided the descriptions of the numerator and denominator in the narrative, however did not provide the descriptions in the FFY 2020 data table.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The State must provide the required numerator and denominator descriptions within the data table in the FFY 2021 SPP/APR.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Maricris Acon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Deputy Director, Federal Programs Division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maricris.acon@dds.ca.gov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916-654-1954</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5:21:16 PM</w:t>
      </w:r>
    </w:p>
    <w:p w14:paraId="7B3F3D6E" w14:textId="5A796D0E" w:rsidR="00D92A2C" w:rsidRDefault="00D92A2C">
      <w:pPr>
        <w:spacing w:before="0" w:after="200" w:line="276" w:lineRule="auto"/>
        <w:rPr>
          <w:rFonts w:cs="Arial"/>
          <w:b/>
          <w:color w:val="000000" w:themeColor="text1"/>
          <w:szCs w:val="16"/>
        </w:rPr>
      </w:pPr>
      <w:r>
        <w:rPr>
          <w:rFonts w:cs="Arial"/>
          <w:b/>
          <w:color w:val="000000" w:themeColor="text1"/>
          <w:szCs w:val="16"/>
        </w:rPr>
        <w:br w:type="page"/>
      </w:r>
    </w:p>
    <w:p w14:paraId="4C0EBDE4" w14:textId="77777777" w:rsidR="00A862BB" w:rsidRDefault="00A862BB" w:rsidP="00A862BB">
      <w:pPr>
        <w:pStyle w:val="Heading1"/>
        <w:rPr>
          <w:color w:val="000000" w:themeColor="text1"/>
        </w:rPr>
      </w:pPr>
      <w:r>
        <w:rPr>
          <w:color w:val="000000" w:themeColor="text1"/>
        </w:rPr>
        <w:lastRenderedPageBreak/>
        <w:t xml:space="preserve">ED </w:t>
      </w:r>
      <w:bookmarkStart w:id="62" w:name="_Hlk110855903"/>
      <w:r w:rsidRPr="0058648F">
        <w:rPr>
          <w:color w:val="000000" w:themeColor="text1"/>
        </w:rPr>
        <w:t>Attachments</w:t>
      </w:r>
      <w:bookmarkEnd w:id="62"/>
    </w:p>
    <w:p w14:paraId="76D24ABE" w14:textId="34C1637B" w:rsidR="00A862BB" w:rsidRDefault="00A862BB" w:rsidP="00D77E41">
      <w:pPr>
        <w:autoSpaceDE w:val="0"/>
        <w:autoSpaceDN w:val="0"/>
        <w:adjustRightInd w:val="0"/>
        <w:rPr>
          <w:rFonts w:cs="Arial"/>
          <w:b/>
          <w:color w:val="000000" w:themeColor="text1"/>
          <w:szCs w:val="16"/>
        </w:rPr>
      </w:pPr>
    </w:p>
    <w:p w14:paraId="7A123EFF" w14:textId="188154DF" w:rsidR="00A862BB" w:rsidRPr="00ED172B" w:rsidRDefault="00A862BB" w:rsidP="00D77E41">
      <w:pPr>
        <w:autoSpaceDE w:val="0"/>
        <w:autoSpaceDN w:val="0"/>
        <w:adjustRightInd w:val="0"/>
        <w:rPr>
          <w:rFonts w:cs="Arial"/>
          <w:b/>
          <w:color w:val="000000" w:themeColor="text1"/>
          <w:szCs w:val="16"/>
        </w:rPr>
      </w:pPr>
      <w:r>
        <w:rPr>
          <w:rFonts w:cs="Arial"/>
          <w:b/>
          <w:color w:val="000000" w:themeColor="text1"/>
          <w:szCs w:val="16"/>
        </w:rPr>
        <w:object w:dxaOrig="1508" w:dyaOrig="984" w14:anchorId="113D3680">
          <v:shape id="_x0000_i1026" type="#_x0000_t75" alt="CA-C-Dispute-Resolution-2020-21&#10;" style="width:76.05pt;height:48.95pt" o:ole="">
            <v:imagedata r:id="rId14" o:title=""/>
          </v:shape>
          <o:OLEObject Type="Embed" ProgID="Acrobat.Document.DC" ShapeID="_x0000_i1026" DrawAspect="Icon" ObjectID="_1726482171" r:id="rId15"/>
        </w:object>
      </w:r>
      <w:r w:rsidR="00E31376">
        <w:rPr>
          <w:rFonts w:cs="Arial"/>
          <w:b/>
          <w:color w:val="000000" w:themeColor="text1"/>
          <w:szCs w:val="16"/>
        </w:rPr>
        <w:tab/>
      </w:r>
      <w:r w:rsidR="008D0F1D">
        <w:rPr>
          <w:rFonts w:cs="Arial"/>
          <w:b/>
          <w:color w:val="000000" w:themeColor="text1"/>
          <w:szCs w:val="16"/>
        </w:rPr>
        <w:object w:dxaOrig="1579" w:dyaOrig="1022" w14:anchorId="0FA363B1">
          <v:shape id="_x0000_i1032" type="#_x0000_t75" alt="ca-c-resultsmatrix-2022&#10;" style="width:78.9pt;height:51.25pt" o:ole="">
            <v:imagedata r:id="rId16" o:title=""/>
          </v:shape>
          <o:OLEObject Type="Embed" ProgID="Acrobat.Document.DC" ShapeID="_x0000_i1032" DrawAspect="Icon" ObjectID="_1726482172" r:id="rId17"/>
        </w:object>
      </w:r>
      <w:r w:rsidR="00E31376">
        <w:rPr>
          <w:rFonts w:cs="Arial"/>
          <w:b/>
          <w:color w:val="000000" w:themeColor="text1"/>
          <w:szCs w:val="16"/>
        </w:rPr>
        <w:tab/>
      </w:r>
      <w:r w:rsidR="00616B36">
        <w:rPr>
          <w:rFonts w:cs="Arial"/>
          <w:b/>
          <w:color w:val="000000" w:themeColor="text1"/>
          <w:szCs w:val="16"/>
        </w:rPr>
        <w:object w:dxaOrig="1579" w:dyaOrig="1022" w14:anchorId="6318A54C">
          <v:shape id="_x0000_i1030" type="#_x0000_t75" alt="CA-2022DataRubricPartC&#10;" style="width:78.9pt;height:50.7pt" o:ole="">
            <v:imagedata r:id="rId18" o:title=""/>
          </v:shape>
          <o:OLEObject Type="Embed" ProgID="Excel.Sheet.12" ShapeID="_x0000_i1030" DrawAspect="Icon" ObjectID="_1726482173" r:id="rId19"/>
        </w:object>
      </w:r>
    </w:p>
    <w:sectPr w:rsidR="00A862BB"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516A" w14:textId="77777777" w:rsidR="00F628AF" w:rsidRDefault="00F628AF" w:rsidP="000802F7">
      <w:pPr>
        <w:spacing w:before="0" w:after="0"/>
      </w:pPr>
      <w:r>
        <w:separator/>
      </w:r>
    </w:p>
  </w:endnote>
  <w:endnote w:type="continuationSeparator" w:id="0">
    <w:p w14:paraId="4FCC21CF" w14:textId="77777777" w:rsidR="00F628AF" w:rsidRDefault="00F628AF" w:rsidP="000802F7">
      <w:pPr>
        <w:spacing w:before="0" w:after="0"/>
      </w:pPr>
      <w:r>
        <w:continuationSeparator/>
      </w:r>
    </w:p>
  </w:endnote>
  <w:endnote w:type="continuationNotice" w:id="1">
    <w:p w14:paraId="785C360F" w14:textId="77777777" w:rsidR="00F628AF" w:rsidRDefault="00F628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0473" w14:textId="77777777" w:rsidR="00F628AF" w:rsidRDefault="00F628AF" w:rsidP="000802F7">
      <w:pPr>
        <w:spacing w:before="0" w:after="0"/>
      </w:pPr>
      <w:r>
        <w:separator/>
      </w:r>
    </w:p>
  </w:footnote>
  <w:footnote w:type="continuationSeparator" w:id="0">
    <w:p w14:paraId="4C3718D3" w14:textId="77777777" w:rsidR="00F628AF" w:rsidRDefault="00F628AF" w:rsidP="000802F7">
      <w:pPr>
        <w:spacing w:before="0" w:after="0"/>
      </w:pPr>
      <w:r>
        <w:continuationSeparator/>
      </w:r>
    </w:p>
  </w:footnote>
  <w:footnote w:type="continuationNotice" w:id="1">
    <w:p w14:paraId="7E7BD5AD" w14:textId="77777777" w:rsidR="00F628AF" w:rsidRDefault="00F628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5955"/>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4A"/>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2E27"/>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6B36"/>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0F1D"/>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2BB"/>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2A2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37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28AF"/>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5BA45954-FB62-4E4B-B64C-A6231E02B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purl.org/dc/dcmitype/"/>
    <ds:schemaRef ds:uri="http://schemas.microsoft.com/office/infopath/2007/PartnerControls"/>
    <ds:schemaRef ds:uri="http://purl.org/dc/terms/"/>
    <ds:schemaRef ds:uri="89bf3613-0818-48da-aadf-73420b6d0357"/>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36464</Words>
  <Characters>207846</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2022-08-10T16:47:00Z</dcterms:created>
  <dcterms:modified xsi:type="dcterms:W3CDTF">2022-10-05T17:34:00Z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d47cd577-9e64-480b-9792-1e2afe3ad53f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