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California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0C24C2" w:rsidP="00AF5649">
      <w:pPr>
        <w:rPr>
          <w:rFonts w:cs="Arial"/>
          <w:color w:val="000000" w:themeColor="text1"/>
          <w:szCs w:val="16"/>
        </w:rPr>
      </w:pP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1,676</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Please see attachment</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Please see attachment</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Please see attachment</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Please see attachment</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r w:rsidRPr="005C29F8">
        <w:rPr>
          <w:rFonts w:cs="Arial"/>
          <w:color w:val="000000" w:themeColor="text1"/>
          <w:szCs w:val="16"/>
        </w:rPr>
        <w:br/>
      </w:r>
      <w:r w:rsidRPr="005C29F8">
        <w:rPr>
          <w:rFonts w:cs="Arial"/>
          <w:color w:val="000000" w:themeColor="text1"/>
          <w:szCs w:val="16"/>
        </w:rPr>
        <w:br/>
        <w:t xml:space="preserve">The State’s IDEA Part B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The State must report, with its FFY 2019 SPP/APR submission, due February 1, 2021, on: (1) the technical assistance sources from which the State received assistance; and (2) the actions the State took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that technical assistance. </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 xml:space="preserve">The State's determinations for both 2019 and 2020 were Needs Assistance.  Pursuant to section 616(e)(1) of the IDEA and 34 C.F.R. § 300.604(a), OSEP's June 25, </w:t>
      </w:r>
      <w:proofErr w:type="gramStart"/>
      <w:r w:rsidRPr="005C29F8">
        <w:rPr>
          <w:rFonts w:cs="Arial"/>
          <w:color w:val="000000" w:themeColor="text1"/>
          <w:szCs w:val="16"/>
        </w:rPr>
        <w:t>2020</w:t>
      </w:r>
      <w:proofErr w:type="gramEnd"/>
      <w:r w:rsidRPr="005C29F8">
        <w:rPr>
          <w:rFonts w:cs="Arial"/>
          <w:color w:val="000000" w:themeColor="text1"/>
          <w:szCs w:val="16"/>
        </w:rPr>
        <w:t xml:space="preserve">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5C29F8">
        <w:rPr>
          <w:rFonts w:cs="Arial"/>
          <w:color w:val="000000" w:themeColor="text1"/>
          <w:szCs w:val="16"/>
        </w:rPr>
        <w:br/>
      </w:r>
      <w:r w:rsidRPr="005C29F8">
        <w:rPr>
          <w:rFonts w:cs="Arial"/>
          <w:color w:val="000000" w:themeColor="text1"/>
          <w:szCs w:val="16"/>
        </w:rPr>
        <w:br/>
        <w:t xml:space="preserve">The Department has imposed Specific Conditions on the State's IDEA Part B grant award each year from FFY 1997 through FFY 2020 related to the provision of special education and related services to eligible youth with disabilities in adult </w:t>
      </w:r>
      <w:proofErr w:type="gramStart"/>
      <w:r w:rsidRPr="005C29F8">
        <w:rPr>
          <w:rFonts w:cs="Arial"/>
          <w:color w:val="000000" w:themeColor="text1"/>
          <w:szCs w:val="16"/>
        </w:rPr>
        <w:t>correctional facilities</w:t>
      </w:r>
      <w:proofErr w:type="gramEnd"/>
      <w:r w:rsidRPr="005C29F8">
        <w:rPr>
          <w:rFonts w:cs="Arial"/>
          <w:color w:val="000000" w:themeColor="text1"/>
          <w:szCs w:val="16"/>
        </w:rPr>
        <w:t>.</w:t>
      </w:r>
    </w:p>
    <w:p w14:paraId="53B509C2" w14:textId="7458BB00" w:rsidR="00CE6EB0" w:rsidRPr="0033429D" w:rsidRDefault="00684B51" w:rsidP="008645AD">
      <w:pPr>
        <w:pStyle w:val="Heading2"/>
      </w:pPr>
      <w:r w:rsidRPr="0033429D">
        <w:t>Intro - Required Actions</w:t>
      </w:r>
    </w:p>
    <w:p w14:paraId="4593FA49" w14:textId="4383EA94" w:rsidR="000C24C2" w:rsidRDefault="002B7490" w:rsidP="001F692C">
      <w:pPr>
        <w:rPr>
          <w:rFonts w:cs="Arial"/>
          <w:color w:val="000000" w:themeColor="text1"/>
          <w:szCs w:val="16"/>
        </w:rPr>
      </w:pPr>
      <w:r w:rsidRPr="005C29F8">
        <w:rPr>
          <w:rFonts w:cs="Arial"/>
          <w:color w:val="000000" w:themeColor="text1"/>
          <w:szCs w:val="16"/>
        </w:rPr>
        <w:t xml:space="preserve">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The State must report, with its FFY 2020 SPP/APR submission, due February 1, 2022, on: (1) the technical assistance sources from which the State received assistance; and (2) the actions the State took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that technical assistance.</w:t>
      </w:r>
    </w:p>
    <w:p w14:paraId="46EEC299" w14:textId="7ED1B950" w:rsidR="00A671C6" w:rsidRDefault="00A671C6" w:rsidP="00A671C6">
      <w:pPr>
        <w:pStyle w:val="Heading2"/>
      </w:pPr>
      <w:r w:rsidRPr="0033429D">
        <w:t xml:space="preserve">Intro </w:t>
      </w:r>
      <w:r>
        <w:t>– State Attachments</w:t>
      </w:r>
    </w:p>
    <w:p w14:paraId="4EBF2813" w14:textId="16713E0B" w:rsidR="00A671C6" w:rsidRDefault="00A671C6" w:rsidP="00A671C6"/>
    <w:p w14:paraId="1165D702" w14:textId="7C962FA4" w:rsidR="00A671C6" w:rsidRPr="00A671C6" w:rsidRDefault="00160965" w:rsidP="00A671C6">
      <w:r>
        <w:object w:dxaOrig="1508" w:dyaOrig="983" w14:anchorId="4AC1E6FC">
          <v:shape id="_x0000_i1026" type="#_x0000_t75" alt="FFY19Introduction " style="width:75.75pt;height:48.7pt" o:ole="">
            <v:imagedata r:id="rId12" o:title=""/>
          </v:shape>
          <o:OLEObject Type="Embed" ProgID="Acrobat.Document.DC" ShapeID="_x0000_i1026" DrawAspect="Icon" ObjectID="_1689081951" r:id="rId13"/>
        </w:object>
      </w:r>
    </w:p>
    <w:p w14:paraId="53753F97" w14:textId="77777777" w:rsidR="00402586" w:rsidRPr="005C29F8" w:rsidRDefault="00402586"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 xml:space="preserve">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w:t>
      </w:r>
      <w:proofErr w:type="gramStart"/>
      <w:r w:rsidRPr="005C29F8">
        <w:rPr>
          <w:rFonts w:cs="Arial"/>
          <w:color w:val="000000" w:themeColor="text1"/>
          <w:szCs w:val="16"/>
        </w:rPr>
        <w:t>extended-year</w:t>
      </w:r>
      <w:proofErr w:type="gramEnd"/>
      <w:r w:rsidRPr="005C29F8">
        <w:rPr>
          <w:rFonts w:cs="Arial"/>
          <w:color w:val="000000" w:themeColor="text1"/>
          <w:szCs w:val="16"/>
        </w:rPr>
        <w:t xml:space="preserve">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2012</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61.10%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62.00%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65.00%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65.52%</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65.01%</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66.30%</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90.00%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w:t>
      </w:r>
      <w:r w:rsidRPr="005C29F8">
        <w:rPr>
          <w:rFonts w:cs="Arial"/>
          <w:color w:val="000000" w:themeColor="text1"/>
          <w:szCs w:val="16"/>
        </w:rPr>
        <w:lastRenderedPageBreak/>
        <w:t xml:space="preserve">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5ADC6BC4" w:rsidR="00866B4D" w:rsidRPr="005C29F8" w:rsidRDefault="007530A5" w:rsidP="00A018D4">
            <w:pPr>
              <w:jc w:val="center"/>
              <w:rPr>
                <w:rFonts w:cs="Arial"/>
                <w:color w:val="000000" w:themeColor="text1"/>
                <w:szCs w:val="16"/>
              </w:rPr>
            </w:pPr>
            <w:r>
              <w:rPr>
                <w:rFonts w:cs="Arial"/>
                <w:color w:val="000000" w:themeColor="text1"/>
                <w:szCs w:val="16"/>
              </w:rPr>
              <w:t>*</w:t>
            </w:r>
            <w:bookmarkStart w:id="3" w:name="_Ref78281150"/>
            <w:r w:rsidR="00DE1E3C">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58,104</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4DE73F8B" w:rsidR="00866B4D" w:rsidRPr="005C29F8" w:rsidRDefault="002B7490" w:rsidP="00A018D4">
            <w:pPr>
              <w:jc w:val="center"/>
              <w:rPr>
                <w:rFonts w:cs="Arial"/>
                <w:color w:val="000000" w:themeColor="text1"/>
              </w:rPr>
            </w:pPr>
            <w:r w:rsidRPr="63C18953">
              <w:rPr>
                <w:rFonts w:cs="Arial"/>
                <w:color w:val="000000" w:themeColor="text1"/>
              </w:rPr>
              <w:t>67.7%</w:t>
            </w:r>
            <w:bookmarkStart w:id="4" w:name="_Ref78281157"/>
            <w:r w:rsidR="003050AA" w:rsidRPr="63C18953">
              <w:rPr>
                <w:rStyle w:val="FootnoteReference"/>
                <w:rFonts w:cs="Arial"/>
                <w:color w:val="000000" w:themeColor="text1"/>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D852946" w:rsidR="0098478C" w:rsidRPr="005C29F8" w:rsidRDefault="007530A5" w:rsidP="00A018D4">
            <w:pPr>
              <w:jc w:val="center"/>
              <w:rPr>
                <w:rFonts w:cs="Arial"/>
                <w:color w:val="000000" w:themeColor="text1"/>
                <w:szCs w:val="16"/>
              </w:rPr>
            </w:pPr>
            <w:r>
              <w:rPr>
                <w:rFonts w:cs="Arial"/>
                <w:color w:val="000000" w:themeColor="text1"/>
                <w:szCs w:val="16"/>
              </w:rPr>
              <w:t>*</w:t>
            </w:r>
            <w:r w:rsidR="003050AA" w:rsidRPr="003050AA">
              <w:rPr>
                <w:rFonts w:cs="Arial"/>
                <w:color w:val="000000" w:themeColor="text1"/>
                <w:szCs w:val="16"/>
                <w:vertAlign w:val="superscript"/>
              </w:rPr>
              <w:fldChar w:fldCharType="begin"/>
            </w:r>
            <w:r w:rsidR="003050AA" w:rsidRPr="003050AA">
              <w:rPr>
                <w:rFonts w:cs="Arial"/>
                <w:color w:val="000000" w:themeColor="text1"/>
                <w:szCs w:val="16"/>
                <w:vertAlign w:val="superscript"/>
              </w:rPr>
              <w:instrText xml:space="preserve"> NOTEREF _Ref78281150 \h </w:instrText>
            </w:r>
            <w:r w:rsidR="003050AA">
              <w:rPr>
                <w:rFonts w:cs="Arial"/>
                <w:color w:val="000000" w:themeColor="text1"/>
                <w:szCs w:val="16"/>
                <w:vertAlign w:val="superscript"/>
              </w:rPr>
              <w:instrText xml:space="preserve"> \* MERGEFORMAT </w:instrText>
            </w:r>
            <w:r w:rsidR="003050AA" w:rsidRPr="003050AA">
              <w:rPr>
                <w:rFonts w:cs="Arial"/>
                <w:color w:val="000000" w:themeColor="text1"/>
                <w:szCs w:val="16"/>
                <w:vertAlign w:val="superscript"/>
              </w:rPr>
            </w:r>
            <w:r w:rsidR="003050AA" w:rsidRPr="003050AA">
              <w:rPr>
                <w:rFonts w:cs="Arial"/>
                <w:color w:val="000000" w:themeColor="text1"/>
                <w:szCs w:val="16"/>
                <w:vertAlign w:val="superscript"/>
              </w:rPr>
              <w:fldChar w:fldCharType="separate"/>
            </w:r>
            <w:r w:rsidR="003050AA" w:rsidRPr="003050AA">
              <w:rPr>
                <w:rFonts w:cs="Arial"/>
                <w:color w:val="000000" w:themeColor="text1"/>
                <w:szCs w:val="16"/>
                <w:vertAlign w:val="superscript"/>
              </w:rPr>
              <w:t>1</w:t>
            </w:r>
            <w:r w:rsidR="003050AA" w:rsidRPr="003050AA">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58,104</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66.30%</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633" w:type="pct"/>
            <w:shd w:val="clear" w:color="auto" w:fill="auto"/>
          </w:tcPr>
          <w:p w14:paraId="4A53AF2D" w14:textId="588D549F" w:rsidR="0098478C" w:rsidRPr="005C29F8" w:rsidRDefault="002B7490" w:rsidP="00A018D4">
            <w:pPr>
              <w:jc w:val="center"/>
              <w:rPr>
                <w:rFonts w:cs="Arial"/>
                <w:color w:val="000000" w:themeColor="text1"/>
              </w:rPr>
            </w:pPr>
            <w:r w:rsidRPr="63C18953">
              <w:rPr>
                <w:rFonts w:cs="Arial"/>
                <w:color w:val="000000" w:themeColor="text1"/>
              </w:rPr>
              <w:t>67.7%</w:t>
            </w:r>
            <w:r w:rsidR="003050AA" w:rsidRPr="63C18953">
              <w:rPr>
                <w:rFonts w:cs="Arial"/>
                <w:color w:val="000000" w:themeColor="text1"/>
                <w:vertAlign w:val="superscript"/>
              </w:rPr>
              <w:fldChar w:fldCharType="begin"/>
            </w:r>
            <w:r w:rsidR="003050AA" w:rsidRPr="63C18953">
              <w:rPr>
                <w:rFonts w:cs="Arial"/>
                <w:color w:val="000000" w:themeColor="text1"/>
                <w:vertAlign w:val="superscript"/>
              </w:rPr>
              <w:instrText xml:space="preserve"> NOTEREF _Ref78281157 \h  \* MERGEFORMAT </w:instrText>
            </w:r>
            <w:r w:rsidR="003050AA" w:rsidRPr="63C18953">
              <w:rPr>
                <w:rFonts w:cs="Arial"/>
                <w:color w:val="000000" w:themeColor="text1"/>
                <w:vertAlign w:val="superscript"/>
              </w:rPr>
            </w:r>
            <w:r w:rsidR="003050AA" w:rsidRPr="63C18953">
              <w:rPr>
                <w:rFonts w:cs="Arial"/>
                <w:color w:val="000000" w:themeColor="text1"/>
                <w:vertAlign w:val="superscript"/>
              </w:rPr>
              <w:fldChar w:fldCharType="separate"/>
            </w:r>
            <w:r w:rsidR="003050AA" w:rsidRPr="63C18953">
              <w:rPr>
                <w:rFonts w:cs="Arial"/>
                <w:color w:val="000000" w:themeColor="text1"/>
                <w:vertAlign w:val="superscript"/>
              </w:rPr>
              <w:t>2</w:t>
            </w:r>
            <w:r w:rsidR="003050AA" w:rsidRPr="63C18953">
              <w:rPr>
                <w:rFonts w:cs="Arial"/>
                <w:color w:val="000000" w:themeColor="text1"/>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The graduation requirements are the same for both students with and without disabilities. The state of California according to Education Code (</w:t>
      </w:r>
      <w:proofErr w:type="gramStart"/>
      <w:r w:rsidRPr="005C29F8">
        <w:rPr>
          <w:rFonts w:cs="Arial"/>
          <w:color w:val="000000" w:themeColor="text1"/>
          <w:szCs w:val="16"/>
        </w:rPr>
        <w:t>EC)  51225.3</w:t>
      </w:r>
      <w:proofErr w:type="gramEnd"/>
      <w:r w:rsidRPr="005C29F8">
        <w:rPr>
          <w:rFonts w:cs="Arial"/>
          <w:color w:val="000000" w:themeColor="text1"/>
          <w:szCs w:val="16"/>
        </w:rPr>
        <w:t xml:space="preserve"> has specified a minimum set of courses to meet state requirements to graduate from high school and receive a diploma. The governing boards of local education agencies have the authority to supplement the state minimum requirements at the local level. EC 51225.3 states that all pupils receiving a diploma of graduation from a California high school must have completed all of the following courses, while in grades nine to twelve, inclusive: </w:t>
      </w:r>
      <w:r w:rsidRPr="005C29F8">
        <w:rPr>
          <w:rFonts w:cs="Arial"/>
          <w:color w:val="000000" w:themeColor="text1"/>
          <w:szCs w:val="16"/>
        </w:rPr>
        <w:br/>
        <w:t>- Three courses in English</w:t>
      </w:r>
      <w:r w:rsidRPr="005C29F8">
        <w:rPr>
          <w:rFonts w:cs="Arial"/>
          <w:color w:val="000000" w:themeColor="text1"/>
          <w:szCs w:val="16"/>
        </w:rPr>
        <w:br/>
        <w:t>-Two courses in mathematics, including one year of Algebra I (EC 51224.5)</w:t>
      </w:r>
      <w:r w:rsidRPr="005C29F8">
        <w:rPr>
          <w:rFonts w:cs="Arial"/>
          <w:color w:val="000000" w:themeColor="text1"/>
          <w:szCs w:val="16"/>
        </w:rPr>
        <w:br/>
        <w:t>-Two courses in science, including biology and physical sciences</w:t>
      </w:r>
      <w:r w:rsidRPr="005C29F8">
        <w:rPr>
          <w:rFonts w:cs="Arial"/>
          <w:color w:val="000000" w:themeColor="text1"/>
          <w:szCs w:val="16"/>
        </w:rPr>
        <w:br/>
        <w:t>-Three courses in social studies, including United States history and geography; world history, culture, and geography; a one-semester course in American government and civics, and a one-semester course in economics</w:t>
      </w:r>
      <w:r w:rsidRPr="005C29F8">
        <w:rPr>
          <w:rFonts w:cs="Arial"/>
          <w:color w:val="000000" w:themeColor="text1"/>
          <w:szCs w:val="16"/>
        </w:rPr>
        <w:br/>
        <w:t>-One course in visual or performing arts, foreign language, or career technical education</w:t>
      </w:r>
      <w:r w:rsidRPr="005C29F8">
        <w:rPr>
          <w:rFonts w:cs="Arial"/>
          <w:color w:val="000000" w:themeColor="text1"/>
          <w:szCs w:val="16"/>
        </w:rPr>
        <w:br/>
        <w:t>-Two courses in physical education, unless the pupil has been exempted pursuant to the provisions of EC 51241</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lastRenderedPageBreak/>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2013</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15.72%</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14.72%</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13.72%</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12.72%</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11.72%</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10.72%</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17.52%</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14.46%</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13.76%</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11.36%</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11.24%</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9.72%</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w:t>
      </w:r>
      <w:r w:rsidRPr="005C29F8">
        <w:rPr>
          <w:rFonts w:cs="Arial"/>
          <w:color w:val="000000" w:themeColor="text1"/>
          <w:szCs w:val="16"/>
        </w:rPr>
        <w:lastRenderedPageBreak/>
        <w:t>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1</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29,926</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2,654</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1,355</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6,214</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168</w:t>
            </w:r>
          </w:p>
        </w:tc>
      </w:tr>
    </w:tbl>
    <w:p w14:paraId="7CE42756" w14:textId="445D9372" w:rsidR="00654A4B" w:rsidRPr="005C29F8" w:rsidRDefault="00654A4B" w:rsidP="004369B2">
      <w:pPr>
        <w:rPr>
          <w:color w:val="000000" w:themeColor="text1"/>
        </w:rPr>
      </w:pPr>
    </w:p>
    <w:p w14:paraId="4463AFB2" w14:textId="5C9B4DBE" w:rsidR="00C96339" w:rsidRPr="005C29F8" w:rsidRDefault="00C96339" w:rsidP="004369B2">
      <w:pPr>
        <w:rPr>
          <w:color w:val="000000" w:themeColor="text1"/>
        </w:rPr>
      </w:pPr>
      <w:r w:rsidRPr="005C29F8">
        <w:rPr>
          <w:b/>
          <w:color w:val="000000" w:themeColor="text1"/>
        </w:rPr>
        <w:t xml:space="preserve">FFY 2019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5C29F8" w14:paraId="5C4D1C2F" w14:textId="77777777" w:rsidTr="004D0044">
        <w:trPr>
          <w:trHeight w:val="359"/>
          <w:tblHeader/>
        </w:trPr>
        <w:tc>
          <w:tcPr>
            <w:tcW w:w="708" w:type="pct"/>
            <w:shd w:val="clear" w:color="auto" w:fill="auto"/>
            <w:vAlign w:val="bottom"/>
          </w:tcPr>
          <w:p w14:paraId="3F5808F2"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who exited special education due to dropping out</w:t>
            </w:r>
          </w:p>
        </w:tc>
        <w:tc>
          <w:tcPr>
            <w:tcW w:w="698" w:type="pct"/>
            <w:shd w:val="clear" w:color="auto" w:fill="auto"/>
            <w:vAlign w:val="bottom"/>
          </w:tcPr>
          <w:p w14:paraId="2F5BF81E" w14:textId="77777777" w:rsidR="00C96339" w:rsidRPr="005C29F8" w:rsidRDefault="00C96339" w:rsidP="00212954">
            <w:pPr>
              <w:jc w:val="center"/>
              <w:rPr>
                <w:rFonts w:cs="Arial"/>
                <w:color w:val="000000" w:themeColor="text1"/>
                <w:szCs w:val="16"/>
              </w:rPr>
            </w:pPr>
            <w:r w:rsidRPr="005C29F8">
              <w:rPr>
                <w:rFonts w:cs="Arial"/>
                <w:b/>
                <w:color w:val="000000" w:themeColor="text1"/>
                <w:szCs w:val="16"/>
              </w:rPr>
              <w:t>Total number of High School Students with IEPs by Cohort</w:t>
            </w:r>
          </w:p>
        </w:tc>
        <w:tc>
          <w:tcPr>
            <w:tcW w:w="633" w:type="pct"/>
            <w:shd w:val="clear" w:color="auto" w:fill="auto"/>
            <w:vAlign w:val="bottom"/>
          </w:tcPr>
          <w:p w14:paraId="764A6652" w14:textId="4D0256A7" w:rsidR="00C96339" w:rsidRPr="005C29F8" w:rsidRDefault="002602A9" w:rsidP="00212954">
            <w:pPr>
              <w:jc w:val="center"/>
              <w:rPr>
                <w:rFonts w:cs="Arial"/>
                <w:b/>
                <w:color w:val="000000" w:themeColor="text1"/>
                <w:szCs w:val="16"/>
              </w:rPr>
            </w:pPr>
            <w:r w:rsidRPr="005C29F8">
              <w:rPr>
                <w:rFonts w:cs="Arial"/>
                <w:b/>
                <w:color w:val="000000" w:themeColor="text1"/>
                <w:szCs w:val="16"/>
              </w:rPr>
              <w:t>FFY 2018 Data</w:t>
            </w:r>
          </w:p>
        </w:tc>
        <w:tc>
          <w:tcPr>
            <w:tcW w:w="967" w:type="pct"/>
            <w:shd w:val="clear" w:color="auto" w:fill="auto"/>
            <w:vAlign w:val="bottom"/>
          </w:tcPr>
          <w:p w14:paraId="1F444650" w14:textId="6DC31C5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Target</w:t>
            </w:r>
          </w:p>
        </w:tc>
        <w:tc>
          <w:tcPr>
            <w:tcW w:w="569" w:type="pct"/>
            <w:shd w:val="clear" w:color="auto" w:fill="auto"/>
            <w:vAlign w:val="bottom"/>
          </w:tcPr>
          <w:p w14:paraId="194A1B8B" w14:textId="7122D6A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Data</w:t>
            </w:r>
          </w:p>
        </w:tc>
        <w:tc>
          <w:tcPr>
            <w:tcW w:w="724" w:type="pct"/>
            <w:shd w:val="clear" w:color="auto" w:fill="auto"/>
            <w:vAlign w:val="bottom"/>
          </w:tcPr>
          <w:p w14:paraId="4B0F6AF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Status</w:t>
            </w:r>
          </w:p>
        </w:tc>
        <w:tc>
          <w:tcPr>
            <w:tcW w:w="701" w:type="pct"/>
            <w:shd w:val="clear" w:color="auto" w:fill="auto"/>
            <w:vAlign w:val="bottom"/>
          </w:tcPr>
          <w:p w14:paraId="2987DD9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Slippage</w:t>
            </w:r>
          </w:p>
        </w:tc>
      </w:tr>
      <w:tr w:rsidR="005C29F8" w:rsidRPr="005C29F8" w14:paraId="2928907F" w14:textId="77777777" w:rsidTr="004D0044">
        <w:trPr>
          <w:trHeight w:val="366"/>
        </w:trPr>
        <w:tc>
          <w:tcPr>
            <w:tcW w:w="708" w:type="pct"/>
            <w:shd w:val="clear" w:color="auto" w:fill="auto"/>
            <w:vAlign w:val="center"/>
          </w:tcPr>
          <w:p w14:paraId="153F1C9B" w14:textId="5227014D" w:rsidR="00C96339" w:rsidRPr="005C29F8" w:rsidRDefault="002B7490" w:rsidP="00A018D4">
            <w:pPr>
              <w:jc w:val="center"/>
              <w:rPr>
                <w:rFonts w:cs="Arial"/>
                <w:color w:val="000000" w:themeColor="text1"/>
                <w:szCs w:val="16"/>
              </w:rPr>
            </w:pPr>
            <w:r w:rsidRPr="005C29F8">
              <w:rPr>
                <w:rFonts w:cs="Arial"/>
                <w:color w:val="000000" w:themeColor="text1"/>
                <w:szCs w:val="16"/>
              </w:rPr>
              <w:t>6,214</w:t>
            </w:r>
          </w:p>
        </w:tc>
        <w:tc>
          <w:tcPr>
            <w:tcW w:w="698" w:type="pct"/>
            <w:shd w:val="clear" w:color="auto" w:fill="auto"/>
            <w:vAlign w:val="center"/>
          </w:tcPr>
          <w:p w14:paraId="31391E82" w14:textId="0E0F2A0A" w:rsidR="00C96339" w:rsidRPr="005C29F8" w:rsidRDefault="002B7490" w:rsidP="00A018D4">
            <w:pPr>
              <w:jc w:val="center"/>
              <w:rPr>
                <w:rFonts w:cs="Arial"/>
                <w:color w:val="000000" w:themeColor="text1"/>
                <w:szCs w:val="16"/>
              </w:rPr>
            </w:pPr>
            <w:r w:rsidRPr="005C29F8">
              <w:rPr>
                <w:rFonts w:cs="Arial"/>
                <w:color w:val="000000" w:themeColor="text1"/>
                <w:szCs w:val="16"/>
              </w:rPr>
              <w:t>40,317</w:t>
            </w:r>
          </w:p>
        </w:tc>
        <w:tc>
          <w:tcPr>
            <w:tcW w:w="633" w:type="pct"/>
            <w:shd w:val="clear" w:color="auto" w:fill="auto"/>
          </w:tcPr>
          <w:p w14:paraId="77541D8A" w14:textId="254EC6F2" w:rsidR="00C96339" w:rsidRPr="005C29F8" w:rsidRDefault="002B7490" w:rsidP="00A018D4">
            <w:pPr>
              <w:jc w:val="center"/>
              <w:rPr>
                <w:rFonts w:cs="Arial"/>
                <w:color w:val="000000" w:themeColor="text1"/>
                <w:szCs w:val="16"/>
              </w:rPr>
            </w:pPr>
            <w:r w:rsidRPr="005C29F8">
              <w:rPr>
                <w:rFonts w:cs="Arial"/>
                <w:color w:val="000000" w:themeColor="text1"/>
                <w:szCs w:val="16"/>
              </w:rPr>
              <w:t>11.24%</w:t>
            </w:r>
          </w:p>
        </w:tc>
        <w:tc>
          <w:tcPr>
            <w:tcW w:w="967" w:type="pct"/>
            <w:shd w:val="clear" w:color="auto" w:fill="auto"/>
          </w:tcPr>
          <w:p w14:paraId="70FE3FCD" w14:textId="1A7F9FE0" w:rsidR="00C96339" w:rsidRPr="005C29F8" w:rsidRDefault="002B7490" w:rsidP="00A018D4">
            <w:pPr>
              <w:jc w:val="center"/>
              <w:rPr>
                <w:rFonts w:cs="Arial"/>
                <w:color w:val="000000" w:themeColor="text1"/>
                <w:szCs w:val="16"/>
              </w:rPr>
            </w:pPr>
            <w:r w:rsidRPr="005C29F8">
              <w:rPr>
                <w:rFonts w:cs="Arial"/>
                <w:color w:val="000000" w:themeColor="text1"/>
                <w:szCs w:val="16"/>
              </w:rPr>
              <w:t>9.72%</w:t>
            </w:r>
          </w:p>
        </w:tc>
        <w:tc>
          <w:tcPr>
            <w:tcW w:w="569" w:type="pct"/>
            <w:shd w:val="clear" w:color="auto" w:fill="auto"/>
          </w:tcPr>
          <w:p w14:paraId="64E2814C" w14:textId="135DB5EE" w:rsidR="00C96339" w:rsidRPr="005C29F8" w:rsidRDefault="002B7490" w:rsidP="00A018D4">
            <w:pPr>
              <w:jc w:val="center"/>
              <w:rPr>
                <w:rFonts w:cs="Arial"/>
                <w:color w:val="000000" w:themeColor="text1"/>
                <w:szCs w:val="16"/>
              </w:rPr>
            </w:pPr>
            <w:r w:rsidRPr="005C29F8">
              <w:rPr>
                <w:rFonts w:cs="Arial"/>
                <w:color w:val="000000" w:themeColor="text1"/>
                <w:szCs w:val="16"/>
              </w:rPr>
              <w:t>15.41%</w:t>
            </w:r>
          </w:p>
        </w:tc>
        <w:tc>
          <w:tcPr>
            <w:tcW w:w="724" w:type="pct"/>
            <w:shd w:val="clear" w:color="auto" w:fill="auto"/>
          </w:tcPr>
          <w:p w14:paraId="60873B1E" w14:textId="3A0A0AC5" w:rsidR="00C96339"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1" w:type="pct"/>
            <w:shd w:val="clear" w:color="auto" w:fill="auto"/>
          </w:tcPr>
          <w:p w14:paraId="3EF3C710" w14:textId="04969BC1" w:rsidR="00C96339"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The CDE is concerned with the increased number of students dropping out and identified </w:t>
      </w:r>
      <w:proofErr w:type="gramStart"/>
      <w:r w:rsidRPr="005C29F8">
        <w:rPr>
          <w:rFonts w:cs="Arial"/>
          <w:color w:val="000000" w:themeColor="text1"/>
          <w:szCs w:val="16"/>
          <w:shd w:val="clear" w:color="auto" w:fill="FFFFFF"/>
        </w:rPr>
        <w:t>a number of</w:t>
      </w:r>
      <w:proofErr w:type="gramEnd"/>
      <w:r w:rsidRPr="005C29F8">
        <w:rPr>
          <w:rFonts w:cs="Arial"/>
          <w:color w:val="000000" w:themeColor="text1"/>
          <w:szCs w:val="16"/>
          <w:shd w:val="clear" w:color="auto" w:fill="FFFFFF"/>
        </w:rPr>
        <w:t xml:space="preserve"> LEAs for which the dropout rate increased.  As a result, these LEAs were required to identify the root cause of the issue and develop a plan to reduce dropout rates over time. </w:t>
      </w:r>
      <w:proofErr w:type="gramStart"/>
      <w:r w:rsidRPr="005C29F8">
        <w:rPr>
          <w:rFonts w:cs="Arial"/>
          <w:color w:val="000000" w:themeColor="text1"/>
          <w:szCs w:val="16"/>
          <w:shd w:val="clear" w:color="auto" w:fill="FFFFFF"/>
        </w:rPr>
        <w:t>Overall</w:t>
      </w:r>
      <w:proofErr w:type="gramEnd"/>
      <w:r w:rsidRPr="005C29F8">
        <w:rPr>
          <w:rFonts w:cs="Arial"/>
          <w:color w:val="000000" w:themeColor="text1"/>
          <w:szCs w:val="16"/>
          <w:shd w:val="clear" w:color="auto" w:fill="FFFFFF"/>
        </w:rPr>
        <w:t xml:space="preserve"> the root causes </w:t>
      </w:r>
      <w:r w:rsidRPr="005C29F8">
        <w:rPr>
          <w:rFonts w:cs="Arial"/>
          <w:color w:val="000000" w:themeColor="text1"/>
          <w:szCs w:val="16"/>
          <w:shd w:val="clear" w:color="auto" w:fill="FFFFFF"/>
        </w:rPr>
        <w:lastRenderedPageBreak/>
        <w:t xml:space="preserve">were varied across LEAs but included the lack of dropout mitigation strategies, implementation of a credit recovery process and the movement of students to county office continuation programs. California is working with each of those LEAs to improve the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rates. </w:t>
      </w: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Students are considered dropouts if they were enrolled at the start of the reporting period but were not enrolled at the end of the reporting period and did not exit special education through any of the other means. This includes runaways, GED recipients, expulsions, status unknown, students who moved but are not known to be continuing in another educational program, and other </w:t>
      </w:r>
      <w:proofErr w:type="spellStart"/>
      <w:r w:rsidRPr="005C29F8">
        <w:rPr>
          <w:rFonts w:cs="Arial"/>
          <w:color w:val="000000" w:themeColor="text1"/>
          <w:szCs w:val="16"/>
          <w:shd w:val="clear" w:color="auto" w:fill="FFFFFF"/>
        </w:rPr>
        <w:t>exiters</w:t>
      </w:r>
      <w:proofErr w:type="spellEnd"/>
      <w:r w:rsidRPr="005C29F8">
        <w:rPr>
          <w:rFonts w:cs="Arial"/>
          <w:color w:val="000000" w:themeColor="text1"/>
          <w:szCs w:val="16"/>
          <w:shd w:val="clear" w:color="auto" w:fill="FFFFFF"/>
        </w:rPr>
        <w:t xml:space="preserve"> from special education.</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96.50%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98.38%</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93.40%</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95.07%</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94.18%</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95.07%</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96.40%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98.50%</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94.60%</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94.72%</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93.80%</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94.74%</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w:t>
      </w:r>
      <w:r w:rsidRPr="005C29F8">
        <w:rPr>
          <w:rFonts w:cs="Arial"/>
          <w:color w:val="000000" w:themeColor="text1"/>
          <w:szCs w:val="16"/>
        </w:rPr>
        <w:lastRenderedPageBreak/>
        <w:t>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lastRenderedPageBreak/>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95.07%</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94.74%</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https://www.cde.ca.gov/ta/tg/ca/resourceassignments.asp</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https://caaspp-elpac.cde.ca.gov/caaspp/</w:t>
      </w: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 xml:space="preserve">Statewide assessments were waived for the 2019-20 school year due to Covid-19. </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12.90%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13.90%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14.90%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15.90%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4427EB" w:rsidP="00A018D4">
            <w:pPr>
              <w:jc w:val="center"/>
              <w:rPr>
                <w:rFonts w:cs="Arial"/>
                <w:color w:val="000000" w:themeColor="text1"/>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11.75%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13.09%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15.75%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14.83%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16.99%</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2015</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10.60%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11.60%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12.60%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13.60%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9F5EEA">
            <w:pPr>
              <w:spacing w:before="0" w:after="0"/>
              <w:jc w:val="center"/>
              <w:rPr>
                <w:rFonts w:cs="Arial"/>
                <w:color w:val="000000" w:themeColor="text1"/>
                <w:szCs w:val="16"/>
              </w:rPr>
            </w:pP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9.62%</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10.43%</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12.28%</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11.32%</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12.97%</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16.90%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14.60%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lastRenderedPageBreak/>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lastRenderedPageBreak/>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16.99%</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16.90%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12.97%</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14.60%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https://caaspp-elpac.cde.ca.gov/caaspp/</w:t>
      </w:r>
      <w:r w:rsidRPr="00DD3719">
        <w:rPr>
          <w:rFonts w:cs="Arial"/>
          <w:color w:val="000000" w:themeColor="text1"/>
          <w:szCs w:val="16"/>
          <w:shd w:val="clear" w:color="auto" w:fill="FFFFFF"/>
        </w:rPr>
        <w:br/>
        <w:t xml:space="preserve">https://www.cde.ca.gov/ta/tg/ca/caaspp18datasummary.asp </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 xml:space="preserve">Statewide assessments were waived for the 2019-20 school year due to Covid-19. </w:t>
      </w:r>
    </w:p>
    <w:p w14:paraId="1C326C48" w14:textId="1B3ADE94" w:rsidR="000A2C83" w:rsidRPr="0033429D" w:rsidRDefault="00573F6C" w:rsidP="008645AD">
      <w:pPr>
        <w:pStyle w:val="Heading2"/>
      </w:pPr>
      <w:r w:rsidRPr="0033429D">
        <w:lastRenderedPageBreak/>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The State has revised the baseline for this indicator, using data from FFY 2015, but OSEP cannot accept that revision because the State has not provided an acceptable reason for that revision.</w:t>
      </w:r>
      <w:r w:rsidRPr="005C29F8">
        <w:rPr>
          <w:rFonts w:cs="Arial"/>
          <w:color w:val="000000" w:themeColor="text1"/>
          <w:szCs w:val="16"/>
        </w:rPr>
        <w:br/>
      </w:r>
      <w:r w:rsidRPr="005C29F8">
        <w:rPr>
          <w:rFonts w:cs="Arial"/>
          <w:color w:val="000000" w:themeColor="text1"/>
          <w:szCs w:val="16"/>
        </w:rPr>
        <w:br/>
        <w:t>The State provided its targets for FFY 2019 for this indicator, but OSEP cannot accept those targets because the State's end targets for FFY 2019 do not reflect improvement over the baseline data. The State must revise its FFY 2019 targets to reflect improvement.</w:t>
      </w:r>
      <w:r w:rsidRPr="005C29F8">
        <w:rPr>
          <w:rFonts w:cs="Arial"/>
          <w:color w:val="000000" w:themeColor="text1"/>
          <w:szCs w:val="16"/>
        </w:rPr>
        <w:br/>
        <w:t xml:space="preserve">   </w:t>
      </w:r>
    </w:p>
    <w:p w14:paraId="62E7127E" w14:textId="402461D4" w:rsidR="000A2C83" w:rsidRPr="005C29F8" w:rsidRDefault="000A2C83" w:rsidP="004369B2">
      <w:pPr>
        <w:rPr>
          <w:b/>
          <w:color w:val="000000" w:themeColor="text1"/>
        </w:rPr>
      </w:pPr>
      <w:r w:rsidRPr="005C29F8">
        <w:rPr>
          <w:b/>
          <w:color w:val="000000" w:themeColor="text1"/>
        </w:rPr>
        <w:t>Response to actions required in FFY 2018 SPP/APR</w:t>
      </w:r>
    </w:p>
    <w:p w14:paraId="55BD5A37" w14:textId="67636212" w:rsidR="000A2C83" w:rsidRPr="005C29F8" w:rsidRDefault="002B7490" w:rsidP="000A2C83">
      <w:pPr>
        <w:rPr>
          <w:rFonts w:cs="Arial"/>
          <w:color w:val="000000" w:themeColor="text1"/>
          <w:szCs w:val="16"/>
        </w:rPr>
      </w:pPr>
      <w:r w:rsidRPr="005C29F8">
        <w:rPr>
          <w:rFonts w:cs="Arial"/>
          <w:color w:val="000000" w:themeColor="text1"/>
          <w:szCs w:val="16"/>
        </w:rPr>
        <w:t>California changed the baseline to FFY 2015 because that was the first year California conducted the Smarter Balance assessments statewide with scores.</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The State has revised the baseline for this indicator, using data from FFY 2015, and OSEP accepts that revision.</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17.90%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2.13%</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2.32%</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3.22%</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3.67%</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1.41%</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10.00%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 xml:space="preserve">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w:t>
      </w:r>
      <w:r w:rsidRPr="005C29F8">
        <w:rPr>
          <w:rFonts w:cs="Arial"/>
          <w:color w:val="000000" w:themeColor="text1"/>
          <w:szCs w:val="16"/>
        </w:rPr>
        <w:lastRenderedPageBreak/>
        <w:t>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383</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29</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1,152</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1.41%</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2.52%</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To be included in the significant discrepancy calculation, districts must meet the State's minimum n-size. The current n-size is at least 20 students in the denominator and at least 10 students in the numerator, this excluded 383 districts.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in accordance with 34 CFR §300.170(b). For this indicator, federal instructions require that the state report data for the year before the reporting year. The data reported here is from 2018–19.</w:t>
      </w:r>
      <w:r w:rsidRPr="005C29F8">
        <w:rPr>
          <w:rFonts w:cs="Arial"/>
          <w:color w:val="000000" w:themeColor="text1"/>
          <w:szCs w:val="16"/>
        </w:rPr>
        <w:br/>
      </w:r>
      <w:r w:rsidRPr="005C29F8">
        <w:rPr>
          <w:rFonts w:cs="Arial"/>
          <w:color w:val="000000" w:themeColor="text1"/>
          <w:szCs w:val="16"/>
        </w:rPr>
        <w:br/>
        <w:t xml:space="preserve">California requires all districts with significant discrepancy to go through a review of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CDE staff review files from each district identified as having significant discrepancy using a compliance instrument to test compliance of each student file or policy document for 39 items. The purpose of this review is </w:t>
      </w:r>
      <w:proofErr w:type="gramStart"/>
      <w:r w:rsidRPr="005C29F8">
        <w:rPr>
          <w:rFonts w:cs="Arial"/>
          <w:color w:val="000000" w:themeColor="text1"/>
          <w:szCs w:val="16"/>
        </w:rPr>
        <w:t>ensure</w:t>
      </w:r>
      <w:proofErr w:type="gramEnd"/>
      <w:r w:rsidRPr="005C29F8">
        <w:rPr>
          <w:rFonts w:cs="Arial"/>
          <w:color w:val="000000" w:themeColor="text1"/>
          <w:szCs w:val="16"/>
        </w:rPr>
        <w:t xml:space="preserve"> that districts are properly developing and implementing IEPs, use positive behavioral interventions and supports, and include procedural safeguards as outlined in 34 C.F.R. 300.170 (b). Each instance of noncompliance is required to be corrected and the CDE requires the district to revise their policies and procedures to comply with IDEA. Copies of the compliance instrument can be made available at the </w:t>
      </w:r>
      <w:r w:rsidRPr="005C29F8">
        <w:rPr>
          <w:rFonts w:cs="Arial"/>
          <w:color w:val="000000" w:themeColor="text1"/>
          <w:szCs w:val="16"/>
        </w:rPr>
        <w:lastRenderedPageBreak/>
        <w:t>request of OSEP.</w:t>
      </w:r>
      <w:r w:rsidRPr="005C29F8">
        <w:rPr>
          <w:rFonts w:cs="Arial"/>
          <w:color w:val="000000" w:themeColor="text1"/>
          <w:szCs w:val="16"/>
        </w:rPr>
        <w:br/>
      </w:r>
      <w:r w:rsidRPr="005C29F8">
        <w:rPr>
          <w:rFonts w:cs="Arial"/>
          <w:color w:val="000000" w:themeColor="text1"/>
          <w:szCs w:val="16"/>
        </w:rPr>
        <w:br/>
        <w:t>In California, a significant discrepancy is defined as having a rate of suspension and expulsion greater than the statewide bar. For FFY 2019, the statewide bar for the number of students with disabilities suspended or expelled for greater than 10 days was 2.76 percent. The statewide bar is calculated as the state rate (.76%) plus 2 percent. This was the percentage that was used to identify districts in the target data calculation above. The corrective action process requires that districts correct non-compliant findings when individual student level or policy, procedure and practice noncompliance is found. All district policies, procedures, and practices documents are reviewed every four years or more frequently if data calculations warrant a review.</w:t>
      </w:r>
      <w:r w:rsidRPr="005C29F8">
        <w:rPr>
          <w:rFonts w:cs="Arial"/>
          <w:color w:val="000000" w:themeColor="text1"/>
          <w:szCs w:val="16"/>
        </w:rPr>
        <w:br/>
        <w:t>For FFY 2019, verification of correction of student and district level noncompliance includes the review of:</w:t>
      </w:r>
      <w:r w:rsidRPr="005C29F8">
        <w:rPr>
          <w:rFonts w:cs="Arial"/>
          <w:color w:val="000000" w:themeColor="text1"/>
          <w:szCs w:val="16"/>
        </w:rPr>
        <w:br/>
        <w:t>-Evidence of student level correction;</w:t>
      </w:r>
      <w:r w:rsidRPr="005C29F8">
        <w:rPr>
          <w:rFonts w:cs="Arial"/>
          <w:color w:val="000000" w:themeColor="text1"/>
          <w:szCs w:val="16"/>
        </w:rPr>
        <w:br/>
        <w:t>-Review of policies, procedures, and practices including dissemination and staff training; and, in district level correction was needed, a review of a new sample of student records</w:t>
      </w:r>
      <w:r w:rsidRPr="005C29F8">
        <w:rPr>
          <w:rFonts w:cs="Arial"/>
          <w:color w:val="000000" w:themeColor="text1"/>
          <w:szCs w:val="16"/>
        </w:rPr>
        <w:br/>
        <w:t xml:space="preserve">-A more stringent level of follow-up review and reporting is required of districts that have previously corrected non-compliance related to this indicator (Prong-II). This is to ensure that LEAs are correctly implementing the specific regulatory requirements. </w:t>
      </w:r>
      <w:r w:rsidRPr="005C29F8">
        <w:rPr>
          <w:rFonts w:cs="Arial"/>
          <w:color w:val="000000" w:themeColor="text1"/>
          <w:szCs w:val="16"/>
        </w:rPr>
        <w:br/>
      </w:r>
      <w:r w:rsidRPr="005C29F8">
        <w:rPr>
          <w:rFonts w:cs="Arial"/>
          <w:color w:val="000000" w:themeColor="text1"/>
          <w:szCs w:val="16"/>
        </w:rPr>
        <w:br/>
        <w:t>The CDE ensures correction using the standard identified in OSEP Memorandum 09-02, dated October 17, 2008 (OSEP Memo 09-02): (1) is correctly implementing the specific regulatory requirements in 34 CFR 300.170(b); and (2) has corrected each individual case of Evidence of Review of noncompliance, unless the child is no longer within the jurisdiction.</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Districts identified as having a significant discrepancy in any ethnicity are required to review and revise their policies (if district has noncompliance), procedures, and practices related to the development and implementation of IEPs, the use of positive behavioral interventions and supports, and procedural safeguards as outlined in 34 CFR 300.170 (b). In 2019-20, verification of correction of student and district level noncompliance included the review of:</w:t>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w:t>
      </w:r>
      <w:r w:rsidRPr="005C29F8">
        <w:rPr>
          <w:rFonts w:cs="Arial"/>
          <w:color w:val="000000" w:themeColor="text1"/>
          <w:szCs w:val="16"/>
        </w:rPr>
        <w:br/>
        <w:t>was needed, a review of updated data.</w:t>
      </w:r>
      <w:r w:rsidRPr="005C29F8">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will continue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bookmarkStart w:id="28" w:name="_Toc384383338"/>
      <w:bookmarkStart w:id="29"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2009</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4.30%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2.32%</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5.74%</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2.78%</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6.34%</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4.86%</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8"/>
      <w:bookmarkEnd w:id="29"/>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383</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70</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47</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1,152</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4.86%</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4.08%</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0"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 xml:space="preserve">To be included in the significant discrepancy calculation, districts must meet the State's minimum n-size. The current minimum n-size is at least 20 students in the denominator and at least 10 </w:t>
      </w:r>
      <w:proofErr w:type="gramStart"/>
      <w:r w:rsidRPr="005C29F8">
        <w:rPr>
          <w:rFonts w:cs="Arial"/>
          <w:color w:val="000000" w:themeColor="text1"/>
          <w:szCs w:val="16"/>
        </w:rPr>
        <w:t>student</w:t>
      </w:r>
      <w:proofErr w:type="gramEnd"/>
      <w:r w:rsidRPr="005C29F8">
        <w:rPr>
          <w:rFonts w:cs="Arial"/>
          <w:color w:val="000000" w:themeColor="text1"/>
          <w:szCs w:val="16"/>
        </w:rPr>
        <w:t xml:space="preserve"> in the numerator, this excluded 383 districts.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For this indicator, federal instructions require that the state report data for the year before the reporting year. The data reported here is from</w:t>
      </w:r>
      <w:r w:rsidRPr="005C29F8">
        <w:rPr>
          <w:rFonts w:cs="Arial"/>
          <w:color w:val="000000" w:themeColor="text1"/>
          <w:szCs w:val="16"/>
        </w:rPr>
        <w:br/>
        <w:t>2018–19.</w:t>
      </w:r>
      <w:r w:rsidRPr="005C29F8">
        <w:rPr>
          <w:rFonts w:cs="Arial"/>
          <w:color w:val="000000" w:themeColor="text1"/>
          <w:szCs w:val="16"/>
        </w:rPr>
        <w:br/>
      </w:r>
      <w:r w:rsidRPr="005C29F8">
        <w:rPr>
          <w:rFonts w:cs="Arial"/>
          <w:color w:val="000000" w:themeColor="text1"/>
          <w:szCs w:val="16"/>
        </w:rPr>
        <w:br/>
        <w:t xml:space="preserve">California requires all districts with significant discrepancy to go through a review of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CDE staff review files from each district identified as having significant discrepancy using a compliance instrument to test compliance of each student file or policy document for 39 items. The purpose of this review is </w:t>
      </w:r>
      <w:proofErr w:type="gramStart"/>
      <w:r w:rsidRPr="005C29F8">
        <w:rPr>
          <w:rFonts w:cs="Arial"/>
          <w:color w:val="000000" w:themeColor="text1"/>
          <w:szCs w:val="16"/>
        </w:rPr>
        <w:t>ensure</w:t>
      </w:r>
      <w:proofErr w:type="gramEnd"/>
      <w:r w:rsidRPr="005C29F8">
        <w:rPr>
          <w:rFonts w:cs="Arial"/>
          <w:color w:val="000000" w:themeColor="text1"/>
          <w:szCs w:val="16"/>
        </w:rPr>
        <w:t xml:space="preserve"> that districts are properly developing and implementing IEPs, use positive behavioral interventions and supports, and include procedural safeguards as outlined in 34 C.F.R. 300.170 (b). Each instance of noncompliance is required to be corrected and the CDE requires the district to revise their policies and procedures to comply with IDEA.</w:t>
      </w:r>
      <w:r w:rsidRPr="005C29F8">
        <w:rPr>
          <w:rFonts w:cs="Arial"/>
          <w:color w:val="000000" w:themeColor="text1"/>
          <w:szCs w:val="16"/>
        </w:rPr>
        <w:br/>
      </w:r>
      <w:r w:rsidRPr="005C29F8">
        <w:rPr>
          <w:rFonts w:cs="Arial"/>
          <w:color w:val="000000" w:themeColor="text1"/>
          <w:szCs w:val="16"/>
        </w:rPr>
        <w:br/>
        <w:t xml:space="preserve">Copies of the compliance instrument can be made available at the request of OSEP. </w:t>
      </w:r>
      <w:r w:rsidRPr="005C29F8">
        <w:rPr>
          <w:rFonts w:cs="Arial"/>
          <w:color w:val="000000" w:themeColor="text1"/>
          <w:szCs w:val="16"/>
        </w:rPr>
        <w:br/>
      </w:r>
      <w:r w:rsidRPr="005C29F8">
        <w:rPr>
          <w:rFonts w:cs="Arial"/>
          <w:color w:val="000000" w:themeColor="text1"/>
          <w:szCs w:val="16"/>
        </w:rPr>
        <w:br/>
        <w:t>In California, a significant discrepancy is defined as having a rate of suspension and expulsion greater than the statewide bar. For FFY 2019, the statewide bar for the number of students with disabilities suspended or expelled for greater than 10 days was 2.76 percent. This was the percentage that was used to identify districts in the target data calculation above.</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as outlined in 34 CFR 300.170 (b). </w:t>
      </w:r>
      <w:r w:rsidRPr="005C29F8">
        <w:rPr>
          <w:rFonts w:cs="Arial"/>
          <w:color w:val="000000" w:themeColor="text1"/>
          <w:szCs w:val="16"/>
        </w:rPr>
        <w:br/>
      </w:r>
      <w:r w:rsidRPr="005C29F8">
        <w:rPr>
          <w:rFonts w:cs="Arial"/>
          <w:color w:val="000000" w:themeColor="text1"/>
          <w:szCs w:val="16"/>
        </w:rPr>
        <w:br/>
        <w:t>In 2019-20, verification of correction of student and district level noncompliance included the review of:</w:t>
      </w:r>
      <w:r w:rsidRPr="005C29F8">
        <w:rPr>
          <w:rFonts w:cs="Arial"/>
          <w:color w:val="000000" w:themeColor="text1"/>
          <w:szCs w:val="16"/>
        </w:rPr>
        <w:br/>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 was needed, a review of updated data.</w:t>
      </w:r>
      <w:r w:rsidRPr="005C29F8">
        <w:rPr>
          <w:rFonts w:cs="Arial"/>
          <w:color w:val="000000" w:themeColor="text1"/>
          <w:szCs w:val="16"/>
        </w:rPr>
        <w:br/>
        <w:t>-A follow-up review and reporting is required of districts that have previously corrected noncompliance related to this indicator (</w:t>
      </w:r>
      <w:proofErr w:type="spellStart"/>
      <w:r w:rsidRPr="005C29F8">
        <w:rPr>
          <w:rFonts w:cs="Arial"/>
          <w:color w:val="000000" w:themeColor="text1"/>
          <w:szCs w:val="16"/>
        </w:rPr>
        <w:t>ProngII</w:t>
      </w:r>
      <w:proofErr w:type="spellEnd"/>
      <w:r w:rsidRPr="005C29F8">
        <w:rPr>
          <w:rFonts w:cs="Arial"/>
          <w:color w:val="000000" w:themeColor="text1"/>
          <w:szCs w:val="16"/>
        </w:rPr>
        <w:t>).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continues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r w:rsidRPr="005C29F8">
        <w:rPr>
          <w:rFonts w:cs="Arial"/>
          <w:color w:val="000000" w:themeColor="text1"/>
          <w:szCs w:val="16"/>
        </w:rPr>
        <w:br/>
      </w:r>
      <w:r w:rsidRPr="005C29F8">
        <w:rPr>
          <w:rFonts w:cs="Arial"/>
          <w:color w:val="000000" w:themeColor="text1"/>
          <w:szCs w:val="16"/>
        </w:rPr>
        <w:lastRenderedPageBreak/>
        <w:br/>
        <w:t>The State DID identify noncompliance with Part B requirements as a result of the review required by 34 CFR §300.170(b).</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 xml:space="preserve">The State DID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2C52C0B0" w14:textId="59E6D11C" w:rsidR="00616510" w:rsidRPr="005C29F8" w:rsidRDefault="007D4253" w:rsidP="009C613A">
      <w:pPr>
        <w:rPr>
          <w:rFonts w:cs="Arial"/>
          <w:b/>
          <w:color w:val="000000" w:themeColor="text1"/>
          <w:szCs w:val="16"/>
        </w:rPr>
      </w:pPr>
      <w:r w:rsidRPr="005C29F8">
        <w:rPr>
          <w:rFonts w:cs="Arial"/>
          <w:b/>
          <w:color w:val="000000" w:themeColor="text1"/>
          <w:szCs w:val="16"/>
        </w:rPr>
        <w:t>If YES, select one of the following:</w:t>
      </w:r>
    </w:p>
    <w:p w14:paraId="3AAA912C" w14:textId="12231485" w:rsidR="00616510" w:rsidRDefault="00616510" w:rsidP="009C613A">
      <w:pPr>
        <w:rPr>
          <w:rFonts w:cs="Arial"/>
          <w:color w:val="000000" w:themeColor="text1"/>
          <w:szCs w:val="16"/>
        </w:rPr>
      </w:pPr>
      <w:r w:rsidRPr="005C29F8">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5C29F8" w:rsidRDefault="002D57DA" w:rsidP="001011BB">
      <w:pPr>
        <w:tabs>
          <w:tab w:val="left" w:pos="4055"/>
        </w:tabs>
        <w:rPr>
          <w:rFonts w:cs="Arial"/>
          <w:b/>
          <w:color w:val="000000" w:themeColor="text1"/>
          <w:szCs w:val="16"/>
        </w:rPr>
      </w:pPr>
      <w:r w:rsidRPr="005C29F8">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5C29F8">
        <w:rPr>
          <w:rFonts w:cs="Arial"/>
          <w:b/>
          <w:i/>
          <w:color w:val="000000" w:themeColor="text1"/>
          <w:szCs w:val="16"/>
        </w:rPr>
        <w:t>.</w:t>
      </w:r>
    </w:p>
    <w:p w14:paraId="2D96DC2B" w14:textId="33372855" w:rsidR="002D57DA" w:rsidRPr="005C29F8" w:rsidRDefault="002B7490" w:rsidP="001011BB">
      <w:pPr>
        <w:rPr>
          <w:rFonts w:cs="Arial"/>
          <w:i/>
          <w:color w:val="000000" w:themeColor="text1"/>
          <w:szCs w:val="16"/>
        </w:rPr>
      </w:pPr>
      <w:r w:rsidRPr="005C29F8">
        <w:rPr>
          <w:rFonts w:cs="Arial"/>
          <w:color w:val="000000" w:themeColor="text1"/>
          <w:szCs w:val="16"/>
        </w:rPr>
        <w:t>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as outlined in 34 CFR 300.170 (b). In 2019-20, verification of correction of student and district level noncompliance included the review of:</w:t>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 was needed, a review of updated data.</w:t>
      </w:r>
      <w:r w:rsidRPr="005C29F8">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continues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538</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538</w:t>
            </w: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0535932" w14:textId="69EDE934" w:rsidR="009A755E" w:rsidRPr="005C29F8" w:rsidRDefault="000C0900" w:rsidP="004369B2">
      <w:pPr>
        <w:rPr>
          <w:color w:val="000000" w:themeColor="text1"/>
        </w:rPr>
      </w:pPr>
      <w:r w:rsidRPr="005C29F8">
        <w:rPr>
          <w:b/>
          <w:color w:val="000000" w:themeColor="text1"/>
        </w:rPr>
        <w:t>FFY 2018 Findings of Noncompliance Verified as Corrected</w:t>
      </w:r>
    </w:p>
    <w:p w14:paraId="4891D6D0" w14:textId="6FEEF39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0EAB644" w14:textId="6FB464DA" w:rsidR="003C308E" w:rsidRPr="005C29F8" w:rsidRDefault="002B7490" w:rsidP="009A755E">
      <w:pPr>
        <w:rPr>
          <w:rFonts w:cs="Arial"/>
          <w:color w:val="000000" w:themeColor="text1"/>
          <w:szCs w:val="16"/>
        </w:rPr>
      </w:pPr>
      <w:r w:rsidRPr="005C29F8">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The CDE required revision of policy, practices, and procedures when noncompliance is identified. </w:t>
      </w:r>
      <w:r w:rsidRPr="005C29F8">
        <w:rPr>
          <w:rFonts w:cs="Arial"/>
          <w:color w:val="000000" w:themeColor="text1"/>
          <w:szCs w:val="16"/>
        </w:rPr>
        <w:br/>
      </w:r>
      <w:r w:rsidRPr="005C29F8">
        <w:rPr>
          <w:rFonts w:cs="Arial"/>
          <w:color w:val="000000" w:themeColor="text1"/>
          <w:szCs w:val="16"/>
        </w:rPr>
        <w:br/>
        <w:t xml:space="preserve">In 2019—20, verification of correction of student and district level </w:t>
      </w:r>
      <w:proofErr w:type="spellStart"/>
      <w:r w:rsidRPr="005C29F8">
        <w:rPr>
          <w:rFonts w:cs="Arial"/>
          <w:color w:val="000000" w:themeColor="text1"/>
          <w:szCs w:val="16"/>
        </w:rPr>
        <w:t>non compliance</w:t>
      </w:r>
      <w:proofErr w:type="spellEnd"/>
      <w:r w:rsidRPr="005C29F8">
        <w:rPr>
          <w:rFonts w:cs="Arial"/>
          <w:color w:val="000000" w:themeColor="text1"/>
          <w:szCs w:val="16"/>
        </w:rPr>
        <w:t xml:space="preserve"> included the review of:</w:t>
      </w:r>
      <w:r w:rsidRPr="005C29F8">
        <w:rPr>
          <w:rFonts w:cs="Arial"/>
          <w:color w:val="000000" w:themeColor="text1"/>
          <w:szCs w:val="16"/>
        </w:rPr>
        <w:br/>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 was needed, a review of a new sample of student records.</w:t>
      </w:r>
      <w:r w:rsidRPr="005C29F8">
        <w:rPr>
          <w:rFonts w:cs="Arial"/>
          <w:color w:val="000000" w:themeColor="text1"/>
          <w:szCs w:val="16"/>
        </w:rPr>
        <w:br/>
        <w:t>-A more stringent level of follow-up review and reporting is required of districts that have previously corrected non-compliance related to this indicator (Prong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ensured correction using the standard identified in OSEP Memorandum 09-02, dated October 17, 2008 (OSEP Memo 09-02): (1) correctly implemented the specific regulatory requirements in 34 CFR 300.170 (b</w:t>
      </w:r>
      <w:proofErr w:type="gramStart"/>
      <w:r w:rsidRPr="005C29F8">
        <w:rPr>
          <w:rFonts w:cs="Arial"/>
          <w:color w:val="000000" w:themeColor="text1"/>
          <w:szCs w:val="16"/>
        </w:rPr>
        <w:t>) ;</w:t>
      </w:r>
      <w:proofErr w:type="gramEnd"/>
      <w:r w:rsidRPr="005C29F8">
        <w:rPr>
          <w:rFonts w:cs="Arial"/>
          <w:color w:val="000000" w:themeColor="text1"/>
          <w:szCs w:val="16"/>
        </w:rPr>
        <w:t xml:space="preserve"> and (2) has corrected each individual case of noncompliance, unless the child is no longer within the jurisdiction of the LEA.</w:t>
      </w:r>
    </w:p>
    <w:p w14:paraId="529E9FA7" w14:textId="3D04F547"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6B8F3BB2" w14:textId="0FF7AF13" w:rsidR="003C308E"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w:t>
      </w:r>
      <w:r w:rsidRPr="005C29F8">
        <w:rPr>
          <w:rFonts w:cs="Arial"/>
          <w:color w:val="000000" w:themeColor="text1"/>
          <w:szCs w:val="16"/>
        </w:rPr>
        <w:br/>
      </w:r>
      <w:r w:rsidRPr="005C29F8">
        <w:rPr>
          <w:rFonts w:cs="Arial"/>
          <w:color w:val="000000" w:themeColor="text1"/>
          <w:szCs w:val="16"/>
        </w:rPr>
        <w:br/>
        <w:t>If a LEA was identified as Disproportionate they were selected for a review of policies, procedures, and practices including student level compliance data. If during the review the LEA was found noncompliant in any area related to the development and implementation of IEPs and procedural safeguards.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 xml:space="preserve">If a LEA had a student level finding of noncompliance, it must submit evidence that it corrected the noncompliance at the student level. In the instance a LEA was found noncompliant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“when a student with a disability has been removed from his or her current placement for 10 school days in the same school year, during any subsequent days of removal, did the public agency provide services”. The LEA must provide evidence the student was provided all IEP services beginning on the eleventh day of suspension or expulsion. The LEA reconvened the IEP team and provide evidence that the public agency was included and services by the public agency were considered.</w:t>
      </w:r>
      <w:r w:rsidRPr="005C29F8">
        <w:rPr>
          <w:rFonts w:cs="Arial"/>
          <w:color w:val="000000" w:themeColor="text1"/>
          <w:szCs w:val="16"/>
        </w:rPr>
        <w:br/>
      </w:r>
      <w:r w:rsidRPr="005C29F8">
        <w:rPr>
          <w:rFonts w:cs="Arial"/>
          <w:color w:val="000000" w:themeColor="text1"/>
          <w:szCs w:val="16"/>
        </w:rPr>
        <w:br/>
        <w:t>If a LEA had a finding of noncompliance within the policies and procedures the LEA  provided evidence that it corrected the policies and procedures to be compliant with state and federal law, notified staff and administrators of the policies and procedures change, and conducted in-service training for staff and administrators.</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5C29F8">
        <w:rPr>
          <w:rFonts w:cs="Arial"/>
          <w:color w:val="000000" w:themeColor="text1"/>
          <w:szCs w:val="16"/>
        </w:rPr>
        <w:br/>
      </w:r>
      <w:r w:rsidRPr="005C29F8">
        <w:rPr>
          <w:rFonts w:cs="Arial"/>
          <w:color w:val="000000" w:themeColor="text1"/>
          <w:szCs w:val="16"/>
        </w:rPr>
        <w:br/>
        <w:t>The CDE ensured correction of all 538 findings using the standard identified in OSEP Memorandum 09-02, dated October 17, 2008 (OSEP Memo 09-02): (1) correctly implemented the specific regulatory requirements in 34 CFR 300.170 (b</w:t>
      </w:r>
      <w:proofErr w:type="gramStart"/>
      <w:r w:rsidRPr="005C29F8">
        <w:rPr>
          <w:rFonts w:cs="Arial"/>
          <w:color w:val="000000" w:themeColor="text1"/>
          <w:szCs w:val="16"/>
        </w:rPr>
        <w:t>) ;</w:t>
      </w:r>
      <w:proofErr w:type="gramEnd"/>
      <w:r w:rsidRPr="005C29F8">
        <w:rPr>
          <w:rFonts w:cs="Arial"/>
          <w:color w:val="000000" w:themeColor="text1"/>
          <w:szCs w:val="16"/>
        </w:rPr>
        <w:t xml:space="preserve"> and (2) has corrected each individual case of noncompliance, unless the child is no longer within the jurisdiction of the LEA.</w:t>
      </w:r>
    </w:p>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bookmarkEnd w:id="30"/>
    </w:p>
    <w:p w14:paraId="52AD89A1" w14:textId="77777777" w:rsidR="00775845" w:rsidRPr="005C29F8" w:rsidRDefault="00775845" w:rsidP="00A018D4">
      <w:pPr>
        <w:rPr>
          <w:color w:val="000000" w:themeColor="text1"/>
          <w:szCs w:val="20"/>
        </w:rPr>
      </w:pPr>
      <w:bookmarkStart w:id="31"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1"/>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49.20%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49.20%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51.20%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52.20%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53.38%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54.07%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54.92%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56.10%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56.88%</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24.60%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24.60%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23.60%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22.60%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21.60%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24.20%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22.01%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21.54%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20.70%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19.82%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19.54%</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3.80%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3.31%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3.10%</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53.20%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20.60%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3.60%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 xml:space="preserve">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w:t>
      </w:r>
      <w:r w:rsidRPr="005C29F8">
        <w:rPr>
          <w:rFonts w:cs="Arial"/>
          <w:color w:val="000000" w:themeColor="text1"/>
          <w:szCs w:val="16"/>
        </w:rPr>
        <w:lastRenderedPageBreak/>
        <w:t>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703,920</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410,931</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128,152</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19,554</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631</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2,264</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w:t>
            </w:r>
            <w:r w:rsidRPr="005C29F8">
              <w:rPr>
                <w:rFonts w:cs="Arial"/>
                <w:color w:val="000000" w:themeColor="text1"/>
                <w:szCs w:val="16"/>
                <w:shd w:val="clear" w:color="auto" w:fill="FFFFFF"/>
              </w:rPr>
              <w:lastRenderedPageBreak/>
              <w:t>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lastRenderedPageBreak/>
              <w:t>410,931</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703,920</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56.88%</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53.20%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58.38%</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128,152</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703,920</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19.54%</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20.60%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18.21%</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22,449</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703,920</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3.10%</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3.60%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3.19%</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 However, the State must revise the baseline for this indicator, using data from FFY 2019.</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2B7490" w:rsidP="001F692C">
      <w:pPr>
        <w:rPr>
          <w:rFonts w:cs="Arial"/>
          <w:color w:val="000000" w:themeColor="text1"/>
          <w:szCs w:val="16"/>
        </w:rPr>
      </w:pPr>
      <w:r w:rsidRPr="005C29F8">
        <w:rPr>
          <w:rFonts w:cs="Arial"/>
          <w:color w:val="000000" w:themeColor="text1"/>
          <w:szCs w:val="16"/>
        </w:rPr>
        <w:t>The State did not revise the baseline for this indicator, as required due to the change in the data source. The State must revise its baseline using data from FFY 2019.</w:t>
      </w: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2"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children aged 3 through 5 with IEPs attending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2"/>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2012</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32.90%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32.90%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33.90%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34.90%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35.90%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38.80%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32.91%</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44.13%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45.19%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37.32%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36.58%</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2012</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34.40%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34.40%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33.40%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32.40%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31.40%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35.90%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34.41%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31.45%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29.86%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33.81%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33.84%</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38.90%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30.40%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3" w:name="_Toc382082378"/>
      <w:bookmarkStart w:id="34"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50,582</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12,947</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19,112</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1,702</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9</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YES</w:t>
      </w:r>
    </w:p>
    <w:p w14:paraId="419428DA" w14:textId="77777777" w:rsidR="00C910BC" w:rsidRPr="005C29F8" w:rsidRDefault="00C910BC" w:rsidP="00C910BC">
      <w:pPr>
        <w:rPr>
          <w:b/>
          <w:color w:val="000000" w:themeColor="text1"/>
        </w:rPr>
      </w:pPr>
      <w:r w:rsidRPr="005C29F8">
        <w:rPr>
          <w:b/>
          <w:color w:val="000000" w:themeColor="text1"/>
        </w:rPr>
        <w:t>Provide an explanation below</w:t>
      </w:r>
    </w:p>
    <w:p w14:paraId="6BF00D1B" w14:textId="583DCD57" w:rsidR="00C910BC" w:rsidRDefault="00C910BC" w:rsidP="00C910BC">
      <w:pPr>
        <w:rPr>
          <w:color w:val="000000" w:themeColor="text1"/>
        </w:rPr>
      </w:pPr>
      <w:r w:rsidRPr="005C29F8">
        <w:rPr>
          <w:color w:val="000000" w:themeColor="text1"/>
        </w:rPr>
        <w:t xml:space="preserve">California resubmitted the FS089 file in November of 2020. The prepopulated data did not match those corrected numbers. </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
      </w:tblPr>
      <w:tblGrid>
        <w:gridCol w:w="2964"/>
        <w:gridCol w:w="1118"/>
        <w:gridCol w:w="1118"/>
        <w:gridCol w:w="1118"/>
        <w:gridCol w:w="1118"/>
        <w:gridCol w:w="1118"/>
        <w:gridCol w:w="1118"/>
        <w:gridCol w:w="1118"/>
      </w:tblGrid>
      <w:tr w:rsidR="005C29F8" w:rsidRPr="005C29F8" w14:paraId="38300B51" w14:textId="77777777" w:rsidTr="007239EC">
        <w:trPr>
          <w:trHeight w:val="354"/>
          <w:tblHeader/>
        </w:trPr>
        <w:tc>
          <w:tcPr>
            <w:tcW w:w="1373" w:type="pct"/>
            <w:shd w:val="clear" w:color="auto" w:fill="auto"/>
            <w:vAlign w:val="bottom"/>
          </w:tcPr>
          <w:p w14:paraId="0F38A3C5" w14:textId="3D46820E" w:rsidR="008751D3" w:rsidRPr="005C29F8" w:rsidRDefault="00E104F3" w:rsidP="00681BA6">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0AEF809B" w14:textId="4D8F18F7" w:rsidR="008751D3" w:rsidRPr="005C29F8" w:rsidRDefault="008751D3" w:rsidP="00681BA6">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5C29F8" w:rsidRDefault="008751D3" w:rsidP="00681BA6">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338A0E59" w14:textId="34EE4DEC" w:rsidR="008751D3"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525540A0" w14:textId="35302303" w:rsidR="008751D3" w:rsidRPr="005C29F8" w:rsidRDefault="008751D3" w:rsidP="00681BA6">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2B9D213A" w14:textId="12BC007C" w:rsidR="008751D3" w:rsidRPr="005C29F8" w:rsidRDefault="00681BA6" w:rsidP="00681BA6">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46108583" w14:textId="77777777" w:rsidR="008751D3" w:rsidRPr="005C29F8" w:rsidRDefault="008751D3" w:rsidP="00681BA6">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02DECB75" w14:textId="77777777" w:rsidR="008751D3" w:rsidRPr="005C29F8" w:rsidRDefault="008751D3"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57F8AB2C" w14:textId="77777777" w:rsidTr="007239EC">
        <w:trPr>
          <w:trHeight w:val="917"/>
        </w:trPr>
        <w:tc>
          <w:tcPr>
            <w:tcW w:w="1373" w:type="pct"/>
            <w:shd w:val="clear" w:color="auto" w:fill="auto"/>
            <w:vAlign w:val="center"/>
          </w:tcPr>
          <w:p w14:paraId="262EE4AB" w14:textId="15267873" w:rsidR="00CF6742" w:rsidRPr="005C29F8" w:rsidRDefault="00CF6742" w:rsidP="00CF6742">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5C29F8" w:rsidRDefault="002B7490" w:rsidP="00A018D4">
            <w:pPr>
              <w:jc w:val="center"/>
              <w:rPr>
                <w:rFonts w:cs="Arial"/>
                <w:color w:val="000000" w:themeColor="text1"/>
                <w:szCs w:val="16"/>
              </w:rPr>
            </w:pPr>
            <w:r w:rsidRPr="005C29F8">
              <w:rPr>
                <w:rFonts w:cs="Arial"/>
                <w:color w:val="000000" w:themeColor="text1"/>
                <w:szCs w:val="16"/>
              </w:rPr>
              <w:t>28,205</w:t>
            </w:r>
          </w:p>
          <w:p w14:paraId="70072E1D" w14:textId="45212F0F" w:rsidR="00CC3A85" w:rsidRPr="005C29F8"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5C29F8" w:rsidRDefault="002B7490" w:rsidP="00A018D4">
            <w:pPr>
              <w:jc w:val="center"/>
              <w:rPr>
                <w:rFonts w:cs="Arial"/>
                <w:color w:val="000000" w:themeColor="text1"/>
                <w:szCs w:val="16"/>
              </w:rPr>
            </w:pPr>
            <w:r w:rsidRPr="005C29F8">
              <w:rPr>
                <w:rFonts w:cs="Arial"/>
                <w:color w:val="000000" w:themeColor="text1"/>
                <w:szCs w:val="16"/>
              </w:rPr>
              <w:t>81,857</w:t>
            </w:r>
          </w:p>
        </w:tc>
        <w:tc>
          <w:tcPr>
            <w:tcW w:w="518" w:type="pct"/>
            <w:shd w:val="clear" w:color="auto" w:fill="auto"/>
            <w:vAlign w:val="center"/>
          </w:tcPr>
          <w:p w14:paraId="15C39591" w14:textId="59A0B140" w:rsidR="00CF6742" w:rsidRPr="005C29F8" w:rsidRDefault="002B7490" w:rsidP="00A018D4">
            <w:pPr>
              <w:jc w:val="center"/>
              <w:rPr>
                <w:rFonts w:cs="Arial"/>
                <w:color w:val="000000" w:themeColor="text1"/>
                <w:szCs w:val="16"/>
              </w:rPr>
            </w:pPr>
            <w:r w:rsidRPr="005C29F8">
              <w:rPr>
                <w:rFonts w:cs="Arial"/>
                <w:color w:val="000000" w:themeColor="text1"/>
                <w:szCs w:val="16"/>
              </w:rPr>
              <w:t>36.58%</w:t>
            </w:r>
          </w:p>
        </w:tc>
        <w:tc>
          <w:tcPr>
            <w:tcW w:w="518" w:type="pct"/>
            <w:shd w:val="clear" w:color="auto" w:fill="auto"/>
            <w:vAlign w:val="center"/>
          </w:tcPr>
          <w:p w14:paraId="0B4DAB1A" w14:textId="6A306EF5" w:rsidR="00CF6742" w:rsidRPr="005C29F8" w:rsidRDefault="002B7490" w:rsidP="00A018D4">
            <w:pPr>
              <w:jc w:val="center"/>
              <w:rPr>
                <w:rFonts w:cs="Arial"/>
                <w:color w:val="000000" w:themeColor="text1"/>
                <w:szCs w:val="16"/>
              </w:rPr>
            </w:pPr>
            <w:r w:rsidRPr="005C29F8">
              <w:rPr>
                <w:rFonts w:cs="Arial"/>
                <w:color w:val="000000" w:themeColor="text1"/>
                <w:szCs w:val="16"/>
              </w:rPr>
              <w:t>38.90%</w:t>
            </w:r>
          </w:p>
        </w:tc>
        <w:tc>
          <w:tcPr>
            <w:tcW w:w="518" w:type="pct"/>
            <w:shd w:val="clear" w:color="auto" w:fill="auto"/>
            <w:vAlign w:val="center"/>
          </w:tcPr>
          <w:p w14:paraId="3DA9CC9A" w14:textId="5BC63CA2" w:rsidR="00CF6742" w:rsidRPr="005C29F8" w:rsidRDefault="002B7490" w:rsidP="00A018D4">
            <w:pPr>
              <w:jc w:val="center"/>
              <w:rPr>
                <w:rFonts w:cs="Arial"/>
                <w:color w:val="000000" w:themeColor="text1"/>
                <w:szCs w:val="16"/>
              </w:rPr>
            </w:pPr>
            <w:r w:rsidRPr="005C29F8">
              <w:rPr>
                <w:rFonts w:cs="Arial"/>
                <w:color w:val="000000" w:themeColor="text1"/>
                <w:szCs w:val="16"/>
              </w:rPr>
              <w:t>34.46%</w:t>
            </w:r>
          </w:p>
        </w:tc>
        <w:tc>
          <w:tcPr>
            <w:tcW w:w="518" w:type="pct"/>
            <w:shd w:val="clear" w:color="auto" w:fill="auto"/>
            <w:vAlign w:val="center"/>
          </w:tcPr>
          <w:p w14:paraId="361B06B7" w14:textId="5F10F78E" w:rsidR="00CF674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45DD5AFE" w14:textId="28F5E139" w:rsidR="00CF6742"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203C22FB" w14:textId="77777777" w:rsidTr="007239EC">
        <w:trPr>
          <w:trHeight w:val="361"/>
        </w:trPr>
        <w:tc>
          <w:tcPr>
            <w:tcW w:w="1373" w:type="pct"/>
            <w:shd w:val="clear" w:color="auto" w:fill="auto"/>
            <w:vAlign w:val="center"/>
          </w:tcPr>
          <w:p w14:paraId="79CB9C36" w14:textId="6C0925E8" w:rsidR="00CF6742" w:rsidRPr="005C29F8" w:rsidRDefault="00CF6742" w:rsidP="00CF6742">
            <w:pPr>
              <w:rPr>
                <w:rFonts w:cs="Arial"/>
                <w:color w:val="000000" w:themeColor="text1"/>
                <w:szCs w:val="16"/>
              </w:rPr>
            </w:pPr>
            <w:r w:rsidRPr="005C29F8">
              <w:rPr>
                <w:rFonts w:cs="Arial"/>
                <w:color w:val="000000" w:themeColor="text1"/>
                <w:szCs w:val="16"/>
                <w:shd w:val="clear" w:color="auto" w:fill="FFFFFF"/>
              </w:rPr>
              <w:lastRenderedPageBreak/>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5C29F8" w:rsidRDefault="002B7490" w:rsidP="00A018D4">
            <w:pPr>
              <w:jc w:val="center"/>
              <w:rPr>
                <w:rFonts w:cs="Arial"/>
                <w:color w:val="000000" w:themeColor="text1"/>
                <w:szCs w:val="16"/>
              </w:rPr>
            </w:pPr>
            <w:r w:rsidRPr="005C29F8">
              <w:rPr>
                <w:rFonts w:cs="Arial"/>
                <w:color w:val="000000" w:themeColor="text1"/>
                <w:szCs w:val="16"/>
              </w:rPr>
              <w:t>29,274</w:t>
            </w:r>
          </w:p>
        </w:tc>
        <w:tc>
          <w:tcPr>
            <w:tcW w:w="518" w:type="pct"/>
            <w:shd w:val="clear" w:color="auto" w:fill="auto"/>
            <w:vAlign w:val="center"/>
          </w:tcPr>
          <w:p w14:paraId="66D0E912" w14:textId="2A889076" w:rsidR="00CF6742" w:rsidRPr="005C29F8" w:rsidRDefault="002B7490" w:rsidP="00A018D4">
            <w:pPr>
              <w:jc w:val="center"/>
              <w:rPr>
                <w:rFonts w:cs="Arial"/>
                <w:color w:val="000000" w:themeColor="text1"/>
                <w:szCs w:val="16"/>
              </w:rPr>
            </w:pPr>
            <w:r w:rsidRPr="005C29F8">
              <w:rPr>
                <w:rFonts w:cs="Arial"/>
                <w:color w:val="000000" w:themeColor="text1"/>
                <w:szCs w:val="16"/>
              </w:rPr>
              <w:t>81,857</w:t>
            </w:r>
          </w:p>
        </w:tc>
        <w:tc>
          <w:tcPr>
            <w:tcW w:w="518" w:type="pct"/>
            <w:shd w:val="clear" w:color="auto" w:fill="auto"/>
            <w:vAlign w:val="center"/>
          </w:tcPr>
          <w:p w14:paraId="778A4648" w14:textId="541ABEC8" w:rsidR="00CF6742" w:rsidRPr="005C29F8" w:rsidRDefault="002B7490" w:rsidP="00A018D4">
            <w:pPr>
              <w:jc w:val="center"/>
              <w:rPr>
                <w:rFonts w:cs="Arial"/>
                <w:color w:val="000000" w:themeColor="text1"/>
                <w:szCs w:val="16"/>
              </w:rPr>
            </w:pPr>
            <w:r w:rsidRPr="005C29F8">
              <w:rPr>
                <w:rFonts w:cs="Arial"/>
                <w:color w:val="000000" w:themeColor="text1"/>
                <w:szCs w:val="16"/>
              </w:rPr>
              <w:t>33.84%</w:t>
            </w:r>
          </w:p>
        </w:tc>
        <w:tc>
          <w:tcPr>
            <w:tcW w:w="518" w:type="pct"/>
            <w:shd w:val="clear" w:color="auto" w:fill="auto"/>
            <w:vAlign w:val="center"/>
          </w:tcPr>
          <w:p w14:paraId="0EB723D5" w14:textId="782750AE" w:rsidR="00CF6742" w:rsidRPr="005C29F8" w:rsidRDefault="002B7490" w:rsidP="00A018D4">
            <w:pPr>
              <w:jc w:val="center"/>
              <w:rPr>
                <w:rFonts w:cs="Arial"/>
                <w:color w:val="000000" w:themeColor="text1"/>
                <w:szCs w:val="16"/>
              </w:rPr>
            </w:pPr>
            <w:r w:rsidRPr="005C29F8">
              <w:rPr>
                <w:rFonts w:cs="Arial"/>
                <w:color w:val="000000" w:themeColor="text1"/>
                <w:szCs w:val="16"/>
              </w:rPr>
              <w:t>30.40%</w:t>
            </w:r>
          </w:p>
        </w:tc>
        <w:tc>
          <w:tcPr>
            <w:tcW w:w="518" w:type="pct"/>
            <w:shd w:val="clear" w:color="auto" w:fill="auto"/>
            <w:vAlign w:val="center"/>
          </w:tcPr>
          <w:p w14:paraId="22E6569B" w14:textId="5DC635D1" w:rsidR="00CF6742" w:rsidRPr="005C29F8" w:rsidRDefault="002B7490" w:rsidP="00A018D4">
            <w:pPr>
              <w:jc w:val="center"/>
              <w:rPr>
                <w:rFonts w:cs="Arial"/>
                <w:color w:val="000000" w:themeColor="text1"/>
                <w:szCs w:val="16"/>
              </w:rPr>
            </w:pPr>
            <w:r w:rsidRPr="005C29F8">
              <w:rPr>
                <w:rFonts w:cs="Arial"/>
                <w:color w:val="000000" w:themeColor="text1"/>
                <w:szCs w:val="16"/>
              </w:rPr>
              <w:t>35.76%</w:t>
            </w:r>
          </w:p>
        </w:tc>
        <w:tc>
          <w:tcPr>
            <w:tcW w:w="518" w:type="pct"/>
            <w:shd w:val="clear" w:color="auto" w:fill="auto"/>
            <w:vAlign w:val="center"/>
          </w:tcPr>
          <w:p w14:paraId="799542EF" w14:textId="180B78FB" w:rsidR="00CF674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6E35C7BA" w14:textId="0B2CF7CC" w:rsidR="00CF6742"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 However, the State must revise the baseline for this indicator, using data from FFY 2019.</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2B7490" w:rsidP="001F692C">
      <w:pPr>
        <w:rPr>
          <w:rFonts w:cs="Arial"/>
          <w:color w:val="000000" w:themeColor="text1"/>
          <w:szCs w:val="16"/>
        </w:rPr>
      </w:pPr>
      <w:r w:rsidRPr="005C29F8">
        <w:rPr>
          <w:rFonts w:cs="Arial"/>
          <w:color w:val="000000" w:themeColor="text1"/>
          <w:szCs w:val="16"/>
        </w:rPr>
        <w:t>The State did not revise the baseline for this indicator, as required due to the change in the data source. The State must revise its baseline using data from FFY 2019.</w:t>
      </w: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3"/>
      <w:bookmarkEnd w:id="34"/>
    </w:p>
    <w:p w14:paraId="1404DCF9" w14:textId="77777777" w:rsidR="00531E54" w:rsidRPr="005C29F8" w:rsidRDefault="00531E54" w:rsidP="00A018D4">
      <w:pPr>
        <w:rPr>
          <w:color w:val="000000" w:themeColor="text1"/>
          <w:szCs w:val="20"/>
        </w:rPr>
      </w:pPr>
      <w:bookmarkStart w:id="35"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72.70%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72.70%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84.20%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82.24%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59.46%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67.63%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82.24%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76.71%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76.04%</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82.10%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82.10%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80.50%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78.53%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60.88%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72.52%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78.53%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77.59%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76.65%</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79.70%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80.70%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81.70%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79.73%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60.16%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68.68%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79.73%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76.06%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75.18%</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78.57%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79.57%</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77.57%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59.61%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71.24%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76.70%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76.23%</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73.70%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74.70%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75.70%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73.72%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65.84%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68.72%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73.72%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75.34%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75.40%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77.45%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78.45%</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76.45%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65.76%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70.47%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77.02%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76.74%</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85.20%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81.50%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82.70%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80.50%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76.70%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79.45%</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r>
      <w:r w:rsidRPr="005C29F8">
        <w:rPr>
          <w:rFonts w:cs="Arial"/>
          <w:color w:val="000000" w:themeColor="text1"/>
          <w:szCs w:val="16"/>
        </w:rPr>
        <w:lastRenderedPageBreak/>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18,534</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252</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1.36%</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1,473</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7.95%</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2,571</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13.87%</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4,103</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22.14%</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10,135</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54.68%</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6,674</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8,399</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76.04%</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85.20%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79.46%</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14,238</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18,534</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76.65%</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81.50%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76.82%</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189</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1.04%</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1,602</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8.85%</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2,483</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13.72%</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3,911</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21.62%</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9,908</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54.76%</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w:t>
            </w:r>
            <w:r w:rsidRPr="005C29F8">
              <w:rPr>
                <w:rFonts w:cs="Arial"/>
                <w:color w:val="000000" w:themeColor="text1"/>
                <w:szCs w:val="16"/>
              </w:rPr>
              <w:lastRenderedPageBreak/>
              <w:t xml:space="preserve">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6,394</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8,185</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75.18%</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82.70%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78.12%</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13,819</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18,093</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76.23%</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80.50%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76.38%</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255</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1.41%</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1,275</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7.06%</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2,479</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13.73%</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3,423</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18.96%</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10,619</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58.83%</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5,902</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7,432</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75.40%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76.70%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79.41%</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14,042</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18,051</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76.74%</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79.45%</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77.79%</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NO</w:t>
      </w:r>
    </w:p>
    <w:p w14:paraId="6F131278" w14:textId="16A90DAD" w:rsidR="009B37A2" w:rsidRPr="005C29F8" w:rsidRDefault="007524CC" w:rsidP="00401663">
      <w:pPr>
        <w:rPr>
          <w:rFonts w:cs="Arial"/>
          <w:b/>
          <w:color w:val="000000" w:themeColor="text1"/>
          <w:szCs w:val="16"/>
        </w:rPr>
      </w:pPr>
      <w:r w:rsidRPr="005C29F8">
        <w:rPr>
          <w:rFonts w:cs="Arial"/>
          <w:b/>
          <w:color w:val="000000" w:themeColor="text1"/>
          <w:szCs w:val="16"/>
        </w:rPr>
        <w:t>If no, provide the criteria for defining “comparable to same-aged peers.”</w:t>
      </w:r>
    </w:p>
    <w:p w14:paraId="49B86640" w14:textId="0949E05B" w:rsidR="000A4757" w:rsidRPr="000A4757" w:rsidRDefault="002B7490" w:rsidP="000A4757">
      <w:pPr>
        <w:rPr>
          <w:rFonts w:cs="Arial"/>
          <w:color w:val="000000" w:themeColor="text1"/>
          <w:szCs w:val="16"/>
        </w:rPr>
      </w:pPr>
      <w:r w:rsidRPr="005C29F8">
        <w:rPr>
          <w:rFonts w:cs="Arial"/>
          <w:color w:val="000000" w:themeColor="text1"/>
          <w:szCs w:val="16"/>
        </w:rPr>
        <w:t xml:space="preserve">In California, a sample of children is used to define "comparable to same-aged peers" for Indicator 7. This sample of same-aged peers refers to a total sample of children ages birth to 5 enrolled in both CDE Early Education and Support Division programs and infants, toddlers, and preschoolers with disabilities enrolled in CDE, SED Part C (early intervention) or Section 619 (preschool) programs that were assessed on the DRDP in Spring 2020. California identifies same aged peers as children without IEPs ages 3 to 5 who are enrolled in an early childhood program sponsored by the State Education Agency or Local Educational Agency. </w:t>
      </w:r>
    </w:p>
    <w:p w14:paraId="015A471A" w14:textId="77777777" w:rsidR="004611C1" w:rsidRPr="005C29F8" w:rsidRDefault="004611C1" w:rsidP="00401663">
      <w:pPr>
        <w:rPr>
          <w:rFonts w:cs="Arial"/>
          <w:b/>
          <w:color w:val="000000" w:themeColor="text1"/>
          <w:szCs w:val="16"/>
        </w:rPr>
      </w:pPr>
      <w:bookmarkStart w:id="36" w:name="_Toc382082381"/>
      <w:bookmarkStart w:id="37"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lastRenderedPageBreak/>
        <w:t>In California, local education agencies provide DRDP (2015) assessment data to the California Department of Education, Special Education Division for all 3, 4, and 5-year-old children with IEPs each fall and spring. The data from these assessments is used to fulfill the OSEP requirements for Indicator 7. The DRDP (2015) is a developmental continuum for children birth through five years of age and is comprised of developmental indicators representing important areas of learning and development for young children along which children’s skills are measured.</w:t>
      </w:r>
      <w:r w:rsidRPr="005C29F8">
        <w:rPr>
          <w:rFonts w:cs="Arial"/>
          <w:color w:val="000000" w:themeColor="text1"/>
          <w:szCs w:val="16"/>
        </w:rPr>
        <w:br/>
      </w:r>
      <w:r w:rsidRPr="005C29F8">
        <w:rPr>
          <w:rFonts w:cs="Arial"/>
          <w:color w:val="000000" w:themeColor="text1"/>
          <w:szCs w:val="16"/>
        </w:rPr>
        <w:br/>
        <w:t>In each of the OSEP Outcomes, DRDP data is used to establish “entry” and “exit” scores for every child by comparing the child’s DRDP data at the time of entry into preschool special education services to the data at exit from preschool special education. The steps in this process are:</w:t>
      </w:r>
      <w:r w:rsidRPr="005C29F8">
        <w:rPr>
          <w:rFonts w:cs="Arial"/>
          <w:color w:val="000000" w:themeColor="text1"/>
          <w:szCs w:val="16"/>
        </w:rPr>
        <w:br/>
      </w:r>
      <w:r w:rsidRPr="005C29F8">
        <w:rPr>
          <w:rFonts w:cs="Arial"/>
          <w:color w:val="000000" w:themeColor="text1"/>
          <w:szCs w:val="16"/>
        </w:rPr>
        <w:br/>
        <w:t xml:space="preserve">-DRDP (2015) data are compiled to create a single longitudinal data set. </w:t>
      </w:r>
      <w:r w:rsidRPr="005C29F8">
        <w:rPr>
          <w:rFonts w:cs="Arial"/>
          <w:color w:val="000000" w:themeColor="text1"/>
          <w:szCs w:val="16"/>
        </w:rPr>
        <w:br/>
        <w:t>-This data is reviewed to identify an 'entry' assessment for every child.</w:t>
      </w:r>
      <w:r w:rsidRPr="005C29F8">
        <w:rPr>
          <w:rFonts w:cs="Arial"/>
          <w:color w:val="000000" w:themeColor="text1"/>
          <w:szCs w:val="16"/>
        </w:rPr>
        <w:br/>
        <w:t xml:space="preserve">-The </w:t>
      </w:r>
      <w:proofErr w:type="gramStart"/>
      <w:r w:rsidRPr="005C29F8">
        <w:rPr>
          <w:rFonts w:cs="Arial"/>
          <w:color w:val="000000" w:themeColor="text1"/>
          <w:szCs w:val="16"/>
        </w:rPr>
        <w:t>CDE,SED</w:t>
      </w:r>
      <w:proofErr w:type="gramEnd"/>
      <w:r w:rsidRPr="005C29F8">
        <w:rPr>
          <w:rFonts w:cs="Arial"/>
          <w:color w:val="000000" w:themeColor="text1"/>
          <w:szCs w:val="16"/>
        </w:rPr>
        <w:t xml:space="preserve"> reviews the DRDP (2015) data in CASEMIS to identify children who have exited preschool special education. The most recent DRDP assessment is used as the 'exit' assessment. </w:t>
      </w:r>
      <w:r w:rsidRPr="005C29F8">
        <w:rPr>
          <w:rFonts w:cs="Arial"/>
          <w:color w:val="000000" w:themeColor="text1"/>
          <w:szCs w:val="16"/>
        </w:rPr>
        <w:br/>
        <w:t xml:space="preserve">- 'Entry' and 'exit' DRDP assessments are paired and extracted for the </w:t>
      </w:r>
      <w:proofErr w:type="gramStart"/>
      <w:r w:rsidRPr="005C29F8">
        <w:rPr>
          <w:rFonts w:cs="Arial"/>
          <w:color w:val="000000" w:themeColor="text1"/>
          <w:szCs w:val="16"/>
        </w:rPr>
        <w:t>Indicator</w:t>
      </w:r>
      <w:proofErr w:type="gramEnd"/>
      <w:r w:rsidRPr="005C29F8">
        <w:rPr>
          <w:rFonts w:cs="Arial"/>
          <w:color w:val="000000" w:themeColor="text1"/>
          <w:szCs w:val="16"/>
        </w:rPr>
        <w:t xml:space="preserve"> 7 analyses. </w:t>
      </w:r>
      <w:r w:rsidRPr="005C29F8">
        <w:rPr>
          <w:rFonts w:cs="Arial"/>
          <w:color w:val="000000" w:themeColor="text1"/>
          <w:szCs w:val="16"/>
        </w:rPr>
        <w:br/>
      </w:r>
      <w:r w:rsidRPr="005C29F8">
        <w:rPr>
          <w:rFonts w:cs="Arial"/>
          <w:color w:val="000000" w:themeColor="text1"/>
          <w:szCs w:val="16"/>
        </w:rPr>
        <w:br/>
        <w:t>For each outcome, the DRDP assessment results determine the extent to which the child’s behaviors and skills are comparable to age expectations. A child's rating is determined to be "within age expectations" if their rating is 1.2 standard deviations below the mean and up. A child's rating is determined to be "close to age expectation" if the rating is between 1.3 and 2.0 standard deviations below the mean for same-age peers. Finally, the child's rating is determined to be "not at age expectations" if the rating is located more than 2 standard deviations below the mean. Once each rating has been categorized into at, close, or not at age expectations, each child’s DRDP “entry” and “exit” data is used to provide an overall summary of progress, determined by comparing each child’s level of functioning and individual progress to a sample of same-aged peers, described below. The child’s progress is then recorded relative to progress expected for children the same age and assigned to the appropriate Progress Category. Using the OSEP Progress Category tabulations, results are calculated for each OSEP outcome and summary statement using OSEP's formulas for calculating these results.</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9B37A2" w:rsidP="007D435F">
      <w:pPr>
        <w:rPr>
          <w:rFonts w:cs="Arial"/>
          <w:color w:val="000000" w:themeColor="text1"/>
          <w:szCs w:val="16"/>
        </w:rPr>
      </w:pP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6"/>
      <w:bookmarkEnd w:id="37"/>
    </w:p>
    <w:p w14:paraId="66FBCA03" w14:textId="77777777" w:rsidR="00B654C1" w:rsidRPr="005C29F8" w:rsidRDefault="00B654C1" w:rsidP="00A018D4">
      <w:pPr>
        <w:rPr>
          <w:color w:val="000000" w:themeColor="text1"/>
          <w:szCs w:val="20"/>
        </w:rPr>
      </w:pPr>
      <w:bookmarkStart w:id="38"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8"/>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r>
      <w:r w:rsidRPr="005C29F8">
        <w:rPr>
          <w:rFonts w:cs="Arial"/>
          <w:color w:val="000000" w:themeColor="text1"/>
          <w:szCs w:val="16"/>
        </w:rPr>
        <w:lastRenderedPageBreak/>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69.00%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91.00%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93.00%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99.22%</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93.76%</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99.42%</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99.56%</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99.57%</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94.00%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837,415</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840,791</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99.57%</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94.00%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99.60%</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840,791</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100.00%</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The required question is asked of every parent in California during the IEP process. It is expected that all California students ages 3-22 will have at least one IEP per year.</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Please see the attachment "Indicator 8 Demographics". </w:t>
      </w:r>
    </w:p>
    <w:p w14:paraId="1A0A4F5E" w14:textId="77777777" w:rsidR="00221EC9" w:rsidRPr="005C29F8" w:rsidRDefault="00221EC9" w:rsidP="00221EC9">
      <w:pPr>
        <w:rPr>
          <w:rFonts w:cs="Arial"/>
          <w:b/>
          <w:color w:val="000000" w:themeColor="text1"/>
          <w:szCs w:val="16"/>
        </w:rPr>
      </w:pPr>
      <w:bookmarkStart w:id="39" w:name="_Toc381956336"/>
      <w:bookmarkStart w:id="40" w:name="_Toc384383342"/>
      <w:bookmarkStart w:id="41" w:name="_Toc392159310"/>
      <w:bookmarkStart w:id="42"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lastRenderedPageBreak/>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5726FC65" w:rsidR="00221EC9" w:rsidRDefault="00752BAF" w:rsidP="008645AD">
      <w:pPr>
        <w:pStyle w:val="Heading2"/>
      </w:pPr>
      <w:r w:rsidRPr="0033429D">
        <w:t>8 - Required Actions</w:t>
      </w:r>
    </w:p>
    <w:p w14:paraId="0DAD9319" w14:textId="665B52D8" w:rsidR="0062549A" w:rsidRDefault="0062549A" w:rsidP="0062549A"/>
    <w:p w14:paraId="58861CD5" w14:textId="738ADFB8" w:rsidR="0062549A" w:rsidRPr="00754134" w:rsidRDefault="0062549A" w:rsidP="00754134">
      <w:pPr>
        <w:pStyle w:val="Heading2"/>
      </w:pPr>
      <w:r w:rsidRPr="00754134">
        <w:t xml:space="preserve">8 - </w:t>
      </w:r>
      <w:r w:rsidR="00754134" w:rsidRPr="00754134">
        <w:t>State Attachments</w:t>
      </w:r>
    </w:p>
    <w:p w14:paraId="48F68B87" w14:textId="7D160B08" w:rsidR="009B37A2" w:rsidRPr="005C29F8" w:rsidRDefault="009B37A2" w:rsidP="001F692C">
      <w:pPr>
        <w:rPr>
          <w:rFonts w:cs="Arial"/>
          <w:color w:val="000000" w:themeColor="text1"/>
          <w:szCs w:val="16"/>
        </w:rPr>
      </w:pPr>
    </w:p>
    <w:p w14:paraId="6D95E736" w14:textId="572F58FE" w:rsidR="00102FA3" w:rsidRPr="005C29F8" w:rsidRDefault="005D5723">
      <w:pPr>
        <w:spacing w:before="0" w:after="200" w:line="276" w:lineRule="auto"/>
        <w:rPr>
          <w:rFonts w:eastAsiaTheme="majorEastAsia" w:cs="Arial"/>
          <w:b/>
          <w:bCs/>
          <w:color w:val="000000" w:themeColor="text1"/>
          <w:szCs w:val="16"/>
        </w:rPr>
      </w:pPr>
      <w:r>
        <w:rPr>
          <w:rFonts w:cs="Arial"/>
          <w:color w:val="000000" w:themeColor="text1"/>
          <w:szCs w:val="16"/>
        </w:rPr>
        <w:object w:dxaOrig="1376" w:dyaOrig="893" w14:anchorId="3FE96566">
          <v:shape id="_x0000_i1037" type="#_x0000_t75" alt="Indicator 8 Demographics" style="width:69.1pt;height:44.1pt" o:ole="">
            <v:imagedata r:id="rId14" o:title=""/>
          </v:shape>
          <o:OLEObject Type="Embed" ProgID="Acrobat.Document.DC" ShapeID="_x0000_i1037" DrawAspect="Icon" ObjectID="_1689081952" r:id="rId15"/>
        </w:object>
      </w:r>
      <w:r w:rsidR="00102FA3"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9"/>
      <w:bookmarkEnd w:id="40"/>
      <w:bookmarkEnd w:id="41"/>
    </w:p>
    <w:p w14:paraId="30C4375D" w14:textId="77777777" w:rsidR="00AF5AFB" w:rsidRPr="005C29F8" w:rsidRDefault="00AF5AFB" w:rsidP="00A018D4">
      <w:pPr>
        <w:rPr>
          <w:color w:val="000000" w:themeColor="text1"/>
          <w:szCs w:val="20"/>
        </w:rPr>
      </w:pPr>
      <w:bookmarkStart w:id="43" w:name="_Toc384383343"/>
      <w:bookmarkStart w:id="44"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 xml:space="preserve">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5" w:name="_Toc384383344"/>
      <w:bookmarkStart w:id="46" w:name="_Toc392159312"/>
      <w:bookmarkEnd w:id="43"/>
      <w:bookmarkEnd w:id="44"/>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2016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2.57%</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0.10%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2.57%</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0.88%</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1.60%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5"/>
      <w:bookmarkEnd w:id="46"/>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265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55</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29</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1,411</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1.60%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2.06%</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Did Not Meet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Slippage</w:t>
            </w:r>
          </w:p>
        </w:tc>
      </w:tr>
    </w:tbl>
    <w:p w14:paraId="131D190C" w14:textId="3A9A960D" w:rsidR="009A16E4" w:rsidRPr="005C29F8" w:rsidRDefault="009B37A2" w:rsidP="009A16E4">
      <w:pPr>
        <w:rPr>
          <w:rFonts w:cs="Arial"/>
          <w:b/>
          <w:i/>
          <w:color w:val="000000" w:themeColor="text1"/>
          <w:szCs w:val="16"/>
        </w:rPr>
      </w:pPr>
      <w:r w:rsidRPr="005C29F8">
        <w:rPr>
          <w:rFonts w:cs="Arial"/>
          <w:b/>
          <w:color w:val="000000" w:themeColor="text1"/>
          <w:szCs w:val="16"/>
        </w:rPr>
        <w:t>Provide reasons for slippage, if applicable</w:t>
      </w:r>
    </w:p>
    <w:p w14:paraId="416C8532" w14:textId="509AA75E" w:rsidR="009B37A2" w:rsidRDefault="002B7490" w:rsidP="007D435F">
      <w:pPr>
        <w:rPr>
          <w:rFonts w:cs="Arial"/>
          <w:color w:val="000000" w:themeColor="text1"/>
          <w:szCs w:val="16"/>
        </w:rPr>
      </w:pPr>
      <w:r w:rsidRPr="005C29F8">
        <w:rPr>
          <w:rFonts w:cs="Arial"/>
          <w:color w:val="000000" w:themeColor="text1"/>
          <w:szCs w:val="16"/>
        </w:rPr>
        <w:t xml:space="preserve">The CDE continues to refine its methodology and training for identification of non-compliance associated with disproportionality. In 2018-19, the CDE normed its instrument and improved inter-rater reliability with key staff responsible for this review. As such the CDE, has continued to </w:t>
      </w:r>
      <w:proofErr w:type="gramStart"/>
      <w:r w:rsidRPr="005C29F8">
        <w:rPr>
          <w:rFonts w:cs="Arial"/>
          <w:color w:val="000000" w:themeColor="text1"/>
          <w:szCs w:val="16"/>
        </w:rPr>
        <w:t>more widely and accurately identify instances of non-compliance</w:t>
      </w:r>
      <w:proofErr w:type="gramEnd"/>
      <w:r w:rsidRPr="005C29F8">
        <w:rPr>
          <w:rFonts w:cs="Arial"/>
          <w:color w:val="000000" w:themeColor="text1"/>
          <w:szCs w:val="16"/>
        </w:rPr>
        <w:t>, resulting in more instances of non-compliance identified. In future years, the CDE believes this consistency will help the field reduce the number of non-compliances</w:t>
      </w:r>
    </w:p>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7" w:name="_Hlk494459610"/>
      <w:r w:rsidRPr="005C29F8">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5C29F8">
        <w:rPr>
          <w:rFonts w:cs="Arial"/>
          <w:color w:val="000000" w:themeColor="text1"/>
          <w:szCs w:val="16"/>
        </w:rPr>
        <w:br/>
      </w:r>
      <w:r w:rsidRPr="005C29F8">
        <w:rPr>
          <w:rFonts w:cs="Arial"/>
          <w:color w:val="000000" w:themeColor="text1"/>
          <w:szCs w:val="16"/>
        </w:rPr>
        <w:br/>
        <w:t xml:space="preserve">In order to better align the disproportionality process with the Significant Disproportionality guidelines issued by the federal Office of Special Education Programs (OSEP), the CDE is made changes to the calculation methodologies for Indicators 4, 9, and 10 and adding least restrictive environment (LRE) to disproportionality. These changes were effective for the data 2016–17 data year using the December 2016 CASEMIS data. </w:t>
      </w:r>
      <w:r w:rsidRPr="005C29F8">
        <w:rPr>
          <w:rFonts w:cs="Arial"/>
          <w:color w:val="000000" w:themeColor="text1"/>
          <w:szCs w:val="16"/>
        </w:rPr>
        <w:br/>
      </w:r>
      <w:r w:rsidRPr="005C29F8">
        <w:rPr>
          <w:rFonts w:cs="Arial"/>
          <w:color w:val="000000" w:themeColor="text1"/>
          <w:szCs w:val="16"/>
        </w:rPr>
        <w:br/>
        <w:t>The elements of all four indicators will use the Risk Ratio (see below) maximum of 3.0 to determine disproportionality with the following exceptions:</w:t>
      </w:r>
      <w:r w:rsidRPr="005C29F8">
        <w:rPr>
          <w:rFonts w:cs="Arial"/>
          <w:color w:val="000000" w:themeColor="text1"/>
          <w:szCs w:val="16"/>
        </w:rPr>
        <w:br/>
        <w:t xml:space="preserve"> </w:t>
      </w:r>
      <w:r w:rsidRPr="005C29F8">
        <w:rPr>
          <w:rFonts w:cs="Arial"/>
          <w:color w:val="000000" w:themeColor="text1"/>
          <w:szCs w:val="16"/>
        </w:rPr>
        <w:br/>
        <w:t xml:space="preserve">-If the numerator is less than 10 and the number of students in the race/ethnicity General Education group (denominator) is less than 20, then no calculation is done. </w:t>
      </w:r>
      <w:r w:rsidRPr="005C29F8">
        <w:rPr>
          <w:rFonts w:cs="Arial"/>
          <w:color w:val="000000" w:themeColor="text1"/>
          <w:szCs w:val="16"/>
        </w:rPr>
        <w:br/>
        <w:t>-If the numerator is less than 10 or the denominator is less than 20, then the Alternate Risk Ratio is used instead of the Risk Ratio.</w:t>
      </w:r>
    </w:p>
    <w:bookmarkEnd w:id="47"/>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 xml:space="preserve">In FFY 2019, California identified 29 districts with non-compliant policies, procedures, or practices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5C29F8">
        <w:rPr>
          <w:rFonts w:cs="Arial"/>
          <w:color w:val="000000" w:themeColor="text1"/>
          <w:szCs w:val="16"/>
        </w:rPr>
        <w:br/>
      </w:r>
      <w:r w:rsidRPr="005C29F8">
        <w:rPr>
          <w:rFonts w:cs="Arial"/>
          <w:color w:val="000000" w:themeColor="text1"/>
          <w:szCs w:val="16"/>
        </w:rPr>
        <w:br/>
        <w:t>Review Instruments</w:t>
      </w:r>
      <w:r w:rsidRPr="005C29F8">
        <w:rPr>
          <w:rFonts w:cs="Arial"/>
          <w:color w:val="000000" w:themeColor="text1"/>
          <w:szCs w:val="16"/>
        </w:rPr>
        <w:br/>
        <w:t>https://www3.cde.ca.gov/exfiles/downloadurl.aspx?pid=111&amp;dc=9d9bedae51df4ef38b</w:t>
      </w:r>
      <w:r w:rsidRPr="005C29F8">
        <w:rPr>
          <w:rFonts w:cs="Arial"/>
          <w:color w:val="000000" w:themeColor="text1"/>
          <w:szCs w:val="16"/>
        </w:rPr>
        <w:br/>
        <w:t xml:space="preserve">https://www3.cde.ca.gov/exfiles/downloadurl.aspx?pid=111&amp;dc=6a9edab3ea09460f94 </w:t>
      </w:r>
    </w:p>
    <w:p w14:paraId="3B71A72A" w14:textId="77777777" w:rsidR="00DF1529" w:rsidRPr="005C29F8" w:rsidRDefault="00DF1529" w:rsidP="00DF1529">
      <w:pPr>
        <w:rPr>
          <w:rFonts w:cs="Arial"/>
          <w:b/>
          <w:color w:val="000000" w:themeColor="text1"/>
          <w:szCs w:val="16"/>
        </w:rPr>
      </w:pPr>
      <w:bookmarkStart w:id="48" w:name="_Toc381956337"/>
      <w:bookmarkStart w:id="49" w:name="_Toc384383347"/>
      <w:bookmarkStart w:id="50"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153</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153</w:t>
            </w:r>
          </w:p>
        </w:tc>
        <w:tc>
          <w:tcPr>
            <w:tcW w:w="1231" w:type="pct"/>
            <w:shd w:val="clear" w:color="auto" w:fill="auto"/>
          </w:tcPr>
          <w:p w14:paraId="62D59DBA" w14:textId="3A100C9A" w:rsidR="009A755E" w:rsidRPr="005C29F8"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3C2F39CD" w14:textId="2D1564CA" w:rsidR="009A755E" w:rsidRPr="005C29F8" w:rsidRDefault="00062E68" w:rsidP="004369B2">
      <w:pPr>
        <w:rPr>
          <w:color w:val="000000" w:themeColor="text1"/>
        </w:rPr>
      </w:pPr>
      <w:r w:rsidRPr="005C29F8">
        <w:rPr>
          <w:b/>
          <w:color w:val="000000" w:themeColor="text1"/>
        </w:rPr>
        <w:t>FFY 2018 Findings of Noncompliance Verified as Corrected</w:t>
      </w:r>
    </w:p>
    <w:p w14:paraId="7AC94450" w14:textId="56C7B7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523C0021" w14:textId="2319844E" w:rsidR="009B37A2" w:rsidRPr="005C29F8" w:rsidRDefault="002B7490" w:rsidP="009A755E">
      <w:pPr>
        <w:rPr>
          <w:rFonts w:cs="Arial"/>
          <w:color w:val="000000" w:themeColor="text1"/>
          <w:szCs w:val="16"/>
        </w:rPr>
      </w:pPr>
      <w:r w:rsidRPr="005C29F8">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5C29F8">
        <w:rPr>
          <w:rFonts w:cs="Arial"/>
          <w:color w:val="000000" w:themeColor="text1"/>
          <w:szCs w:val="16"/>
        </w:rPr>
        <w:br/>
      </w:r>
      <w:r w:rsidRPr="005C29F8">
        <w:rPr>
          <w:rFonts w:cs="Arial"/>
          <w:color w:val="000000" w:themeColor="text1"/>
          <w:szCs w:val="16"/>
        </w:rPr>
        <w:br/>
        <w:t>In 2019—20, verification of correction of student and district level noncompliance included the review of:</w:t>
      </w:r>
      <w:r w:rsidRPr="005C29F8">
        <w:rPr>
          <w:rFonts w:cs="Arial"/>
          <w:color w:val="000000" w:themeColor="text1"/>
          <w:szCs w:val="16"/>
        </w:rPr>
        <w:br/>
      </w:r>
      <w:r w:rsidRPr="005C29F8">
        <w:rPr>
          <w:rFonts w:cs="Arial"/>
          <w:color w:val="000000" w:themeColor="text1"/>
          <w:szCs w:val="16"/>
        </w:rPr>
        <w:lastRenderedPageBreak/>
        <w:t>-Evidence of student-level correction;</w:t>
      </w:r>
      <w:r w:rsidRPr="005C29F8">
        <w:rPr>
          <w:rFonts w:cs="Arial"/>
          <w:color w:val="000000" w:themeColor="text1"/>
          <w:szCs w:val="16"/>
        </w:rPr>
        <w:br/>
        <w:t>-Review of policies, procedures, and practices including dissemination and staff training; and in cases where district level correction</w:t>
      </w:r>
      <w:r w:rsidRPr="005C29F8">
        <w:rPr>
          <w:rFonts w:cs="Arial"/>
          <w:color w:val="000000" w:themeColor="text1"/>
          <w:szCs w:val="16"/>
        </w:rPr>
        <w:br/>
        <w:t>was needed, a review of updated data.</w:t>
      </w:r>
      <w:r w:rsidRPr="005C29F8">
        <w:rPr>
          <w:rFonts w:cs="Arial"/>
          <w:color w:val="000000" w:themeColor="text1"/>
          <w:szCs w:val="16"/>
        </w:rPr>
        <w:br/>
        <w:t>-A follow-up review and reporting is required of districts that have previously corrected non-compliance related to this indicator (Prong</w:t>
      </w:r>
      <w:r w:rsidRPr="005C29F8">
        <w:rPr>
          <w:rFonts w:cs="Arial"/>
          <w:color w:val="000000" w:themeColor="text1"/>
          <w:szCs w:val="16"/>
        </w:rPr>
        <w:br/>
        <w:t>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ensured correction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7EDB57CA" w14:textId="4CA8452B"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26BFFD39" w14:textId="39551ED5" w:rsidR="009B37A2"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w:t>
      </w:r>
      <w:r w:rsidRPr="005C29F8">
        <w:rPr>
          <w:rFonts w:cs="Arial"/>
          <w:color w:val="000000" w:themeColor="text1"/>
          <w:szCs w:val="16"/>
        </w:rPr>
        <w:br/>
      </w:r>
      <w:r w:rsidRPr="005C29F8">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 xml:space="preserve">If a LEA had a student level finding of noncompliance, it must submit evidence that it corrected the noncompliance at the student level. In the instance a LEA is found noncompliant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5C29F8">
        <w:rPr>
          <w:rFonts w:cs="Arial"/>
          <w:color w:val="000000" w:themeColor="text1"/>
          <w:szCs w:val="16"/>
        </w:rPr>
        <w:br/>
      </w:r>
      <w:r w:rsidRPr="005C29F8">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5C29F8">
        <w:rPr>
          <w:rFonts w:cs="Arial"/>
          <w:color w:val="000000" w:themeColor="text1"/>
          <w:szCs w:val="16"/>
        </w:rPr>
        <w:br/>
      </w:r>
      <w:r w:rsidRPr="005C29F8">
        <w:rPr>
          <w:rFonts w:cs="Arial"/>
          <w:color w:val="000000" w:themeColor="text1"/>
          <w:szCs w:val="16"/>
        </w:rPr>
        <w:br/>
        <w:t>The CDE ensured correction of all 153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29 districts identified in FFY 2019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8"/>
      <w:bookmarkEnd w:id="49"/>
      <w:bookmarkEnd w:id="50"/>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1" w:name="_Toc384383348"/>
      <w:bookmarkStart w:id="52"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 xml:space="preserve">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3" w:name="_Toc384383349"/>
      <w:bookmarkStart w:id="54" w:name="_Toc392159317"/>
      <w:bookmarkEnd w:id="51"/>
      <w:bookmarkEnd w:id="52"/>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17.14%</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0.88%</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0.73%</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17.14%</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27.76%</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9.91%</w:t>
            </w:r>
          </w:p>
        </w:tc>
      </w:tr>
      <w:bookmarkEnd w:id="53"/>
      <w:bookmarkEnd w:id="54"/>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5" w:name="_Hlk20258880"/>
      <w:r w:rsidRPr="005C29F8">
        <w:rPr>
          <w:rFonts w:cs="Arial"/>
          <w:color w:val="000000" w:themeColor="text1"/>
          <w:szCs w:val="16"/>
        </w:rPr>
        <w:t>YES</w:t>
      </w:r>
    </w:p>
    <w:bookmarkEnd w:id="55"/>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535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261</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161</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1,141</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9.91%</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14.11%</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Did Not Meet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Slippage</w:t>
            </w:r>
          </w:p>
        </w:tc>
      </w:tr>
    </w:tbl>
    <w:p w14:paraId="0E1E4F36" w14:textId="60D86C29" w:rsidR="005A3C12" w:rsidRPr="005C29F8" w:rsidRDefault="00481536" w:rsidP="005A3C12">
      <w:pPr>
        <w:rPr>
          <w:rFonts w:cs="Arial"/>
          <w:b/>
          <w:i/>
          <w:color w:val="000000" w:themeColor="text1"/>
          <w:szCs w:val="16"/>
        </w:rPr>
      </w:pPr>
      <w:r w:rsidRPr="005C29F8">
        <w:rPr>
          <w:rFonts w:cs="Arial"/>
          <w:b/>
          <w:color w:val="000000" w:themeColor="text1"/>
          <w:szCs w:val="16"/>
        </w:rPr>
        <w:t>Provide reasons for slippage, if applicable</w:t>
      </w:r>
    </w:p>
    <w:p w14:paraId="56E7E1AB" w14:textId="49EDEFD6" w:rsidR="00481536" w:rsidRDefault="002B7490" w:rsidP="00B6413B">
      <w:pPr>
        <w:rPr>
          <w:rFonts w:cs="Arial"/>
          <w:color w:val="000000" w:themeColor="text1"/>
          <w:szCs w:val="16"/>
        </w:rPr>
      </w:pPr>
      <w:r w:rsidRPr="005C29F8">
        <w:rPr>
          <w:rFonts w:cs="Arial"/>
          <w:color w:val="000000" w:themeColor="text1"/>
          <w:szCs w:val="16"/>
        </w:rPr>
        <w:t xml:space="preserve">The CDE continues to refine its methodology and training for identification of non-compliance associated with disproportionality. In 2018-19, the CDE normed its instrument and improved inter-rater reliability with key staff responsible for this review. As such the CDE, has continued to </w:t>
      </w:r>
      <w:proofErr w:type="gramStart"/>
      <w:r w:rsidRPr="005C29F8">
        <w:rPr>
          <w:rFonts w:cs="Arial"/>
          <w:color w:val="000000" w:themeColor="text1"/>
          <w:szCs w:val="16"/>
        </w:rPr>
        <w:t>more widely and accurately identify instances of non-compliance</w:t>
      </w:r>
      <w:proofErr w:type="gramEnd"/>
      <w:r w:rsidRPr="005C29F8">
        <w:rPr>
          <w:rFonts w:cs="Arial"/>
          <w:color w:val="000000" w:themeColor="text1"/>
          <w:szCs w:val="16"/>
        </w:rPr>
        <w:t>, resulting in more instances of non-compliance identified. In future years, the CDE believes this consistency will help the field reduce the number of non-compliances.</w:t>
      </w:r>
    </w:p>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5C29F8">
        <w:rPr>
          <w:rFonts w:cs="Arial"/>
          <w:color w:val="000000" w:themeColor="text1"/>
          <w:szCs w:val="16"/>
        </w:rPr>
        <w:br/>
      </w:r>
      <w:r w:rsidRPr="005C29F8">
        <w:rPr>
          <w:rFonts w:cs="Arial"/>
          <w:color w:val="000000" w:themeColor="text1"/>
          <w:szCs w:val="16"/>
        </w:rPr>
        <w:br/>
        <w:t>In order to better align the disproportionality process with the Significant Disproportionality guidelines issued by the federal Office of Special Education Programs (OSEP), the CDE made changes to the calculation methodologies for Indicators 4, 9, and 10 and added least restrictive environment (LRE) to disproportionality. These changes are effective for the data 2016–17 data year using the December 2016 CASEMIS data.</w:t>
      </w:r>
      <w:r w:rsidRPr="005C29F8">
        <w:rPr>
          <w:rFonts w:cs="Arial"/>
          <w:color w:val="000000" w:themeColor="text1"/>
          <w:szCs w:val="16"/>
        </w:rPr>
        <w:br/>
      </w:r>
      <w:r w:rsidRPr="005C29F8">
        <w:rPr>
          <w:rFonts w:cs="Arial"/>
          <w:color w:val="000000" w:themeColor="text1"/>
          <w:szCs w:val="16"/>
        </w:rPr>
        <w:br/>
        <w:t>The elements of all four indicators will use the Risk Ratio (see below) maximum of 3.0 to determine disproportionality with the following exceptions:</w:t>
      </w:r>
      <w:r w:rsidRPr="005C29F8">
        <w:rPr>
          <w:rFonts w:cs="Arial"/>
          <w:color w:val="000000" w:themeColor="text1"/>
          <w:szCs w:val="16"/>
        </w:rPr>
        <w:br/>
      </w:r>
      <w:r w:rsidRPr="005C29F8">
        <w:rPr>
          <w:rFonts w:cs="Arial"/>
          <w:color w:val="000000" w:themeColor="text1"/>
          <w:szCs w:val="16"/>
        </w:rPr>
        <w:br/>
        <w:t>-If the numerator is less than 10 and the number of students in the race/ethnicity General Education group (denominator) is less than 20, then no calculation is done</w:t>
      </w:r>
      <w:r w:rsidRPr="005C29F8">
        <w:rPr>
          <w:rFonts w:cs="Arial"/>
          <w:color w:val="000000" w:themeColor="text1"/>
          <w:szCs w:val="16"/>
        </w:rPr>
        <w:br/>
        <w:t>-If the numerator is less than 10 or the denominator is less than 20, then the Alternate Risk Ratio (see below) is used instead of the Risk Ratio.</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 xml:space="preserve">In FFY 2019, California identified 161 districts with </w:t>
      </w:r>
      <w:proofErr w:type="spellStart"/>
      <w:proofErr w:type="gramStart"/>
      <w:r w:rsidRPr="005C29F8">
        <w:rPr>
          <w:rFonts w:cs="Arial"/>
          <w:color w:val="000000" w:themeColor="text1"/>
          <w:szCs w:val="16"/>
        </w:rPr>
        <w:t>non compliant</w:t>
      </w:r>
      <w:proofErr w:type="spellEnd"/>
      <w:proofErr w:type="gramEnd"/>
      <w:r w:rsidRPr="005C29F8">
        <w:rPr>
          <w:rFonts w:cs="Arial"/>
          <w:color w:val="000000" w:themeColor="text1"/>
          <w:szCs w:val="16"/>
        </w:rPr>
        <w:t xml:space="preserve"> policies, procedures, or practices as a result of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5C29F8">
        <w:rPr>
          <w:rFonts w:cs="Arial"/>
          <w:color w:val="000000" w:themeColor="text1"/>
          <w:szCs w:val="16"/>
        </w:rPr>
        <w:br/>
      </w:r>
      <w:r w:rsidRPr="005C29F8">
        <w:rPr>
          <w:rFonts w:cs="Arial"/>
          <w:color w:val="000000" w:themeColor="text1"/>
          <w:szCs w:val="16"/>
        </w:rPr>
        <w:br/>
        <w:t>Review Instruments</w:t>
      </w:r>
      <w:r w:rsidRPr="005C29F8">
        <w:rPr>
          <w:rFonts w:cs="Arial"/>
          <w:color w:val="000000" w:themeColor="text1"/>
          <w:szCs w:val="16"/>
        </w:rPr>
        <w:br/>
        <w:t>https://www3.cde.ca.gov/exfiles/downloadurl.aspx?pid=111&amp;dc=9d9bedae51df4ef38b</w:t>
      </w:r>
      <w:r w:rsidRPr="005C29F8">
        <w:rPr>
          <w:rFonts w:cs="Arial"/>
          <w:color w:val="000000" w:themeColor="text1"/>
          <w:szCs w:val="16"/>
        </w:rPr>
        <w:br/>
        <w:t xml:space="preserve">https://www3.cde.ca.gov/exfiles/downloadurl.aspx?pid=111&amp;dc=6a9edab3ea09460f94 </w:t>
      </w:r>
    </w:p>
    <w:p w14:paraId="1FCF1BF3" w14:textId="77777777" w:rsidR="00DF1529" w:rsidRPr="005C29F8" w:rsidRDefault="00DF1529" w:rsidP="00DF1529">
      <w:pPr>
        <w:rPr>
          <w:rFonts w:cs="Arial"/>
          <w:b/>
          <w:color w:val="000000" w:themeColor="text1"/>
          <w:szCs w:val="16"/>
        </w:rPr>
      </w:pPr>
      <w:bookmarkStart w:id="56" w:name="_Toc381956338"/>
      <w:bookmarkStart w:id="57" w:name="_Toc384383352"/>
      <w:bookmarkStart w:id="58"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1,185</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1,185</w:t>
            </w:r>
          </w:p>
        </w:tc>
        <w:tc>
          <w:tcPr>
            <w:tcW w:w="1231" w:type="pct"/>
            <w:shd w:val="clear" w:color="auto" w:fill="auto"/>
          </w:tcPr>
          <w:p w14:paraId="2CDC48CC" w14:textId="2F009478" w:rsidR="009A755E" w:rsidRPr="005C29F8"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3E10DC89" w14:textId="11848045" w:rsidR="009A755E" w:rsidRPr="005C29F8" w:rsidRDefault="00062E68" w:rsidP="004369B2">
      <w:pPr>
        <w:rPr>
          <w:color w:val="000000" w:themeColor="text1"/>
        </w:rPr>
      </w:pPr>
      <w:r w:rsidRPr="005C29F8">
        <w:rPr>
          <w:b/>
          <w:color w:val="000000" w:themeColor="text1"/>
        </w:rPr>
        <w:t>FFY 2018 Findings of Noncompliance Verified as Corrected</w:t>
      </w:r>
    </w:p>
    <w:p w14:paraId="27E95BD9" w14:textId="01753F63"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5C2199FC" w14:textId="017DB233" w:rsidR="00481536" w:rsidRPr="005C29F8" w:rsidRDefault="002B7490" w:rsidP="009A755E">
      <w:pPr>
        <w:rPr>
          <w:rFonts w:cs="Arial"/>
          <w:color w:val="000000" w:themeColor="text1"/>
          <w:szCs w:val="16"/>
        </w:rPr>
      </w:pPr>
      <w:r w:rsidRPr="005C29F8">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w:t>
      </w:r>
      <w:r w:rsidRPr="005C29F8">
        <w:rPr>
          <w:rFonts w:cs="Arial"/>
          <w:color w:val="000000" w:themeColor="text1"/>
          <w:szCs w:val="16"/>
        </w:rPr>
        <w:lastRenderedPageBreak/>
        <w:t xml:space="preserve">practices, and procedures when noncompliance is identified. </w:t>
      </w:r>
      <w:r w:rsidRPr="005C29F8">
        <w:rPr>
          <w:rFonts w:cs="Arial"/>
          <w:color w:val="000000" w:themeColor="text1"/>
          <w:szCs w:val="16"/>
        </w:rPr>
        <w:br/>
      </w:r>
      <w:r w:rsidRPr="005C29F8">
        <w:rPr>
          <w:rFonts w:cs="Arial"/>
          <w:color w:val="000000" w:themeColor="text1"/>
          <w:szCs w:val="16"/>
        </w:rPr>
        <w:br/>
        <w:t>In 2019—20, verification of correction of student and district level noncompliance included the review of:</w:t>
      </w:r>
      <w:r w:rsidRPr="005C29F8">
        <w:rPr>
          <w:rFonts w:cs="Arial"/>
          <w:color w:val="000000" w:themeColor="text1"/>
          <w:szCs w:val="16"/>
        </w:rPr>
        <w:br/>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 was needed, a review of updated data.</w:t>
      </w:r>
      <w:r w:rsidRPr="005C29F8">
        <w:rPr>
          <w:rFonts w:cs="Arial"/>
          <w:color w:val="000000" w:themeColor="text1"/>
          <w:szCs w:val="16"/>
        </w:rPr>
        <w:br/>
        <w:t>-A follow-up review and reporting is required of districts that have previously corrected non-compliance related to this indicator</w:t>
      </w:r>
      <w:r w:rsidRPr="005C29F8">
        <w:rPr>
          <w:rFonts w:cs="Arial"/>
          <w:color w:val="000000" w:themeColor="text1"/>
          <w:szCs w:val="16"/>
        </w:rPr>
        <w:br/>
        <w:t>(Prong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ensured correction using the standard identified in OSEP Memorandum 09-02, dated October 17, 2008 (OSEP Memo 09-02): (1) correctly implemented the specific regulatory</w:t>
      </w:r>
      <w:r w:rsidRPr="005C29F8">
        <w:rPr>
          <w:rFonts w:cs="Arial"/>
          <w:color w:val="000000" w:themeColor="text1"/>
          <w:szCs w:val="16"/>
        </w:rPr>
        <w:br/>
        <w:t>requirements in 34 CFR 300.111, 300.201, and 300.301 through 300.311; and (2) has corrected each individual case of noncompliance, unless the child is no longer within the jurisdiction of the LEA.</w:t>
      </w:r>
    </w:p>
    <w:p w14:paraId="1C95262D" w14:textId="0A0D77F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509F07B7" w14:textId="39A4D42E" w:rsidR="00481536"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w:t>
      </w:r>
      <w:r w:rsidRPr="005C29F8">
        <w:rPr>
          <w:rFonts w:cs="Arial"/>
          <w:color w:val="000000" w:themeColor="text1"/>
          <w:szCs w:val="16"/>
        </w:rPr>
        <w:br/>
      </w:r>
      <w:r w:rsidRPr="005C29F8">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 xml:space="preserve">If a LEA has a student level finding of noncompliance, it must submit evidence that it has corrected the noncompliance at the student level. In the instance a LEA was found noncompliant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5C29F8">
        <w:rPr>
          <w:rFonts w:cs="Arial"/>
          <w:color w:val="000000" w:themeColor="text1"/>
          <w:szCs w:val="16"/>
        </w:rPr>
        <w:br/>
      </w:r>
      <w:r w:rsidRPr="005C29F8">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5C29F8">
        <w:rPr>
          <w:rFonts w:cs="Arial"/>
          <w:color w:val="000000" w:themeColor="text1"/>
          <w:szCs w:val="16"/>
        </w:rPr>
        <w:br/>
      </w:r>
      <w:r w:rsidRPr="005C29F8">
        <w:rPr>
          <w:rFonts w:cs="Arial"/>
          <w:color w:val="000000" w:themeColor="text1"/>
          <w:szCs w:val="16"/>
        </w:rPr>
        <w:br/>
        <w:t>The CDE ensured correction of all 1,185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161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6"/>
      <w:bookmarkEnd w:id="57"/>
      <w:bookmarkEnd w:id="58"/>
    </w:p>
    <w:p w14:paraId="4F5D642D" w14:textId="77777777" w:rsidR="00E119B0" w:rsidRPr="005C29F8" w:rsidRDefault="00E119B0" w:rsidP="00A018D4">
      <w:pPr>
        <w:rPr>
          <w:color w:val="000000" w:themeColor="text1"/>
          <w:szCs w:val="20"/>
        </w:rPr>
      </w:pPr>
      <w:bookmarkStart w:id="59" w:name="_Toc384383353"/>
      <w:bookmarkStart w:id="60"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1" w:name="_Toc384383354"/>
      <w:bookmarkStart w:id="62" w:name="_Toc392159322"/>
      <w:bookmarkEnd w:id="59"/>
      <w:bookmarkEnd w:id="60"/>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81.47%</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96.04%</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98.76%</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98.46%</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97.86%</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96.17%</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96,210</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92,578</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96.17%</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96.22%</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3,632</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 xml:space="preserve">There are 5 delay reasons collected: Parent did not make child available, official school break of 5 days or more, transfer, late without cause, and other (example: mediation agreement or natural disaster).  </w:t>
      </w:r>
      <w:r w:rsidRPr="006620F3">
        <w:rPr>
          <w:color w:val="000000" w:themeColor="text1"/>
        </w:rPr>
        <w:br/>
      </w:r>
      <w:r w:rsidRPr="006620F3">
        <w:rPr>
          <w:color w:val="000000" w:themeColor="text1"/>
        </w:rPr>
        <w:br/>
        <w:t xml:space="preserve">Please see attachment for table. </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 xml:space="preserve">According to Education Code Section 56043(f): "An individualized education program required as a result of an assessment of a pupil shall be developed within a total time not to exceed 60 calendar days, not counting days between the pupil's regular school sessions, terms, or days of school vacation in excess of five school days, from the date of receipt of the parent's or guardian's written consent for assessment, unless the parent or guardian agrees in writing to an extension, pursuant to Section 56344". </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data is collected through the CALPADS end of year submission. The CALPADS is a longitudinal student data reporting and retrieval system designed to accept and validate student level data submitted to the CDE. The CALPADS is one of many tools used to support the CDE's valid and reliable data efforts.</w:t>
      </w:r>
    </w:p>
    <w:p w14:paraId="4F981BFF" w14:textId="77777777" w:rsidR="00C86164" w:rsidRPr="005C29F8" w:rsidRDefault="00C86164" w:rsidP="00C86164">
      <w:pPr>
        <w:rPr>
          <w:rFonts w:cs="Arial"/>
          <w:b/>
          <w:color w:val="000000" w:themeColor="text1"/>
          <w:szCs w:val="16"/>
        </w:rPr>
      </w:pPr>
      <w:bookmarkStart w:id="63" w:name="_Toc381956339"/>
      <w:bookmarkStart w:id="64" w:name="_Toc384383357"/>
      <w:bookmarkStart w:id="65"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 xml:space="preserve">The Governor of California issued a </w:t>
      </w:r>
      <w:proofErr w:type="gramStart"/>
      <w:r w:rsidRPr="005C29F8">
        <w:rPr>
          <w:rFonts w:cs="Arial"/>
          <w:color w:val="000000" w:themeColor="text1"/>
          <w:szCs w:val="16"/>
        </w:rPr>
        <w:t>stay at home</w:t>
      </w:r>
      <w:proofErr w:type="gramEnd"/>
      <w:r w:rsidRPr="005C29F8">
        <w:rPr>
          <w:rFonts w:cs="Arial"/>
          <w:color w:val="000000" w:themeColor="text1"/>
          <w:szCs w:val="16"/>
        </w:rPr>
        <w:t xml:space="preserve"> order on March 19, 2020, this immediately shut down schools across the state. The statewide school closure impacted the data for this indicator by truncating the school year and impugned the completeness and reliability of this data. The data was specifically impacted by Covid-19 because Indicator 11 data is collected during the end of year CALPADS submission which includes the </w:t>
      </w:r>
      <w:proofErr w:type="gramStart"/>
      <w:r w:rsidRPr="005C29F8">
        <w:rPr>
          <w:rFonts w:cs="Arial"/>
          <w:color w:val="000000" w:themeColor="text1"/>
          <w:szCs w:val="16"/>
        </w:rPr>
        <w:t>period of time</w:t>
      </w:r>
      <w:proofErr w:type="gramEnd"/>
      <w:r w:rsidRPr="005C29F8">
        <w:rPr>
          <w:rFonts w:cs="Arial"/>
          <w:color w:val="000000" w:themeColor="text1"/>
          <w:szCs w:val="16"/>
        </w:rPr>
        <w:t xml:space="preserve"> schools were closed. The CDE took steps to mitigate the impact on the data collection by issuing guidance to LEAs on the requirement to continue to implement the requirements of IDEA during the school site closures. The CDE established a web page for information and guidance related to Covid-19 on the CDE website at https://www.cde.ca.gov/ls/he/hn/coronavirus.asp. </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4,723</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4,723</w:t>
            </w: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In 2019–20, verification of correction of student and district level noncompliance included the review of:</w:t>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 was needed, a review of updated data.</w:t>
      </w:r>
      <w:r w:rsidRPr="005C29F8">
        <w:rPr>
          <w:rFonts w:cs="Arial"/>
          <w:color w:val="000000" w:themeColor="text1"/>
          <w:szCs w:val="16"/>
        </w:rPr>
        <w:br/>
        <w:t>-A follow-up review and reporting is required of districts that have previously corrected non-compliance related to this indicator (</w:t>
      </w:r>
      <w:proofErr w:type="spellStart"/>
      <w:r w:rsidRPr="005C29F8">
        <w:rPr>
          <w:rFonts w:cs="Arial"/>
          <w:color w:val="000000" w:themeColor="text1"/>
          <w:szCs w:val="16"/>
        </w:rPr>
        <w:t>ProngII</w:t>
      </w:r>
      <w:proofErr w:type="spellEnd"/>
      <w:r w:rsidRPr="005C29F8">
        <w:rPr>
          <w:rFonts w:cs="Arial"/>
          <w:color w:val="000000" w:themeColor="text1"/>
          <w:szCs w:val="16"/>
        </w:rPr>
        <w:t>).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The CDE ensured the correction of all 4,723 findings using the standard identified in OSEP Memorandum 09-02, dated October 17, 2008 (OSEP Memo 09-02): (1) correctly implemented the specific regulatory requirements in 34 CFR </w:t>
      </w:r>
      <w:proofErr w:type="gramStart"/>
      <w:r w:rsidRPr="005C29F8">
        <w:rPr>
          <w:rFonts w:cs="Arial"/>
          <w:color w:val="000000" w:themeColor="text1"/>
          <w:szCs w:val="16"/>
        </w:rPr>
        <w:t>300.301 ;</w:t>
      </w:r>
      <w:proofErr w:type="gramEnd"/>
      <w:r w:rsidRPr="005C29F8">
        <w:rPr>
          <w:rFonts w:cs="Arial"/>
          <w:color w:val="000000" w:themeColor="text1"/>
          <w:szCs w:val="16"/>
        </w:rPr>
        <w:t xml:space="preserve"> and (2) has corrected each individual case of noncompliance, unless the child is no longer within the jurisdiction of the LEA.</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w:t>
      </w:r>
      <w:r w:rsidRPr="005C29F8">
        <w:rPr>
          <w:rFonts w:cs="Arial"/>
          <w:color w:val="000000" w:themeColor="text1"/>
          <w:szCs w:val="16"/>
        </w:rPr>
        <w:br/>
      </w:r>
      <w:r w:rsidRPr="005C29F8">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If a LEA had a student level finding of noncompliance, it must submit evidence that it corrected the noncompliance at the student level. In the instance a LEA did not evaluate a child within 60 days of receiving parental consent, the LEA must submit evidence that it held an evaluation, albeit late.</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5C29F8">
        <w:rPr>
          <w:rFonts w:cs="Arial"/>
          <w:color w:val="000000" w:themeColor="text1"/>
          <w:szCs w:val="16"/>
        </w:rPr>
        <w:br/>
      </w:r>
      <w:r w:rsidRPr="005C29F8">
        <w:rPr>
          <w:rFonts w:cs="Arial"/>
          <w:color w:val="000000" w:themeColor="text1"/>
          <w:szCs w:val="16"/>
        </w:rPr>
        <w:br/>
        <w:t xml:space="preserve">The CDE ensured the correction of all 4,723 findings using the standard identified in OSEP Memorandum 09-02, dated October 17, 2008 (OSEP Memo 09-02): (1) correctly implemented the specific regulatory requirements in 34 CFR </w:t>
      </w:r>
      <w:proofErr w:type="gramStart"/>
      <w:r w:rsidRPr="005C29F8">
        <w:rPr>
          <w:rFonts w:cs="Arial"/>
          <w:color w:val="000000" w:themeColor="text1"/>
          <w:szCs w:val="16"/>
        </w:rPr>
        <w:t>300.301 ;</w:t>
      </w:r>
      <w:proofErr w:type="gramEnd"/>
      <w:r w:rsidRPr="005C29F8">
        <w:rPr>
          <w:rFonts w:cs="Arial"/>
          <w:color w:val="000000" w:themeColor="text1"/>
          <w:szCs w:val="16"/>
        </w:rPr>
        <w:t xml:space="preserve"> and (2) has corrected each individual case of noncompliance, unless the child is no longer within the jurisdiction of the LEA.</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2B7490" w:rsidP="00212954">
      <w:pPr>
        <w:rPr>
          <w:rFonts w:cs="Arial"/>
          <w:color w:val="000000" w:themeColor="text1"/>
          <w:szCs w:val="16"/>
        </w:rPr>
      </w:pPr>
      <w:r w:rsidRPr="005C29F8">
        <w:rPr>
          <w:rFonts w:cs="Arial"/>
          <w:color w:val="000000" w:themeColor="text1"/>
          <w:szCs w:val="16"/>
        </w:rPr>
        <w:t>The State reported that the COVID-19 pandemic impacted the data for this indicator. Specifically, the State reported, "[t]</w:t>
      </w:r>
      <w:proofErr w:type="gramStart"/>
      <w:r w:rsidRPr="005C29F8">
        <w:rPr>
          <w:rFonts w:cs="Arial"/>
          <w:color w:val="000000" w:themeColor="text1"/>
          <w:szCs w:val="16"/>
        </w:rPr>
        <w:t>he</w:t>
      </w:r>
      <w:proofErr w:type="gramEnd"/>
      <w:r w:rsidRPr="005C29F8">
        <w:rPr>
          <w:rFonts w:cs="Arial"/>
          <w:color w:val="000000" w:themeColor="text1"/>
          <w:szCs w:val="16"/>
        </w:rPr>
        <w:t xml:space="preserve"> data was specifically impacted by Covid-19 because Indicator 11 data is collected during the end of year CALPADS submission which includes the period of time schools were closed."</w:t>
      </w: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54FC065" w14:textId="77777777" w:rsidR="005D5723" w:rsidRDefault="005D5723">
      <w:pPr>
        <w:spacing w:before="0" w:after="200" w:line="276" w:lineRule="auto"/>
        <w:rPr>
          <w:rFonts w:cs="Arial"/>
          <w:color w:val="000000" w:themeColor="text1"/>
          <w:szCs w:val="16"/>
        </w:rPr>
      </w:pPr>
    </w:p>
    <w:p w14:paraId="2E1FC4CA" w14:textId="6CA6BB41" w:rsidR="007A5977" w:rsidRDefault="003E5C2D" w:rsidP="007A5977">
      <w:pPr>
        <w:pStyle w:val="Heading2"/>
      </w:pPr>
      <w:r w:rsidRPr="0033429D">
        <w:t xml:space="preserve">11 - </w:t>
      </w:r>
      <w:r>
        <w:t xml:space="preserve">State Attachments </w:t>
      </w:r>
    </w:p>
    <w:p w14:paraId="536AA120" w14:textId="41B9402D" w:rsidR="003E5C2D" w:rsidRDefault="00160965" w:rsidP="003E5C2D">
      <w:r>
        <w:object w:dxaOrig="1508" w:dyaOrig="983" w14:anchorId="530BDA1A">
          <v:shape id="_x0000_i1028" type="#_x0000_t75" alt="Indicator 11 Chart" style="width:75.75pt;height:48.7pt" o:ole="">
            <v:imagedata r:id="rId16" o:title=""/>
          </v:shape>
          <o:OLEObject Type="Embed" ProgID="Acrobat.Document.DC" ShapeID="_x0000_i1028" DrawAspect="Icon" ObjectID="_1689081953" r:id="rId17"/>
        </w:object>
      </w:r>
    </w:p>
    <w:p w14:paraId="1B8FE2C9" w14:textId="77777777" w:rsidR="005D5723" w:rsidRDefault="005D5723">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55C7C90D" w14:textId="4E75E2F0"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3"/>
      <w:bookmarkEnd w:id="64"/>
      <w:bookmarkEnd w:id="65"/>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6" w:name="_Toc384383358"/>
      <w:bookmarkStart w:id="67"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5C29F8">
        <w:rPr>
          <w:rFonts w:eastAsia="Times New Roman" w:cs="Arial"/>
          <w:color w:val="000000" w:themeColor="text1"/>
          <w:szCs w:val="16"/>
        </w:rPr>
        <w:t>State’s</w:t>
      </w:r>
      <w:proofErr w:type="gramEnd"/>
      <w:r w:rsidRPr="005C29F8">
        <w:rPr>
          <w:rFonts w:eastAsia="Times New Roman" w:cs="Arial"/>
          <w:color w:val="000000" w:themeColor="text1"/>
          <w:szCs w:val="16"/>
        </w:rPr>
        <w:t xml:space="preserve">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8" w:name="_Toc384383359"/>
      <w:bookmarkStart w:id="69" w:name="_Toc392159327"/>
      <w:bookmarkEnd w:id="66"/>
      <w:bookmarkEnd w:id="67"/>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69.19%</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8"/>
          <w:bookmarkEnd w:id="69"/>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93.52%</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85.78%</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95.39%</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95.16%</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89.70%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14,414</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1,264</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9,832</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1,814</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116</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 xml:space="preserve">f. Number of children whose parents chose to continue early intervention services beyond the child’s third birthday through a </w:t>
            </w:r>
            <w:proofErr w:type="gramStart"/>
            <w:r w:rsidRPr="005C29F8">
              <w:rPr>
                <w:rFonts w:cs="Arial"/>
                <w:color w:val="000000" w:themeColor="text1"/>
                <w:szCs w:val="16"/>
              </w:rPr>
              <w:t>State’s</w:t>
            </w:r>
            <w:proofErr w:type="gramEnd"/>
            <w:r w:rsidRPr="005C29F8">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5C29F8" w:rsidRDefault="004E67B3" w:rsidP="00A018D4">
            <w:pPr>
              <w:jc w:val="center"/>
              <w:rPr>
                <w:rFonts w:cs="Arial"/>
                <w:color w:val="000000" w:themeColor="text1"/>
                <w:szCs w:val="16"/>
              </w:rPr>
            </w:pP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9,832</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11,220</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89.70%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87.63%</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6E881701" w14:textId="244CA8FB" w:rsidR="001F2870" w:rsidRPr="005C29F8" w:rsidRDefault="00326C0B" w:rsidP="001F2870">
      <w:pPr>
        <w:rPr>
          <w:rFonts w:cs="Arial"/>
          <w:b/>
          <w:color w:val="000000" w:themeColor="text1"/>
          <w:szCs w:val="16"/>
        </w:rPr>
      </w:pPr>
      <w:r w:rsidRPr="005C29F8">
        <w:rPr>
          <w:rFonts w:cs="Arial"/>
          <w:b/>
          <w:color w:val="000000" w:themeColor="text1"/>
          <w:szCs w:val="16"/>
        </w:rPr>
        <w:t>Provide reasons for slippage, if applicable</w:t>
      </w:r>
    </w:p>
    <w:p w14:paraId="534101C3" w14:textId="6012D052" w:rsidR="00326C0B" w:rsidRDefault="002B7490" w:rsidP="007D435F">
      <w:pPr>
        <w:rPr>
          <w:rFonts w:cs="Arial"/>
          <w:color w:val="000000" w:themeColor="text1"/>
          <w:szCs w:val="16"/>
        </w:rPr>
      </w:pPr>
      <w:r w:rsidRPr="005C29F8">
        <w:rPr>
          <w:rFonts w:cs="Arial"/>
          <w:color w:val="000000" w:themeColor="text1"/>
          <w:szCs w:val="16"/>
        </w:rPr>
        <w:t>California has noted an increase in the number of children with disabilities missing the required Part C to Part B transition timeline. After a review of the data, it was noted that there might be confusion between the requirements and expectations of the Part C agencies, known as regional centers, and districts. The CDE has partnered with the California Department of Developmental Services, which administers the Part C program, to provide more information to the field about the importance of timelines and need for a seamless transition for these children.</w:t>
      </w:r>
    </w:p>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1,388</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 xml:space="preserve">There were 1,388 children in (a), but not included in b, c, d, </w:t>
      </w:r>
      <w:proofErr w:type="spellStart"/>
      <w:r w:rsidRPr="005C29F8">
        <w:rPr>
          <w:bCs/>
          <w:color w:val="000000" w:themeColor="text1"/>
        </w:rPr>
        <w:t>or e</w:t>
      </w:r>
      <w:proofErr w:type="spellEnd"/>
      <w:r w:rsidRPr="005C29F8">
        <w:rPr>
          <w:bCs/>
          <w:color w:val="000000" w:themeColor="text1"/>
        </w:rPr>
        <w:t>. The table, attached, depicts the range of days beyond the third birthday for those children. Reasons cited for delays included: late referrals (before third birthday, but with insufficient time to complete the assessment), lack of staff, ineffective tracking system, no IEP in place before third birthday, student illness, and failure to keep appointments. Please see the attachment for this indicator.</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0" w:name="_Hlk20318414"/>
      <w:bookmarkEnd w:id="70"/>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t xml:space="preserve">The Governor of California issued a </w:t>
      </w:r>
      <w:proofErr w:type="gramStart"/>
      <w:r w:rsidRPr="005C29F8">
        <w:rPr>
          <w:rFonts w:cs="Arial"/>
          <w:color w:val="000000" w:themeColor="text1"/>
          <w:szCs w:val="16"/>
        </w:rPr>
        <w:t>stay at home</w:t>
      </w:r>
      <w:proofErr w:type="gramEnd"/>
      <w:r w:rsidRPr="005C29F8">
        <w:rPr>
          <w:rFonts w:cs="Arial"/>
          <w:color w:val="000000" w:themeColor="text1"/>
          <w:szCs w:val="16"/>
        </w:rPr>
        <w:t xml:space="preserve"> order on March 19, 2020, this immediately shut down schools across the state. The statewide school closure impacted the data for this indicator by truncating the school year and impugned the completeness and reliability of this data. The data was specifically impacted by Covid-19 because Indicator 12 data is collected during the end of year CALPADS submission which includes the </w:t>
      </w:r>
      <w:proofErr w:type="gramStart"/>
      <w:r w:rsidRPr="005C29F8">
        <w:rPr>
          <w:rFonts w:cs="Arial"/>
          <w:color w:val="000000" w:themeColor="text1"/>
          <w:szCs w:val="16"/>
        </w:rPr>
        <w:t>period of time</w:t>
      </w:r>
      <w:proofErr w:type="gramEnd"/>
      <w:r w:rsidRPr="005C29F8">
        <w:rPr>
          <w:rFonts w:cs="Arial"/>
          <w:color w:val="000000" w:themeColor="text1"/>
          <w:szCs w:val="16"/>
        </w:rPr>
        <w:t xml:space="preserve"> schools were closed. The CDE took steps to mitigate the impact on the data collection by issuing guidance to LEAs on the requirement to continue to implement the requirements of IDEA during the school site closures. The CDE established a web page for information and guidance related to Covid-19 on the CDE website at https://www.cde.ca.gov/ls/he/hn/coronavirus.asp. </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1,154</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1,154</w:t>
            </w: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In 2019–20, verification of correction of student and district level noncompliance included the review of:</w:t>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w:t>
      </w:r>
      <w:r w:rsidRPr="005C29F8">
        <w:rPr>
          <w:rFonts w:cs="Arial"/>
          <w:color w:val="000000" w:themeColor="text1"/>
          <w:szCs w:val="16"/>
        </w:rPr>
        <w:br/>
        <w:t>was needed, a review of updated data.</w:t>
      </w:r>
      <w:r w:rsidRPr="005C29F8">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The CDE ensures the correction of all 1,154 findings using the standard identified in OSEP Memorandum 09-02, dated October 17, 2008 (OSEP Memo </w:t>
      </w:r>
      <w:r w:rsidRPr="005C29F8">
        <w:rPr>
          <w:rFonts w:cs="Arial"/>
          <w:color w:val="000000" w:themeColor="text1"/>
          <w:szCs w:val="16"/>
        </w:rPr>
        <w:lastRenderedPageBreak/>
        <w:t>09-02): (</w:t>
      </w:r>
      <w:proofErr w:type="gramStart"/>
      <w:r w:rsidRPr="005C29F8">
        <w:rPr>
          <w:rFonts w:cs="Arial"/>
          <w:color w:val="000000" w:themeColor="text1"/>
          <w:szCs w:val="16"/>
        </w:rPr>
        <w:t>1)correctly</w:t>
      </w:r>
      <w:proofErr w:type="gramEnd"/>
      <w:r w:rsidRPr="005C29F8">
        <w:rPr>
          <w:rFonts w:cs="Arial"/>
          <w:color w:val="000000" w:themeColor="text1"/>
          <w:szCs w:val="16"/>
        </w:rPr>
        <w:t xml:space="preserve"> implemented the specific regulatory requirements in 34 CFR 300.124 ; and (2) has corrected each individual case of noncompliance, unless the child is no longer within the jurisdiction of the LEA.</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 </w:t>
      </w:r>
      <w:r w:rsidRPr="005C29F8">
        <w:rPr>
          <w:rFonts w:cs="Arial"/>
          <w:color w:val="000000" w:themeColor="text1"/>
          <w:szCs w:val="16"/>
        </w:rPr>
        <w:br/>
      </w:r>
      <w:r w:rsidRPr="005C29F8">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If a LEA had a student level finding of noncompliance, it must submit evidence that it corrected the noncompliance at the student level. In the instance a LEA did not develop and implement an IEP by a child's third birthday, the LEA must submit evidence that it developed and implemented an IEP, albeit late.</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5C29F8">
        <w:rPr>
          <w:rFonts w:cs="Arial"/>
          <w:color w:val="000000" w:themeColor="text1"/>
          <w:szCs w:val="16"/>
        </w:rPr>
        <w:br/>
      </w:r>
      <w:r w:rsidRPr="005C29F8">
        <w:rPr>
          <w:rFonts w:cs="Arial"/>
          <w:color w:val="000000" w:themeColor="text1"/>
          <w:szCs w:val="16"/>
        </w:rPr>
        <w:br/>
        <w:t xml:space="preserve">The CDE ensured the correction of all 1,154 findings using the standard identified in OSEP Memorandum 09-02, dated October 17, 2008 (OSEP Memo 09-02): (1) is correctly implementing the specific regulatory requirements in 34 CFR </w:t>
      </w:r>
      <w:proofErr w:type="gramStart"/>
      <w:r w:rsidRPr="005C29F8">
        <w:rPr>
          <w:rFonts w:cs="Arial"/>
          <w:color w:val="000000" w:themeColor="text1"/>
          <w:szCs w:val="16"/>
        </w:rPr>
        <w:t>300.124 ;</w:t>
      </w:r>
      <w:proofErr w:type="gramEnd"/>
      <w:r w:rsidRPr="005C29F8">
        <w:rPr>
          <w:rFonts w:cs="Arial"/>
          <w:color w:val="000000" w:themeColor="text1"/>
          <w:szCs w:val="16"/>
        </w:rPr>
        <w:t xml:space="preserve"> and (2) has corrected each individual case of noncompliance, unless the child is no longer within the jurisdiction of the LEA.</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08BB0B70" w:rsidR="00326C0B"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AB2820F" w14:textId="7D344007" w:rsidR="00AF574A" w:rsidRDefault="00AF574A" w:rsidP="00212954">
      <w:pPr>
        <w:rPr>
          <w:rFonts w:cs="Arial"/>
          <w:color w:val="000000" w:themeColor="text1"/>
          <w:szCs w:val="16"/>
        </w:rPr>
      </w:pPr>
    </w:p>
    <w:p w14:paraId="588950CA" w14:textId="0CB284DD" w:rsidR="00AF574A" w:rsidRPr="005C29F8" w:rsidRDefault="00AF574A" w:rsidP="00AF574A">
      <w:pPr>
        <w:pStyle w:val="Heading2"/>
        <w:rPr>
          <w:rFonts w:cs="Arial"/>
          <w:color w:val="000000" w:themeColor="text1"/>
          <w:szCs w:val="16"/>
        </w:rPr>
      </w:pPr>
      <w:r w:rsidRPr="0033429D">
        <w:t xml:space="preserve">12 - </w:t>
      </w:r>
      <w:r>
        <w:t>State Attachments</w:t>
      </w:r>
    </w:p>
    <w:p w14:paraId="09BE7DCF" w14:textId="5B6EE7A8" w:rsidR="00102FA3" w:rsidRPr="005C29F8" w:rsidRDefault="00160965">
      <w:pPr>
        <w:spacing w:before="0" w:after="200" w:line="276" w:lineRule="auto"/>
        <w:rPr>
          <w:rFonts w:eastAsiaTheme="majorEastAsia" w:cs="Arial"/>
          <w:b/>
          <w:bCs/>
          <w:color w:val="000000" w:themeColor="text1"/>
          <w:szCs w:val="16"/>
        </w:rPr>
      </w:pPr>
      <w:r>
        <w:rPr>
          <w:rFonts w:cs="Arial"/>
          <w:color w:val="000000" w:themeColor="text1"/>
          <w:szCs w:val="16"/>
        </w:rPr>
        <w:object w:dxaOrig="1508" w:dyaOrig="983" w14:anchorId="5692E99E">
          <v:shape id="_x0000_i1029" type="#_x0000_t75" alt="Indicator 12 Days Late Range" style="width:75.75pt;height:48.7pt" o:ole="">
            <v:imagedata r:id="rId18" o:title=""/>
          </v:shape>
          <o:OLEObject Type="Embed" ProgID="Acrobat.Document.DC" ShapeID="_x0000_i1029" DrawAspect="Icon" ObjectID="_1689081954" r:id="rId19"/>
        </w:object>
      </w:r>
      <w:r w:rsidR="00102FA3"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1" w:name="_Toc384383363"/>
      <w:bookmarkStart w:id="72"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 xml:space="preserve">If a </w:t>
      </w:r>
      <w:proofErr w:type="gramStart"/>
      <w:r w:rsidRPr="005C29F8">
        <w:rPr>
          <w:rFonts w:cs="Arial"/>
          <w:color w:val="000000" w:themeColor="text1"/>
          <w:szCs w:val="16"/>
        </w:rPr>
        <w:t>State’s</w:t>
      </w:r>
      <w:proofErr w:type="gramEnd"/>
      <w:r w:rsidRPr="005C29F8">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3" w:name="_Toc384383364"/>
      <w:bookmarkStart w:id="74" w:name="_Toc392159332"/>
      <w:bookmarkEnd w:id="71"/>
      <w:bookmarkEnd w:id="72"/>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72.00%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99.41%</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99.59%</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99.79%</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99.78%</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99.42%</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180,075</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186,890</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99.42%</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96.35%</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t xml:space="preserve">The CDE is concerned with the sharp decrease of youth with disabilities that have IEPs that do not contain secondary transition elements. During the 2019-2020 school year, many LEAs were unable to hold transition IEPs due to school site closures from the Governor’s Stay-At-Home order issued in March of 2020. CDE has informed each LEA that they are out of compliance and will need to hold those IEPs and include all the necessary transition elements.  </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w:t>
            </w:r>
            <w:proofErr w:type="gramStart"/>
            <w:r w:rsidRPr="005C29F8">
              <w:rPr>
                <w:rFonts w:cs="Arial"/>
                <w:color w:val="000000" w:themeColor="text1"/>
                <w:szCs w:val="16"/>
              </w:rPr>
              <w:t>that public agencies</w:t>
            </w:r>
            <w:proofErr w:type="gramEnd"/>
            <w:r w:rsidRPr="005C29F8">
              <w:rPr>
                <w:rFonts w:cs="Arial"/>
                <w:color w:val="000000" w:themeColor="text1"/>
                <w:szCs w:val="16"/>
              </w:rPr>
              <w:t xml:space="preserve">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5"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 xml:space="preserve">The Governor of California issued a </w:t>
      </w:r>
      <w:proofErr w:type="gramStart"/>
      <w:r w:rsidRPr="005C29F8">
        <w:rPr>
          <w:rFonts w:cs="Arial"/>
          <w:color w:val="000000" w:themeColor="text1"/>
          <w:szCs w:val="16"/>
        </w:rPr>
        <w:t>stay at home</w:t>
      </w:r>
      <w:proofErr w:type="gramEnd"/>
      <w:r w:rsidRPr="005C29F8">
        <w:rPr>
          <w:rFonts w:cs="Arial"/>
          <w:color w:val="000000" w:themeColor="text1"/>
          <w:szCs w:val="16"/>
        </w:rPr>
        <w:t xml:space="preserve"> order on March 19, 2020, this immediately shut down schools across the state. The statewide school closure impacted the data for this indicator by truncating the school year and impugned the completeness and reliability of this data. The data was specifically impacted by Covid-19 because Indicator 13 data is collected during the end of year CALPADS submission which includes the </w:t>
      </w:r>
      <w:proofErr w:type="gramStart"/>
      <w:r w:rsidRPr="005C29F8">
        <w:rPr>
          <w:rFonts w:cs="Arial"/>
          <w:color w:val="000000" w:themeColor="text1"/>
          <w:szCs w:val="16"/>
        </w:rPr>
        <w:t>period of time</w:t>
      </w:r>
      <w:proofErr w:type="gramEnd"/>
      <w:r w:rsidRPr="005C29F8">
        <w:rPr>
          <w:rFonts w:cs="Arial"/>
          <w:color w:val="000000" w:themeColor="text1"/>
          <w:szCs w:val="16"/>
        </w:rPr>
        <w:t xml:space="preserve"> schools were closed. The CDE took steps to mitigate the impact on the data collection by issuing guidance to LEAs on the requirement to continue to implement the requirements of IDEA during the school site closures. The CDE established a web page for information and guidance related to Covid-19 on the CDE website at https://www.cde.ca.gov/ls/he/hn/coronavirus.asp. </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1,163</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1,163</w:t>
            </w: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In 2019–20, verification of correction of student and district level noncompliance included the review of:</w:t>
      </w:r>
      <w:r w:rsidRPr="005C29F8">
        <w:rPr>
          <w:rFonts w:cs="Arial"/>
          <w:color w:val="000000" w:themeColor="text1"/>
          <w:szCs w:val="16"/>
        </w:rPr>
        <w:br/>
        <w:t>-Evidence of student-level correction;</w:t>
      </w:r>
      <w:r w:rsidRPr="005C29F8">
        <w:rPr>
          <w:rFonts w:cs="Arial"/>
          <w:color w:val="000000" w:themeColor="text1"/>
          <w:szCs w:val="16"/>
        </w:rPr>
        <w:br/>
        <w:t>-Review of policies, procedures, and practices including dissemination and staff training; and in cases where district level correction</w:t>
      </w:r>
      <w:r w:rsidRPr="005C29F8">
        <w:rPr>
          <w:rFonts w:cs="Arial"/>
          <w:color w:val="000000" w:themeColor="text1"/>
          <w:szCs w:val="16"/>
        </w:rPr>
        <w:br/>
        <w:t>was needed, a review of updated data.</w:t>
      </w:r>
      <w:r w:rsidRPr="005C29F8">
        <w:rPr>
          <w:rFonts w:cs="Arial"/>
          <w:color w:val="000000" w:themeColor="text1"/>
          <w:szCs w:val="16"/>
        </w:rPr>
        <w:br/>
        <w:t>-A level of follow-up review and reporting is required of districts that have previously corrected non-compliance related to this indicator (Prong II). This is to ensure that LEAs are correctly implementing the specific regulatory requirements.</w:t>
      </w:r>
      <w:r w:rsidRPr="005C29F8">
        <w:rPr>
          <w:rFonts w:cs="Arial"/>
          <w:color w:val="000000" w:themeColor="text1"/>
          <w:szCs w:val="16"/>
        </w:rPr>
        <w:br/>
      </w:r>
      <w:r w:rsidRPr="005C29F8">
        <w:rPr>
          <w:rFonts w:cs="Arial"/>
          <w:color w:val="000000" w:themeColor="text1"/>
          <w:szCs w:val="16"/>
        </w:rPr>
        <w:br/>
        <w:t>The CDE ensures the correction of all 1,163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w:t>
      </w:r>
      <w:r w:rsidRPr="005C29F8">
        <w:rPr>
          <w:rFonts w:cs="Arial"/>
          <w:color w:val="000000" w:themeColor="text1"/>
          <w:szCs w:val="16"/>
        </w:rPr>
        <w:br/>
        <w:t>the LEA.</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through a review of each individual case of noncompliance identified.</w:t>
      </w:r>
      <w:r w:rsidRPr="005C29F8">
        <w:rPr>
          <w:rFonts w:cs="Arial"/>
          <w:color w:val="000000" w:themeColor="text1"/>
          <w:szCs w:val="16"/>
        </w:rPr>
        <w:br/>
      </w:r>
      <w:r w:rsidRPr="005C29F8">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5C29F8">
        <w:rPr>
          <w:rFonts w:cs="Arial"/>
          <w:color w:val="000000" w:themeColor="text1"/>
          <w:szCs w:val="16"/>
        </w:rPr>
        <w:br/>
      </w:r>
      <w:r w:rsidRPr="005C29F8">
        <w:rPr>
          <w:rFonts w:cs="Arial"/>
          <w:color w:val="000000" w:themeColor="text1"/>
          <w:szCs w:val="16"/>
        </w:rPr>
        <w:br/>
        <w:t xml:space="preserve">If a LEA had a student level finding of noncompliance, it must submit evidence that it corrected the noncompliance at the student level. In the instance a LEA did not include appropriate measurable postsecondary goals in a </w:t>
      </w:r>
      <w:proofErr w:type="spellStart"/>
      <w:proofErr w:type="gramStart"/>
      <w:r w:rsidRPr="005C29F8">
        <w:rPr>
          <w:rFonts w:cs="Arial"/>
          <w:color w:val="000000" w:themeColor="text1"/>
          <w:szCs w:val="16"/>
        </w:rPr>
        <w:t>students</w:t>
      </w:r>
      <w:proofErr w:type="spellEnd"/>
      <w:proofErr w:type="gramEnd"/>
      <w:r w:rsidRPr="005C29F8">
        <w:rPr>
          <w:rFonts w:cs="Arial"/>
          <w:color w:val="000000" w:themeColor="text1"/>
          <w:szCs w:val="16"/>
        </w:rPr>
        <w:t xml:space="preserve"> IEP, the LEA must submit evidence that it has corrected the noncompliance.</w:t>
      </w:r>
      <w:r w:rsidRPr="005C29F8">
        <w:rPr>
          <w:rFonts w:cs="Arial"/>
          <w:color w:val="000000" w:themeColor="text1"/>
          <w:szCs w:val="16"/>
        </w:rPr>
        <w:br/>
      </w:r>
      <w:r w:rsidRPr="005C29F8">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5C29F8">
        <w:rPr>
          <w:rFonts w:cs="Arial"/>
          <w:color w:val="000000" w:themeColor="text1"/>
          <w:szCs w:val="16"/>
        </w:rPr>
        <w:br/>
      </w:r>
      <w:r w:rsidRPr="005C29F8">
        <w:rPr>
          <w:rFonts w:cs="Arial"/>
          <w:color w:val="000000" w:themeColor="text1"/>
          <w:szCs w:val="16"/>
        </w:rPr>
        <w:br/>
        <w:t>The CDE ensured the correction of all 1,163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 the LEA.</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2"/>
      <w:bookmarkEnd w:id="75"/>
    </w:p>
    <w:p w14:paraId="22761492" w14:textId="77777777" w:rsidR="005C50DB" w:rsidRPr="00D37503" w:rsidRDefault="005C50DB" w:rsidP="00A018D4">
      <w:pPr>
        <w:rPr>
          <w:szCs w:val="20"/>
        </w:rPr>
      </w:pPr>
      <w:bookmarkStart w:id="76"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w:t>
      </w:r>
      <w:proofErr w:type="gramStart"/>
      <w:r w:rsidRPr="00D37503">
        <w:rPr>
          <w:rFonts w:eastAsia="Times New Roman" w:cs="Arial"/>
          <w:szCs w:val="16"/>
        </w:rPr>
        <w:t>four or more year</w:t>
      </w:r>
      <w:proofErr w:type="gramEnd"/>
      <w:r w:rsidRPr="00D37503">
        <w:rPr>
          <w:rFonts w:eastAsia="Times New Roman" w:cs="Arial"/>
          <w:szCs w:val="16"/>
        </w:rPr>
        <w:t xml:space="preserve">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6"/>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53.30%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52.30%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52.30%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53.30%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54.30%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52.30%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50.41%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52.26%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48.87%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53.97%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54.78%</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73.40%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72.40%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72.40%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73.40%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74.40%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72.40%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72.38%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75.46%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72.65%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77.60%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70.65%</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83.00%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82.17%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83.16%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81.72%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85.56%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89.33%</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55.30%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75.40%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84.00%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 xml:space="preserve">1. Beginning Together: Caring for Infants &amp; Toddlers with Disabilities or Special Needs in Inclusive Settings offers support for personnel working in the </w:t>
      </w:r>
      <w:r w:rsidRPr="005C29F8">
        <w:rPr>
          <w:rFonts w:cs="Arial"/>
          <w:color w:val="000000" w:themeColor="text1"/>
          <w:szCs w:val="16"/>
        </w:rPr>
        <w:lastRenderedPageBreak/>
        <w:t>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77"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20,790</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11,781</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4,006</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1,669</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2,110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11,781</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20,790</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54.78%</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55.30%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56.67%</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15,787</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20,790</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70.65%</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75.40%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75.94%</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19,566</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20,790</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89.33%</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94.11%</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5C29F8">
        <w:rPr>
          <w:rFonts w:cs="Arial"/>
          <w:color w:val="000000" w:themeColor="text1"/>
          <w:szCs w:val="16"/>
        </w:rPr>
        <w:t>For the purpose of</w:t>
      </w:r>
      <w:proofErr w:type="gramEnd"/>
      <w:r w:rsidRPr="005C29F8">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 xml:space="preserve">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Additionally, CDE is currently exploring funding options to access the National Student Clearinghouse data for more current information about post-secondary school outcomes. CDE hopes that these efforts will help ensure the response group of future APRs are representative of the demographics of youth no longer in secondary school in future submissions of the APR. </w:t>
      </w:r>
      <w:r w:rsidRPr="005C29F8">
        <w:rPr>
          <w:rFonts w:cs="Arial"/>
          <w:color w:val="000000" w:themeColor="text1"/>
          <w:szCs w:val="16"/>
        </w:rPr>
        <w:br/>
      </w:r>
      <w:r w:rsidRPr="005C29F8">
        <w:rPr>
          <w:rFonts w:cs="Arial"/>
          <w:color w:val="000000" w:themeColor="text1"/>
          <w:szCs w:val="16"/>
        </w:rPr>
        <w:br/>
        <w:t xml:space="preserve">Please see attachment for graph of demographics. </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8"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t xml:space="preserve">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Additionally, CDE is currently exploring funding options to access the National Student Clearinghouse data for more current information about post-secondary school outcomes. CDE hopes that these efforts will help ensure the response group of future APRs are representative of the demographics of youth no longer in secondary school in future submissions of the APR. </w:t>
      </w:r>
    </w:p>
    <w:p w14:paraId="62361D73" w14:textId="77777777" w:rsidR="00644AC8" w:rsidRPr="005C29F8" w:rsidRDefault="00644AC8" w:rsidP="00644AC8">
      <w:pPr>
        <w:rPr>
          <w:rFonts w:cs="Arial"/>
          <w:b/>
          <w:color w:val="000000" w:themeColor="text1"/>
          <w:szCs w:val="16"/>
        </w:rPr>
      </w:pPr>
      <w:bookmarkStart w:id="79" w:name="_Toc382082390"/>
      <w:bookmarkStart w:id="80" w:name="_Toc392159339"/>
      <w:bookmarkEnd w:id="78"/>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During the SPP/APR clarification period OSEP had a question as to how California collects the data for this indicator. The CDE does not use sampling for this indicator, nor does the CDE issue a survey directly to students to collect this data. The data for this indicator is collected through the California Longitudinal Pupil Achievement Data System (CALPADS), which is the statewide longitudinal data system. Postsecondary Status is collected during the end of year CALPADS collection. LEAs are required to submit LEA data as to the status of students with disabilities who have exited secondary education in the prior academic year. CALPADS has several data checks built in to ensure the data submitted is valid and reliable. It is the LEAs decision on how they collect this data. Many LEAs issue a LEA designed paper survey. Some LEAs rely on other methods such as phone calls, emails, and social media. The CDE does not dictate to LEAs how they collect this data, only how it is submitted to CDE.</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The State has revised the baseline for this indicator, using data from FFY 2013, but OSEP cannot accept that revision because the State has not provided an acceptable reason for that revision.</w:t>
      </w:r>
      <w:r w:rsidRPr="005C29F8">
        <w:rPr>
          <w:rFonts w:cs="Arial"/>
          <w:color w:val="000000" w:themeColor="text1"/>
          <w:szCs w:val="16"/>
        </w:rPr>
        <w:br/>
      </w:r>
      <w:r w:rsidRPr="005C29F8">
        <w:rPr>
          <w:rFonts w:cs="Arial"/>
          <w:color w:val="000000" w:themeColor="text1"/>
          <w:szCs w:val="16"/>
        </w:rPr>
        <w:br/>
        <w:t xml:space="preserve">The State provided targets for FFY 2019 for this indicator, but OSEP cannot accept those targets because the State's end targets for FFY 2019 do not reflect improvement over the baseline data. The State must revise its FFY 2019 targets to reflect improvement.      </w:t>
      </w:r>
      <w:r w:rsidRPr="005C29F8">
        <w:rPr>
          <w:rFonts w:cs="Arial"/>
          <w:color w:val="000000" w:themeColor="text1"/>
          <w:szCs w:val="16"/>
        </w:rPr>
        <w:br/>
      </w:r>
      <w:r w:rsidRPr="005C29F8">
        <w:rPr>
          <w:rFonts w:cs="Arial"/>
          <w:color w:val="000000" w:themeColor="text1"/>
          <w:szCs w:val="16"/>
        </w:rPr>
        <w:b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2B7490" w:rsidP="000A2C83">
      <w:pPr>
        <w:rPr>
          <w:rFonts w:cs="Arial"/>
          <w:color w:val="000000" w:themeColor="text1"/>
          <w:szCs w:val="16"/>
        </w:rPr>
      </w:pPr>
      <w:r w:rsidRPr="005C29F8">
        <w:rPr>
          <w:rFonts w:cs="Arial"/>
          <w:color w:val="000000" w:themeColor="text1"/>
          <w:szCs w:val="16"/>
        </w:rPr>
        <w:t xml:space="preserve">California is changing the baseline to FFY 2013 because during that year California changed the method in which the data was collected. </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2013 and OSEP accepts that revision.</w:t>
      </w:r>
      <w:r w:rsidRPr="005C29F8">
        <w:rPr>
          <w:rFonts w:cs="Arial"/>
          <w:color w:val="000000" w:themeColor="text1"/>
          <w:szCs w:val="16"/>
        </w:rPr>
        <w:br/>
      </w:r>
      <w:r w:rsidRPr="005C29F8">
        <w:rPr>
          <w:rFonts w:cs="Arial"/>
          <w:color w:val="000000" w:themeColor="text1"/>
          <w:szCs w:val="16"/>
        </w:rPr>
        <w:br/>
        <w:t>The State revised its targets for this indicator, and OSEP accepts those targets.</w:t>
      </w: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5D19238B" w:rsidR="00102FA3" w:rsidRDefault="00102FA3">
      <w:pPr>
        <w:spacing w:before="0" w:after="200" w:line="276" w:lineRule="auto"/>
        <w:rPr>
          <w:rFonts w:cs="Arial"/>
          <w:color w:val="000000" w:themeColor="text1"/>
          <w:szCs w:val="16"/>
        </w:rPr>
      </w:pPr>
      <w:r w:rsidRPr="005C29F8">
        <w:rPr>
          <w:rFonts w:cs="Arial"/>
          <w:color w:val="000000" w:themeColor="text1"/>
          <w:szCs w:val="16"/>
        </w:rPr>
        <w:br w:type="page"/>
      </w:r>
    </w:p>
    <w:p w14:paraId="287580D6" w14:textId="0E4ED32A" w:rsidR="004D1E60" w:rsidRDefault="00FC35C1" w:rsidP="00FC35C1">
      <w:pPr>
        <w:pStyle w:val="Heading2"/>
      </w:pPr>
      <w:r w:rsidRPr="0033429D">
        <w:lastRenderedPageBreak/>
        <w:t xml:space="preserve">14 - </w:t>
      </w:r>
      <w:r>
        <w:t>State Attachments</w:t>
      </w:r>
    </w:p>
    <w:p w14:paraId="01079960" w14:textId="77777777" w:rsidR="00FC35C1" w:rsidRPr="00FC35C1" w:rsidRDefault="00FC35C1" w:rsidP="00FC35C1"/>
    <w:p w14:paraId="25ED6946" w14:textId="4FE70977" w:rsidR="004D1E60" w:rsidRPr="005C29F8" w:rsidRDefault="00160965">
      <w:pPr>
        <w:spacing w:before="0" w:after="200" w:line="276" w:lineRule="auto"/>
        <w:rPr>
          <w:rFonts w:eastAsiaTheme="majorEastAsia" w:cs="Arial"/>
          <w:b/>
          <w:bCs/>
          <w:color w:val="000000" w:themeColor="text1"/>
          <w:szCs w:val="16"/>
        </w:rPr>
      </w:pPr>
      <w:r>
        <w:rPr>
          <w:rFonts w:eastAsiaTheme="majorEastAsia" w:cs="Arial"/>
          <w:b/>
          <w:bCs/>
          <w:color w:val="000000" w:themeColor="text1"/>
          <w:szCs w:val="16"/>
        </w:rPr>
        <w:object w:dxaOrig="1508" w:dyaOrig="983" w14:anchorId="4D256FB0">
          <v:shape id="_x0000_i1030" type="#_x0000_t75" alt="Indicator 14 Chart" style="width:75.75pt;height:48.7pt" o:ole="">
            <v:imagedata r:id="rId20" o:title=""/>
          </v:shape>
          <o:OLEObject Type="Embed" ProgID="Acrobat.Document.DC" ShapeID="_x0000_i1030" DrawAspect="Icon" ObjectID="_1689081955" r:id="rId21"/>
        </w:object>
      </w:r>
    </w:p>
    <w:p w14:paraId="2B508D80" w14:textId="77777777" w:rsidR="00C214F0" w:rsidRDefault="00C214F0">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7E15DEAF" w14:textId="5FD28BF8"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79"/>
      <w:bookmarkEnd w:id="80"/>
    </w:p>
    <w:p w14:paraId="7EA31497" w14:textId="77777777" w:rsidR="005B0B58" w:rsidRPr="005C29F8"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83"/>
    <w:bookmarkEnd w:id="84"/>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536</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139</w:t>
            </w:r>
          </w:p>
        </w:tc>
      </w:tr>
    </w:tbl>
    <w:p w14:paraId="162CEFB3" w14:textId="55A4ED3A" w:rsidR="004A33CD" w:rsidRPr="005C29F8" w:rsidRDefault="00E31E29">
      <w:pPr>
        <w:rPr>
          <w:b/>
          <w:color w:val="000000" w:themeColor="text1"/>
        </w:rPr>
      </w:pPr>
      <w:bookmarkStart w:id="85" w:name="_Toc382731913"/>
      <w:bookmarkStart w:id="86"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r>
      <w:r w:rsidRPr="005C29F8">
        <w:rPr>
          <w:rFonts w:cs="Arial"/>
          <w:color w:val="000000" w:themeColor="text1"/>
          <w:szCs w:val="16"/>
        </w:rPr>
        <w:lastRenderedPageBreak/>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43B1695A" w14:textId="2970A905" w:rsidR="000A2C83" w:rsidRPr="005C29F8" w:rsidRDefault="000A2C83" w:rsidP="000A2C83">
      <w:pPr>
        <w:rPr>
          <w:rFonts w:cs="Arial"/>
          <w:color w:val="000000" w:themeColor="text1"/>
          <w:szCs w:val="16"/>
        </w:rPr>
      </w:pPr>
    </w:p>
    <w:bookmarkEnd w:id="85"/>
    <w:bookmarkEnd w:id="86"/>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2006</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58.00%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56.00%</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57.00%</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58.00%</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59.00%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30.18%</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32.18%</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31.24%</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24.15%</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21.92%</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r w:rsidRPr="005C29F8">
              <w:rPr>
                <w:rFonts w:cs="Arial"/>
                <w:color w:val="000000" w:themeColor="text1"/>
                <w:szCs w:val="16"/>
              </w:rPr>
              <w:t>61.00%</w:t>
            </w: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139</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536</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21.92%</w:t>
            </w:r>
          </w:p>
        </w:tc>
        <w:tc>
          <w:tcPr>
            <w:tcW w:w="884" w:type="pct"/>
            <w:shd w:val="clear" w:color="auto" w:fill="auto"/>
          </w:tcPr>
          <w:p w14:paraId="446CA14A" w14:textId="2AFBAFDB" w:rsidR="00372DF8"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692" w:type="pct"/>
            <w:shd w:val="clear" w:color="auto" w:fill="auto"/>
          </w:tcPr>
          <w:p w14:paraId="4B8389D1" w14:textId="31159250" w:rsidR="00372DF8" w:rsidRPr="005C29F8" w:rsidRDefault="002B7490" w:rsidP="00A018D4">
            <w:pPr>
              <w:jc w:val="center"/>
              <w:rPr>
                <w:rFonts w:cs="Arial"/>
                <w:color w:val="000000" w:themeColor="text1"/>
                <w:szCs w:val="16"/>
              </w:rPr>
            </w:pPr>
            <w:r w:rsidRPr="005C29F8">
              <w:rPr>
                <w:rFonts w:cs="Arial"/>
                <w:color w:val="000000" w:themeColor="text1"/>
                <w:szCs w:val="16"/>
              </w:rPr>
              <w:t>25.93%</w:t>
            </w: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93C7E" w:rsidP="001F692C">
      <w:pPr>
        <w:rPr>
          <w:rFonts w:cs="Arial"/>
          <w:color w:val="000000" w:themeColor="text1"/>
          <w:szCs w:val="16"/>
        </w:rPr>
      </w:pP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7" w:name="_Toc382731916"/>
      <w:bookmarkStart w:id="88"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87"/>
    <w:bookmarkEnd w:id="88"/>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2,568</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1,314</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52</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The CDE and SED management collaborate with the stakeholders listed below:</w:t>
      </w:r>
      <w:r w:rsidRPr="005C29F8">
        <w:rPr>
          <w:rFonts w:cs="Arial"/>
          <w:color w:val="000000" w:themeColor="text1"/>
          <w:szCs w:val="16"/>
        </w:rPr>
        <w:br/>
      </w:r>
      <w:r w:rsidRPr="005C29F8">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5C29F8">
        <w:rPr>
          <w:rFonts w:cs="Arial"/>
          <w:color w:val="000000" w:themeColor="text1"/>
          <w:szCs w:val="16"/>
        </w:rPr>
        <w:br/>
      </w:r>
      <w:r w:rsidRPr="005C29F8">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5C29F8">
        <w:rPr>
          <w:rFonts w:cs="Arial"/>
          <w:color w:val="000000" w:themeColor="text1"/>
          <w:szCs w:val="16"/>
        </w:rPr>
        <w:br/>
      </w:r>
      <w:r w:rsidRPr="005C29F8">
        <w:rPr>
          <w:rFonts w:cs="Arial"/>
          <w:color w:val="000000" w:themeColor="text1"/>
          <w:szCs w:val="16"/>
        </w:rPr>
        <w:br/>
        <w:t xml:space="preserve">More information may be found at the Training and Technical Assistance Web site, hosted by </w:t>
      </w:r>
      <w:proofErr w:type="spellStart"/>
      <w:r w:rsidRPr="005C29F8">
        <w:rPr>
          <w:rFonts w:cs="Arial"/>
          <w:color w:val="000000" w:themeColor="text1"/>
          <w:szCs w:val="16"/>
        </w:rPr>
        <w:t>WestEd</w:t>
      </w:r>
      <w:proofErr w:type="spellEnd"/>
      <w:r w:rsidRPr="005C29F8">
        <w:rPr>
          <w:rFonts w:cs="Arial"/>
          <w:color w:val="000000" w:themeColor="text1"/>
          <w:szCs w:val="16"/>
        </w:rPr>
        <w:t xml:space="preserve"> at https://www.ceitan-earlystart.org/collaborations/training-and-technical-assistance-collaborative/.</w:t>
      </w:r>
      <w:r w:rsidRPr="005C29F8">
        <w:rPr>
          <w:rFonts w:cs="Arial"/>
          <w:color w:val="000000" w:themeColor="text1"/>
          <w:szCs w:val="16"/>
        </w:rPr>
        <w:br/>
      </w:r>
      <w:r w:rsidRPr="005C29F8">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5C29F8">
        <w:rPr>
          <w:rFonts w:cs="Arial"/>
          <w:color w:val="000000" w:themeColor="text1"/>
          <w:szCs w:val="16"/>
        </w:rPr>
        <w:br/>
      </w:r>
      <w:r w:rsidRPr="005C29F8">
        <w:rPr>
          <w:rFonts w:cs="Arial"/>
          <w:color w:val="000000" w:themeColor="text1"/>
          <w:szCs w:val="16"/>
        </w:rPr>
        <w:br/>
        <w:t>1. Beginning Together: Caring for Infants &amp; Toddlers with Disabilities or Special Needs in Inclusive Settings offers support for personnel working in the state funded Program for Infants and Toddler Care (PITC) in the form of technical assistance and resources, such as "training of trainers" institute, regional outreach activities, and revision and development of written materials, all to ensure that children with special needs are included, and appropriate inclusive practices are promoted.</w:t>
      </w:r>
      <w:r w:rsidRPr="005C29F8">
        <w:rPr>
          <w:rFonts w:cs="Arial"/>
          <w:color w:val="000000" w:themeColor="text1"/>
          <w:szCs w:val="16"/>
        </w:rPr>
        <w:br/>
        <w:t xml:space="preserve">2. California MAP to Inclusion and Belonging, Making Access Possible is a statewide collaborative project that offers technical assistance and resources </w:t>
      </w:r>
      <w:r w:rsidRPr="005C29F8">
        <w:rPr>
          <w:rFonts w:cs="Arial"/>
          <w:color w:val="000000" w:themeColor="text1"/>
          <w:szCs w:val="16"/>
        </w:rPr>
        <w:lastRenderedPageBreak/>
        <w:t xml:space="preserve">to support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in accommodating and including children with disabilities and other special needs ages birth to 21 in child care, after school and community settings.</w:t>
      </w:r>
      <w:r w:rsidRPr="005C29F8">
        <w:rPr>
          <w:rFonts w:cs="Arial"/>
          <w:color w:val="000000" w:themeColor="text1"/>
          <w:szCs w:val="16"/>
        </w:rPr>
        <w:br/>
        <w:t>3. California Collaborative on the Social &amp; Emotional Foundations for Early Learning (CA CSEFEL) Teaching Pyramid provides a systematic framework for promoting social and emotional development, support for children's appropriate behavior, preventing challenging behavior, and addressing problematic behavior.</w:t>
      </w:r>
      <w:r w:rsidRPr="005C29F8">
        <w:rPr>
          <w:rFonts w:cs="Arial"/>
          <w:color w:val="000000" w:themeColor="text1"/>
          <w:szCs w:val="16"/>
        </w:rPr>
        <w:br/>
      </w:r>
      <w:r w:rsidRPr="005C29F8">
        <w:rPr>
          <w:rFonts w:cs="Arial"/>
          <w:color w:val="000000" w:themeColor="text1"/>
          <w:szCs w:val="16"/>
        </w:rPr>
        <w:br/>
        <w:t>More information may be found at the Working Together for Inclusion and Belonging Web site at http://cainclusion.org/.</w:t>
      </w:r>
      <w:r w:rsidRPr="005C29F8">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5C29F8">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5C29F8">
        <w:rPr>
          <w:rFonts w:cs="Arial"/>
          <w:color w:val="000000" w:themeColor="text1"/>
          <w:szCs w:val="16"/>
        </w:rPr>
        <w:br/>
      </w:r>
      <w:r w:rsidRPr="005C29F8">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5C29F8">
        <w:rPr>
          <w:rFonts w:cs="Arial"/>
          <w:color w:val="000000" w:themeColor="text1"/>
          <w:szCs w:val="16"/>
        </w:rPr>
        <w:br/>
        <w:t>SEACO administrators’ quarterly meetings is a forum to present selected SPP revisions and APR data, as well as, solicit input.</w:t>
      </w:r>
      <w:r w:rsidRPr="005C29F8">
        <w:rPr>
          <w:rFonts w:cs="Arial"/>
          <w:color w:val="000000" w:themeColor="text1"/>
          <w:szCs w:val="16"/>
        </w:rPr>
        <w:br/>
        <w:t>The ACSE reviews and discusses the requirements of OSEP’s SPP/APR at their regularly scheduled meetings. In October 2020, the SED Director reported to the ACSE on the OSEP's new priorities for the SPP/APR.</w:t>
      </w:r>
      <w:r w:rsidRPr="005C29F8">
        <w:rPr>
          <w:rFonts w:cs="Arial"/>
          <w:color w:val="000000" w:themeColor="text1"/>
          <w:szCs w:val="16"/>
        </w:rPr>
        <w:br/>
      </w:r>
      <w:r w:rsidRPr="005C29F8">
        <w:rPr>
          <w:rFonts w:cs="Arial"/>
          <w:color w:val="000000" w:themeColor="text1"/>
          <w:szCs w:val="16"/>
        </w:rPr>
        <w:br/>
        <w:t>The SPP/APR was approved by the SBE in January 2021.</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2006</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43.00%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56.00%</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57.00%</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58.00%</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59.00%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60.00%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62.67%</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60.06%</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54.75%</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57.90%</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62.14%</w:t>
            </w: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r w:rsidRPr="005C29F8">
              <w:rPr>
                <w:rFonts w:cs="Arial"/>
                <w:color w:val="000000" w:themeColor="text1"/>
                <w:szCs w:val="16"/>
              </w:rPr>
              <w:t>61.00%</w:t>
            </w: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1,314</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52</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2,568</w:t>
            </w:r>
          </w:p>
        </w:tc>
        <w:tc>
          <w:tcPr>
            <w:tcW w:w="513" w:type="pct"/>
            <w:shd w:val="clear" w:color="auto" w:fill="auto"/>
          </w:tcPr>
          <w:p w14:paraId="466ED6BC" w14:textId="5349E9C8" w:rsidR="00ED71A6" w:rsidRPr="005C29F8" w:rsidRDefault="002B7490" w:rsidP="004369B2">
            <w:pPr>
              <w:jc w:val="center"/>
              <w:rPr>
                <w:rFonts w:cs="Arial"/>
                <w:color w:val="000000" w:themeColor="text1"/>
                <w:szCs w:val="16"/>
              </w:rPr>
            </w:pPr>
            <w:r w:rsidRPr="005C29F8">
              <w:rPr>
                <w:rFonts w:cs="Arial"/>
                <w:color w:val="000000" w:themeColor="text1"/>
                <w:szCs w:val="16"/>
              </w:rPr>
              <w:t>62.14%</w:t>
            </w:r>
          </w:p>
        </w:tc>
        <w:tc>
          <w:tcPr>
            <w:tcW w:w="760" w:type="pct"/>
            <w:shd w:val="clear" w:color="auto" w:fill="auto"/>
          </w:tcPr>
          <w:p w14:paraId="2530D239" w14:textId="21181E1F" w:rsidR="00ED71A6" w:rsidRPr="005C29F8" w:rsidRDefault="002B7490" w:rsidP="004369B2">
            <w:pPr>
              <w:jc w:val="center"/>
              <w:rPr>
                <w:rFonts w:cs="Arial"/>
                <w:color w:val="000000" w:themeColor="text1"/>
                <w:szCs w:val="16"/>
              </w:rPr>
            </w:pPr>
            <w:r w:rsidRPr="005C29F8">
              <w:rPr>
                <w:rFonts w:cs="Arial"/>
                <w:color w:val="000000" w:themeColor="text1"/>
                <w:szCs w:val="16"/>
              </w:rPr>
              <w:t>61.00%</w:t>
            </w:r>
          </w:p>
        </w:tc>
        <w:tc>
          <w:tcPr>
            <w:tcW w:w="598" w:type="pct"/>
            <w:shd w:val="clear" w:color="auto" w:fill="auto"/>
          </w:tcPr>
          <w:p w14:paraId="5CFDAC12" w14:textId="030BF46B" w:rsidR="00ED71A6" w:rsidRPr="005C29F8" w:rsidRDefault="002B7490" w:rsidP="004369B2">
            <w:pPr>
              <w:jc w:val="center"/>
              <w:rPr>
                <w:rFonts w:cs="Arial"/>
                <w:color w:val="000000" w:themeColor="text1"/>
                <w:szCs w:val="16"/>
              </w:rPr>
            </w:pPr>
            <w:r w:rsidRPr="005C29F8">
              <w:rPr>
                <w:rFonts w:cs="Arial"/>
                <w:color w:val="000000" w:themeColor="text1"/>
                <w:szCs w:val="16"/>
              </w:rPr>
              <w:t>53.19%</w:t>
            </w: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3422290" w14:textId="77777777" w:rsidR="00BB79DA" w:rsidRPr="005C29F8" w:rsidRDefault="00BB79DA">
      <w:pPr>
        <w:rPr>
          <w:color w:val="000000" w:themeColor="text1"/>
        </w:rPr>
      </w:pPr>
    </w:p>
    <w:p w14:paraId="24CDA891" w14:textId="493C5E97" w:rsidR="0059249C" w:rsidRPr="005C29F8" w:rsidRDefault="00293C7E" w:rsidP="0059249C">
      <w:pPr>
        <w:rPr>
          <w:rFonts w:cs="Arial"/>
          <w:b/>
          <w:i/>
          <w:color w:val="000000" w:themeColor="text1"/>
          <w:szCs w:val="16"/>
        </w:rPr>
      </w:pPr>
      <w:r w:rsidRPr="005C29F8">
        <w:rPr>
          <w:rFonts w:cs="Arial"/>
          <w:b/>
          <w:color w:val="000000" w:themeColor="text1"/>
          <w:szCs w:val="16"/>
        </w:rPr>
        <w:t>Provide reasons for slippage, if applicable</w:t>
      </w:r>
    </w:p>
    <w:p w14:paraId="79351ACD" w14:textId="4DA6F153" w:rsidR="00293C7E" w:rsidRDefault="002B7490" w:rsidP="007D435F">
      <w:pPr>
        <w:rPr>
          <w:rFonts w:cs="Arial"/>
          <w:color w:val="000000" w:themeColor="text1"/>
          <w:szCs w:val="16"/>
        </w:rPr>
      </w:pPr>
      <w:r w:rsidRPr="005C29F8">
        <w:rPr>
          <w:rFonts w:cs="Arial"/>
          <w:color w:val="000000" w:themeColor="text1"/>
          <w:szCs w:val="16"/>
        </w:rPr>
        <w:t xml:space="preserve">CDE and OAH work collaboratively to resolve resolution sessions through settlement agreements. The CDE believes that these changes are due to a normal variation from year to year. </w:t>
      </w: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5A8CDDB" w14:textId="29522B97" w:rsidR="00913A33" w:rsidRDefault="001C46DC" w:rsidP="00123D76">
      <w:pPr>
        <w:pStyle w:val="Heading2"/>
      </w:pPr>
      <w:r w:rsidRPr="0033429D">
        <w:t>16 - Required Actions</w:t>
      </w:r>
    </w:p>
    <w:p w14:paraId="1D343409" w14:textId="77777777" w:rsidR="00EE102E" w:rsidRDefault="00EE102E">
      <w:pPr>
        <w:spacing w:before="0" w:after="200" w:line="276" w:lineRule="auto"/>
        <w:rPr>
          <w:rStyle w:val="normaltextrun"/>
          <w:rFonts w:eastAsiaTheme="majorEastAsia" w:cs="Arial"/>
          <w:b/>
          <w:bCs/>
          <w:color w:val="000000"/>
          <w:sz w:val="20"/>
          <w:szCs w:val="28"/>
          <w:bdr w:val="none" w:sz="0" w:space="0" w:color="auto" w:frame="1"/>
        </w:rPr>
      </w:pPr>
      <w:r>
        <w:rPr>
          <w:rStyle w:val="normaltextrun"/>
          <w:rFonts w:cs="Arial"/>
          <w:color w:val="000000"/>
          <w:bdr w:val="none" w:sz="0" w:space="0" w:color="auto" w:frame="1"/>
        </w:rPr>
        <w:br w:type="page"/>
      </w:r>
    </w:p>
    <w:p w14:paraId="79966887" w14:textId="614E8AEB" w:rsidR="00755AF7" w:rsidRDefault="0086777C" w:rsidP="005E79EF">
      <w:pPr>
        <w:pStyle w:val="Heading1"/>
        <w:rPr>
          <w:rStyle w:val="normaltextrun"/>
          <w:rFonts w:cs="Arial"/>
          <w:color w:val="000000"/>
          <w:bdr w:val="none" w:sz="0" w:space="0" w:color="auto" w:frame="1"/>
        </w:rPr>
      </w:pPr>
      <w:r>
        <w:rPr>
          <w:rStyle w:val="normaltextrun"/>
          <w:rFonts w:cs="Arial"/>
          <w:color w:val="000000"/>
          <w:bdr w:val="none" w:sz="0" w:space="0" w:color="auto" w:frame="1"/>
        </w:rPr>
        <w:lastRenderedPageBreak/>
        <w:t>Indicator 17: State Systemic Improvement Plan</w:t>
      </w:r>
    </w:p>
    <w:bookmarkStart w:id="89" w:name="_MON_1688288143"/>
    <w:bookmarkEnd w:id="89"/>
    <w:p w14:paraId="3D2A3481" w14:textId="5DAD9FB2" w:rsidR="005E79EF" w:rsidRPr="005E79EF" w:rsidRDefault="00160965" w:rsidP="005E79EF">
      <w:r>
        <w:object w:dxaOrig="1508" w:dyaOrig="983" w14:anchorId="1E1B2B2E">
          <v:shape id="_x0000_i1031" type="#_x0000_t75" alt="FFY19_SSIP_FINAL" style="width:75.75pt;height:48.7pt" o:ole="">
            <v:imagedata r:id="rId22" o:title=""/>
          </v:shape>
          <o:OLEObject Type="Embed" ProgID="Word.Document.12" ShapeID="_x0000_i1031" DrawAspect="Icon" ObjectID="_1689081956" r:id="rId23">
            <o:FieldCodes>\s</o:FieldCodes>
          </o:OLEObject>
        </w:object>
      </w:r>
    </w:p>
    <w:p w14:paraId="4DF02D12" w14:textId="77777777" w:rsidR="00EE102E" w:rsidRDefault="00EE102E">
      <w:pPr>
        <w:spacing w:before="0" w:after="200" w:line="276" w:lineRule="auto"/>
        <w:rPr>
          <w:rFonts w:eastAsiaTheme="majorEastAsia" w:cstheme="majorBidi"/>
          <w:b/>
          <w:bCs/>
          <w:sz w:val="20"/>
          <w:szCs w:val="28"/>
        </w:rPr>
      </w:pPr>
      <w:r>
        <w:br w:type="page"/>
      </w:r>
    </w:p>
    <w:p w14:paraId="47A15380" w14:textId="76BD0EDD" w:rsidR="00251CC0" w:rsidRDefault="00755AF7" w:rsidP="0092536F">
      <w:pPr>
        <w:pStyle w:val="Heading1"/>
      </w:pPr>
      <w:r w:rsidRPr="005C29F8">
        <w:lastRenderedPageBreak/>
        <w:t>Certification</w:t>
      </w:r>
    </w:p>
    <w:p w14:paraId="53FE7C06" w14:textId="77777777" w:rsidR="0092536F" w:rsidRPr="0092536F" w:rsidRDefault="0092536F" w:rsidP="0092536F"/>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0"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 xml:space="preserve">Nora </w:t>
      </w:r>
      <w:proofErr w:type="spellStart"/>
      <w:r w:rsidRPr="005C29F8">
        <w:rPr>
          <w:rFonts w:cs="Arial"/>
          <w:color w:val="000000" w:themeColor="text1"/>
          <w:szCs w:val="16"/>
        </w:rPr>
        <w:t>Parella</w:t>
      </w:r>
      <w:proofErr w:type="spellEnd"/>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Education Research &amp; Evaluation Consultant</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nparella@cde.ca.gov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916-947-7149</w:t>
      </w:r>
    </w:p>
    <w:bookmarkEnd w:id="90"/>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w:t>
      </w:r>
      <w:proofErr w:type="gramStart"/>
      <w:r w:rsidRPr="006879FA">
        <w:rPr>
          <w:rFonts w:cs="Arial"/>
          <w:color w:val="000000" w:themeColor="text1"/>
          <w:szCs w:val="16"/>
        </w:rPr>
        <w:t>21  2:33:34</w:t>
      </w:r>
      <w:proofErr w:type="gramEnd"/>
      <w:r w:rsidRPr="006879FA">
        <w:rPr>
          <w:rFonts w:cs="Arial"/>
          <w:color w:val="000000" w:themeColor="text1"/>
          <w:szCs w:val="16"/>
        </w:rPr>
        <w:t xml:space="preserve"> PM</w:t>
      </w:r>
    </w:p>
    <w:p w14:paraId="596B3C30" w14:textId="306745C1" w:rsidR="00755AF7" w:rsidRDefault="00755AF7" w:rsidP="00EE4B59">
      <w:pPr>
        <w:rPr>
          <w:rFonts w:cs="Arial"/>
          <w:color w:val="000000" w:themeColor="text1"/>
          <w:szCs w:val="16"/>
        </w:rPr>
      </w:pPr>
    </w:p>
    <w:p w14:paraId="7085F8A7" w14:textId="77777777" w:rsidR="00307023" w:rsidRDefault="00307023">
      <w:pPr>
        <w:spacing w:before="0" w:after="200" w:line="276" w:lineRule="auto"/>
        <w:rPr>
          <w:rFonts w:eastAsiaTheme="majorEastAsia" w:cstheme="majorBidi"/>
          <w:b/>
          <w:bCs/>
          <w:sz w:val="20"/>
          <w:szCs w:val="28"/>
        </w:rPr>
      </w:pPr>
      <w:r>
        <w:br w:type="page"/>
      </w:r>
    </w:p>
    <w:p w14:paraId="04EBDCA7" w14:textId="4E56BC63" w:rsidR="00137B80" w:rsidRDefault="00137B80" w:rsidP="00137B80">
      <w:pPr>
        <w:pStyle w:val="Heading1"/>
      </w:pPr>
      <w:r>
        <w:lastRenderedPageBreak/>
        <w:t>ED Attachments</w:t>
      </w:r>
    </w:p>
    <w:p w14:paraId="7D77A2D9" w14:textId="71AF5E0F" w:rsidR="00137B80" w:rsidRDefault="00137B80" w:rsidP="00137B80"/>
    <w:p w14:paraId="6FB84FC5" w14:textId="597822EC" w:rsidR="00137B80" w:rsidRPr="00137B80" w:rsidRDefault="00160965" w:rsidP="00137B80">
      <w:r>
        <w:object w:dxaOrig="1508" w:dyaOrig="983" w14:anchorId="0DCBED1F">
          <v:shape id="_x0000_i1032" type="#_x0000_t75" alt="CA-2021DataRubricPartB" style="width:75.75pt;height:48.7pt" o:ole="">
            <v:imagedata r:id="rId24" o:title=""/>
          </v:shape>
          <o:OLEObject Type="Embed" ProgID="Excel.Sheet.12" ShapeID="_x0000_i1032" DrawAspect="Icon" ObjectID="_1689081957" r:id="rId25"/>
        </w:object>
      </w:r>
      <w:r w:rsidR="000A3B46">
        <w:t xml:space="preserve"> </w:t>
      </w:r>
      <w:r w:rsidR="00307023">
        <w:tab/>
      </w:r>
      <w:r w:rsidR="00AA4190">
        <w:object w:dxaOrig="1376" w:dyaOrig="893" w14:anchorId="0844604F">
          <v:shape id="_x0000_i1042" type="#_x0000_t75" alt="ca-resultsmatrix-2021b" style="width:69.1pt;height:44.1pt" o:ole="">
            <v:imagedata r:id="rId26" o:title=""/>
          </v:shape>
          <o:OLEObject Type="Embed" ProgID="Acrobat.Document.DC" ShapeID="_x0000_i1042" DrawAspect="Icon" ObjectID="_1689081958" r:id="rId27"/>
        </w:object>
      </w:r>
      <w:r w:rsidR="00307023">
        <w:tab/>
      </w:r>
      <w:r w:rsidR="00AA4190">
        <w:tab/>
      </w:r>
      <w:r w:rsidR="00AD31F3">
        <w:object w:dxaOrig="1508" w:dyaOrig="983" w14:anchorId="59D4B4D6">
          <v:shape id="_x0000_i1034" type="#_x0000_t75" alt="CA-B-Dispute-Resolution-2019-20" style="width:75.75pt;height:48.7pt" o:ole="">
            <v:imagedata r:id="rId28" o:title=""/>
          </v:shape>
          <o:OLEObject Type="Embed" ProgID="Acrobat.Document.DC" ShapeID="_x0000_i1034" DrawAspect="Icon" ObjectID="_1689081959" r:id="rId29"/>
        </w:object>
      </w:r>
    </w:p>
    <w:sectPr w:rsidR="00137B80" w:rsidRPr="00137B80" w:rsidSect="00651E83">
      <w:footerReference w:type="default" r:id="rId3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BCA4" w14:textId="77777777" w:rsidR="0002029A" w:rsidRDefault="0002029A" w:rsidP="000802F7">
      <w:pPr>
        <w:spacing w:before="0" w:after="0"/>
      </w:pPr>
      <w:r>
        <w:separator/>
      </w:r>
    </w:p>
  </w:endnote>
  <w:endnote w:type="continuationSeparator" w:id="0">
    <w:p w14:paraId="36868185" w14:textId="77777777" w:rsidR="0002029A" w:rsidRDefault="0002029A" w:rsidP="000802F7">
      <w:pPr>
        <w:spacing w:before="0" w:after="0"/>
      </w:pPr>
      <w:r>
        <w:continuationSeparator/>
      </w:r>
    </w:p>
  </w:endnote>
  <w:endnote w:type="continuationNotice" w:id="1">
    <w:p w14:paraId="2F10C661" w14:textId="77777777" w:rsidR="0002029A" w:rsidRDefault="00020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C590" w14:textId="77777777" w:rsidR="0002029A" w:rsidRDefault="0002029A" w:rsidP="000802F7">
      <w:pPr>
        <w:spacing w:before="0" w:after="0"/>
      </w:pPr>
      <w:r>
        <w:separator/>
      </w:r>
    </w:p>
  </w:footnote>
  <w:footnote w:type="continuationSeparator" w:id="0">
    <w:p w14:paraId="507F986C" w14:textId="77777777" w:rsidR="0002029A" w:rsidRDefault="0002029A" w:rsidP="000802F7">
      <w:pPr>
        <w:spacing w:before="0" w:after="0"/>
      </w:pPr>
      <w:r>
        <w:continuationSeparator/>
      </w:r>
    </w:p>
  </w:footnote>
  <w:footnote w:type="continuationNotice" w:id="1">
    <w:p w14:paraId="146F1B08" w14:textId="77777777" w:rsidR="0002029A" w:rsidRDefault="0002029A">
      <w:pPr>
        <w:spacing w:before="0" w:after="0"/>
      </w:pPr>
    </w:p>
  </w:footnote>
  <w:footnote w:id="2">
    <w:p w14:paraId="551F36FD" w14:textId="1196511D" w:rsidR="00DE1E3C" w:rsidRPr="003050AA" w:rsidRDefault="00DE1E3C">
      <w:pPr>
        <w:pStyle w:val="FootnoteText"/>
        <w:rPr>
          <w:sz w:val="16"/>
          <w:szCs w:val="16"/>
        </w:rPr>
      </w:pPr>
      <w:r w:rsidRPr="003050AA">
        <w:rPr>
          <w:rStyle w:val="FootnoteReference"/>
          <w:sz w:val="16"/>
          <w:szCs w:val="16"/>
        </w:rPr>
        <w:footnoteRef/>
      </w:r>
      <w:r w:rsidRPr="003050AA">
        <w:rPr>
          <w:sz w:val="16"/>
          <w:szCs w:val="16"/>
        </w:rPr>
        <w:t xml:space="preserve"> Data suppressed due to privacy protection</w:t>
      </w:r>
    </w:p>
  </w:footnote>
  <w:footnote w:id="3">
    <w:p w14:paraId="3B7D96BB" w14:textId="228D7AE3" w:rsidR="003050AA" w:rsidRDefault="003050AA">
      <w:pPr>
        <w:pStyle w:val="FootnoteText"/>
      </w:pPr>
      <w:r w:rsidRPr="003050AA">
        <w:rPr>
          <w:rStyle w:val="FootnoteReference"/>
          <w:sz w:val="16"/>
          <w:szCs w:val="16"/>
        </w:rPr>
        <w:footnoteRef/>
      </w:r>
      <w:r w:rsidRPr="003050AA">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29A"/>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3B46"/>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37B80"/>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589B"/>
    <w:rsid w:val="00156264"/>
    <w:rsid w:val="00156865"/>
    <w:rsid w:val="0015691B"/>
    <w:rsid w:val="00156F30"/>
    <w:rsid w:val="001604F3"/>
    <w:rsid w:val="00160856"/>
    <w:rsid w:val="00160965"/>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17"/>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0AA"/>
    <w:rsid w:val="003053C8"/>
    <w:rsid w:val="00305458"/>
    <w:rsid w:val="00306032"/>
    <w:rsid w:val="0030619F"/>
    <w:rsid w:val="0030668A"/>
    <w:rsid w:val="003066D7"/>
    <w:rsid w:val="00306A86"/>
    <w:rsid w:val="00306CEA"/>
    <w:rsid w:val="00306E3B"/>
    <w:rsid w:val="00307023"/>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0A39"/>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095"/>
    <w:rsid w:val="003E44E5"/>
    <w:rsid w:val="003E45D7"/>
    <w:rsid w:val="003E4D6F"/>
    <w:rsid w:val="003E53BB"/>
    <w:rsid w:val="003E54EB"/>
    <w:rsid w:val="003E5A6B"/>
    <w:rsid w:val="003E5C2D"/>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586"/>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60"/>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D3C"/>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3E71"/>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5723"/>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E79EF"/>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49A"/>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30A5"/>
    <w:rsid w:val="00754134"/>
    <w:rsid w:val="00755AF7"/>
    <w:rsid w:val="00756827"/>
    <w:rsid w:val="00756894"/>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977"/>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176BE"/>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6777C"/>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36F"/>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4F5F"/>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87D"/>
    <w:rsid w:val="00995E40"/>
    <w:rsid w:val="00996297"/>
    <w:rsid w:val="00996DD5"/>
    <w:rsid w:val="00997807"/>
    <w:rsid w:val="00997B72"/>
    <w:rsid w:val="009A02AB"/>
    <w:rsid w:val="009A1058"/>
    <w:rsid w:val="009A15FD"/>
    <w:rsid w:val="009A16E4"/>
    <w:rsid w:val="009A221D"/>
    <w:rsid w:val="009A2965"/>
    <w:rsid w:val="009A378E"/>
    <w:rsid w:val="009A3CD5"/>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12F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357"/>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1C6"/>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190"/>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1F3"/>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A"/>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14F0"/>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1E3C"/>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02E"/>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26018"/>
    <w:rsid w:val="00F3080C"/>
    <w:rsid w:val="00F31AD8"/>
    <w:rsid w:val="00F32751"/>
    <w:rsid w:val="00F339CE"/>
    <w:rsid w:val="00F33E76"/>
    <w:rsid w:val="00F342F9"/>
    <w:rsid w:val="00F345C3"/>
    <w:rsid w:val="00F3469B"/>
    <w:rsid w:val="00F348B2"/>
    <w:rsid w:val="00F35125"/>
    <w:rsid w:val="00F3516E"/>
    <w:rsid w:val="00F3540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35C1"/>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 w:val="63C18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character" w:customStyle="1" w:styleId="normaltextrun">
    <w:name w:val="normaltextrun"/>
    <w:basedOn w:val="DefaultParagraphFont"/>
    <w:rsid w:val="0086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package" Target="embeddings/Microsoft_Word_Document.docx"/><Relationship Id="rId28"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dd23999d-55bb-4b1f-885e-83712e5c49df"/>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fcb171c-5eb6-4b7e-bff7-850b4441ed9e"/>
    <ds:schemaRef ds:uri="http://purl.org/dc/elements/1.1/"/>
  </ds:schemaRefs>
</ds:datastoreItem>
</file>

<file path=customXml/itemProps4.xml><?xml version="1.0" encoding="utf-8"?>
<ds:datastoreItem xmlns:ds="http://schemas.openxmlformats.org/officeDocument/2006/customXml" ds:itemID="{F1CE8963-732D-41DE-8B4F-A136ACAD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64</Pages>
  <Words>35195</Words>
  <Characters>200617</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12</cp:revision>
  <cp:lastPrinted>2014-08-19T16:56:00Z</cp:lastPrinted>
  <dcterms:created xsi:type="dcterms:W3CDTF">2021-07-21T17:33:00Z</dcterms:created>
  <dcterms:modified xsi:type="dcterms:W3CDTF">2021-07-29T20:38:00Z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9c30e6a4-9192-4c7e-9c5b-8207257cb46b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