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Bureau of Indian Education</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122D4BC5"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r w:rsidR="009F3480">
        <w:rPr>
          <w:rFonts w:cs="Arial"/>
          <w:b/>
          <w:bCs/>
          <w:color w:val="000000" w:themeColor="text1"/>
          <w:sz w:val="24"/>
          <w:szCs w:val="24"/>
        </w:rPr>
        <w:t xml:space="preserve"> </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br/>
        <w:t>The Bureau of Indian Education (BIE) has a general supervision system in place that is designed to drive improved results for students with disabilities and ensure that IDEA Part B statutory requirements are met. The general supervision system consists of the following components:</w:t>
      </w:r>
      <w:r w:rsidRPr="00781112">
        <w:rPr>
          <w:rFonts w:cs="Arial"/>
          <w:color w:val="000000" w:themeColor="text1"/>
          <w:szCs w:val="16"/>
        </w:rPr>
        <w:br/>
        <w:t xml:space="preserve"> • Technical Assistance </w:t>
      </w:r>
      <w:r w:rsidRPr="00781112">
        <w:rPr>
          <w:rFonts w:cs="Arial"/>
          <w:color w:val="000000" w:themeColor="text1"/>
          <w:szCs w:val="16"/>
        </w:rPr>
        <w:br/>
        <w:t xml:space="preserve"> • Professional Development </w:t>
      </w:r>
      <w:r w:rsidRPr="00781112">
        <w:rPr>
          <w:rFonts w:cs="Arial"/>
          <w:color w:val="000000" w:themeColor="text1"/>
          <w:szCs w:val="16"/>
        </w:rPr>
        <w:br/>
        <w:t xml:space="preserve"> • Stakeholder Involvement</w:t>
      </w:r>
      <w:r w:rsidRPr="00781112">
        <w:rPr>
          <w:rFonts w:cs="Arial"/>
          <w:color w:val="000000" w:themeColor="text1"/>
          <w:szCs w:val="16"/>
        </w:rPr>
        <w:br/>
        <w:t xml:space="preserve"> • Reporting to the Public </w:t>
      </w:r>
      <w:r w:rsidRPr="00781112">
        <w:rPr>
          <w:rFonts w:cs="Arial"/>
          <w:color w:val="000000" w:themeColor="text1"/>
          <w:szCs w:val="16"/>
        </w:rPr>
        <w:br/>
      </w:r>
      <w:r w:rsidRPr="00781112">
        <w:rPr>
          <w:rFonts w:cs="Arial"/>
          <w:color w:val="000000" w:themeColor="text1"/>
          <w:szCs w:val="16"/>
        </w:rPr>
        <w:br/>
        <w:t>The BIE reports annually on performance in accordance with 20 U.S.C. 1416b(2)(c)(ii) and 34 CFR 300.602. BIE's State Performance Plan/Annual Performance Report (SPP/APR) for FFY 2021 represents the requirements for applicable SPP/APR Indicators and targets that have been developed with stakeholder input and public dissemination. The BIE does not report for Indicators 4B, 6, 7, 9, 10, and 12 which do not apply. The FFY 2021 SPP/APR describes BIE’s progress on the performance on indicators that are applicable to BIE and sets a new baseline and targets for Indicator 8 – Parent Involvement for FFY 2021-2025 SPP/APRs.</w:t>
      </w:r>
      <w:r w:rsidRPr="00781112">
        <w:rPr>
          <w:rFonts w:cs="Arial"/>
          <w:color w:val="000000" w:themeColor="text1"/>
          <w:szCs w:val="16"/>
        </w:rPr>
        <w:br/>
      </w:r>
      <w:r w:rsidRPr="00781112">
        <w:rPr>
          <w:rFonts w:cs="Arial"/>
          <w:color w:val="000000" w:themeColor="text1"/>
          <w:szCs w:val="16"/>
        </w:rPr>
        <w:br/>
        <w:t>Accessing TA and actions based off TA</w:t>
      </w:r>
      <w:r w:rsidRPr="00781112">
        <w:rPr>
          <w:rFonts w:cs="Arial"/>
          <w:color w:val="000000" w:themeColor="text1"/>
          <w:szCs w:val="16"/>
        </w:rPr>
        <w:br/>
        <w:t>The BIE’s Division of Performance &amp; Accountability (DPA), from here on referred as the DPA, continues to engage with OSEP-funded TA centers on a regular basis and their support has been integral. Sources for technical assistance include the following partners: IDEA Data Center (IDC), Center for IDEA Fiscal Reporting (CIFR), National Center for Systemic Improvement (NCSI), Center for Integration of IDEA Data (CIID), National Technical Assistance Center on Transition (NTACT:C), Technical Assistance for Excellence in Special Education (TAESE), Center for Appropriate Dispute Resolution in Special Education (CADRE) and WestEd.</w:t>
      </w:r>
      <w:r w:rsidRPr="00781112">
        <w:rPr>
          <w:rFonts w:cs="Arial"/>
          <w:color w:val="000000" w:themeColor="text1"/>
          <w:szCs w:val="16"/>
        </w:rPr>
        <w:br/>
      </w:r>
      <w:r w:rsidRPr="00781112">
        <w:rPr>
          <w:rFonts w:cs="Arial"/>
          <w:color w:val="000000" w:themeColor="text1"/>
          <w:szCs w:val="16"/>
        </w:rPr>
        <w:br/>
        <w:t>Actions taken:</w:t>
      </w:r>
      <w:r w:rsidRPr="00781112">
        <w:rPr>
          <w:rFonts w:cs="Arial"/>
          <w:color w:val="000000" w:themeColor="text1"/>
          <w:szCs w:val="16"/>
        </w:rPr>
        <w:br/>
        <w:t xml:space="preserve"> </w:t>
      </w:r>
      <w:r w:rsidRPr="00781112">
        <w:rPr>
          <w:rFonts w:cs="Arial"/>
          <w:color w:val="000000" w:themeColor="text1"/>
          <w:szCs w:val="16"/>
        </w:rPr>
        <w:br/>
        <w:t>Improve communication and collaboration (in person and online) between:</w:t>
      </w:r>
      <w:r w:rsidRPr="00781112">
        <w:rPr>
          <w:rFonts w:cs="Arial"/>
          <w:color w:val="000000" w:themeColor="text1"/>
          <w:szCs w:val="16"/>
        </w:rPr>
        <w:br/>
        <w:t xml:space="preserve">o The DPA team and BIE’s data teams to improve data collection and preparation, including the timely submission of EdFacts data. </w:t>
      </w:r>
      <w:r w:rsidRPr="00781112">
        <w:rPr>
          <w:rFonts w:cs="Arial"/>
          <w:color w:val="000000" w:themeColor="text1"/>
          <w:szCs w:val="16"/>
        </w:rPr>
        <w:br/>
        <w:t xml:space="preserve">o The DPA and the Chief Performance Office for implementing BIE’s high-risk monitoring activities. </w:t>
      </w:r>
      <w:r w:rsidRPr="00781112">
        <w:rPr>
          <w:rFonts w:cs="Arial"/>
          <w:color w:val="000000" w:themeColor="text1"/>
          <w:szCs w:val="16"/>
        </w:rPr>
        <w:br/>
        <w:t>o The DPA and the Chief Academic Office to implement the BIE unified assessment (to improve participation of and provision of accommodations for students with disabilities in statewide assessments).</w:t>
      </w:r>
      <w:r w:rsidRPr="00781112">
        <w:rPr>
          <w:rFonts w:cs="Arial"/>
          <w:color w:val="000000" w:themeColor="text1"/>
          <w:szCs w:val="16"/>
        </w:rPr>
        <w:br/>
      </w:r>
      <w:r w:rsidRPr="00781112">
        <w:rPr>
          <w:rFonts w:cs="Arial"/>
          <w:color w:val="000000" w:themeColor="text1"/>
          <w:szCs w:val="16"/>
        </w:rPr>
        <w:br/>
        <w:t>Improve Data and the SPP/APR:</w:t>
      </w:r>
      <w:r w:rsidRPr="00781112">
        <w:rPr>
          <w:rFonts w:cs="Arial"/>
          <w:color w:val="000000" w:themeColor="text1"/>
          <w:szCs w:val="16"/>
        </w:rPr>
        <w:br/>
        <w:t>o The DPA data team developed and implemented data protocols.</w:t>
      </w:r>
      <w:r w:rsidRPr="00781112">
        <w:rPr>
          <w:rFonts w:cs="Arial"/>
          <w:color w:val="000000" w:themeColor="text1"/>
          <w:szCs w:val="16"/>
        </w:rPr>
        <w:br/>
        <w:t>o The DPA team utilized online tools for data collection, analysis and reporting.</w:t>
      </w:r>
      <w:r w:rsidRPr="00781112">
        <w:rPr>
          <w:rFonts w:cs="Arial"/>
          <w:color w:val="000000" w:themeColor="text1"/>
          <w:szCs w:val="16"/>
        </w:rPr>
        <w:br/>
        <w:t>o The DPA data team developed data trends on all student outcomes indicators to assist stakeholders in providing input on target setting.</w:t>
      </w:r>
      <w:r w:rsidRPr="00781112">
        <w:rPr>
          <w:rFonts w:cs="Arial"/>
          <w:color w:val="000000" w:themeColor="text1"/>
          <w:szCs w:val="16"/>
        </w:rPr>
        <w:br/>
      </w:r>
      <w:r w:rsidRPr="00781112">
        <w:rPr>
          <w:rFonts w:cs="Arial"/>
          <w:color w:val="000000" w:themeColor="text1"/>
          <w:szCs w:val="16"/>
        </w:rPr>
        <w:br/>
        <w:t>Finalization of BIE IDEA Policies and Procedures:</w:t>
      </w:r>
      <w:r w:rsidRPr="00781112">
        <w:rPr>
          <w:rFonts w:cs="Arial"/>
          <w:color w:val="000000" w:themeColor="text1"/>
          <w:szCs w:val="16"/>
        </w:rPr>
        <w:br/>
        <w:t>o The DPA worked with stakeholders to review and revise the final draft of the BIE IDEA policies and procedures.</w:t>
      </w:r>
      <w:r w:rsidRPr="00781112">
        <w:rPr>
          <w:rFonts w:cs="Arial"/>
          <w:color w:val="000000" w:themeColor="text1"/>
          <w:szCs w:val="16"/>
        </w:rPr>
        <w:br/>
        <w:t>o The DPA submitted the reviewed/revised draft to BIE solicitors for final review.</w:t>
      </w:r>
      <w:r w:rsidRPr="00781112">
        <w:rPr>
          <w:rFonts w:cs="Arial"/>
          <w:color w:val="000000" w:themeColor="text1"/>
          <w:szCs w:val="16"/>
        </w:rPr>
        <w:br/>
        <w:t>o The DPA began collaboration and preparation with BIE Central Office to prepare  for upcoming BIE Tribal Consultations.</w:t>
      </w:r>
      <w:r w:rsidRPr="00781112">
        <w:rPr>
          <w:rFonts w:cs="Arial"/>
          <w:color w:val="000000" w:themeColor="text1"/>
          <w:szCs w:val="16"/>
        </w:rPr>
        <w:br/>
      </w:r>
      <w:r w:rsidRPr="00781112">
        <w:rPr>
          <w:rFonts w:cs="Arial"/>
          <w:color w:val="000000" w:themeColor="text1"/>
          <w:szCs w:val="16"/>
        </w:rPr>
        <w:br/>
        <w:t>Improve integrated monitoring activities:</w:t>
      </w:r>
      <w:r w:rsidRPr="00781112">
        <w:rPr>
          <w:rFonts w:cs="Arial"/>
          <w:color w:val="000000" w:themeColor="text1"/>
          <w:szCs w:val="16"/>
        </w:rPr>
        <w:br/>
        <w:t xml:space="preserve">o Increase staff capacity and efficiency to design and implement a general supervision system that balances accountability and supports to all 174 BIE-funded schools. </w:t>
      </w:r>
      <w:r w:rsidRPr="00781112">
        <w:rPr>
          <w:rFonts w:cs="Arial"/>
          <w:color w:val="000000" w:themeColor="text1"/>
          <w:szCs w:val="16"/>
        </w:rPr>
        <w:br/>
        <w:t>o The DPA developed a BIE DPA General Supervision and Support Framework.</w:t>
      </w:r>
      <w:r w:rsidRPr="00781112">
        <w:rPr>
          <w:rFonts w:cs="Arial"/>
          <w:color w:val="000000" w:themeColor="text1"/>
          <w:szCs w:val="16"/>
        </w:rPr>
        <w:br/>
        <w:t>o The DPA continued the implementation of Community of Practices for special education staff in Bureau-funded high schools and developed asynchronous online courses for Bureau-funded high schools to improve compliance with secondary transition.</w:t>
      </w:r>
      <w:r w:rsidRPr="00781112">
        <w:rPr>
          <w:rFonts w:cs="Arial"/>
          <w:color w:val="000000" w:themeColor="text1"/>
          <w:szCs w:val="16"/>
        </w:rPr>
        <w:br/>
      </w:r>
      <w:r w:rsidRPr="00781112">
        <w:rPr>
          <w:rFonts w:cs="Arial"/>
          <w:color w:val="000000" w:themeColor="text1"/>
          <w:szCs w:val="16"/>
        </w:rPr>
        <w:br/>
        <w:t>Improve implementation of fiscal systems:</w:t>
      </w:r>
      <w:r w:rsidRPr="00781112">
        <w:rPr>
          <w:rFonts w:cs="Arial"/>
          <w:color w:val="000000" w:themeColor="text1"/>
          <w:szCs w:val="16"/>
        </w:rPr>
        <w:br/>
        <w:t xml:space="preserve">o The DPA began developing fiscal monitoring procedures and manuals and alignment with other activities within General Supervision processes. </w:t>
      </w:r>
      <w:r w:rsidRPr="00781112">
        <w:rPr>
          <w:rFonts w:cs="Arial"/>
          <w:color w:val="000000" w:themeColor="text1"/>
          <w:szCs w:val="16"/>
        </w:rPr>
        <w:br/>
        <w:t>o The DPA worked to improve collaboration with school operations to support fiscal accountability.</w:t>
      </w:r>
      <w:r w:rsidRPr="00781112">
        <w:rPr>
          <w:rFonts w:cs="Arial"/>
          <w:color w:val="000000" w:themeColor="text1"/>
          <w:szCs w:val="16"/>
        </w:rPr>
        <w:br/>
        <w:t>o Strengthening collaboration between DPA and Financial Reporting and Analysis Division, Office of the Chief Financial Officer, and Indian Affairs.</w:t>
      </w:r>
      <w:r w:rsidRPr="00781112">
        <w:rPr>
          <w:rFonts w:cs="Arial"/>
          <w:color w:val="000000" w:themeColor="text1"/>
          <w:szCs w:val="16"/>
        </w:rPr>
        <w:br/>
      </w:r>
      <w:r w:rsidRPr="00781112">
        <w:rPr>
          <w:rFonts w:cs="Arial"/>
          <w:color w:val="000000" w:themeColor="text1"/>
          <w:szCs w:val="16"/>
        </w:rPr>
        <w:br/>
        <w:t>Sustaining Compliance and Improvement:</w:t>
      </w:r>
      <w:r w:rsidRPr="00781112">
        <w:rPr>
          <w:rFonts w:cs="Arial"/>
          <w:color w:val="000000" w:themeColor="text1"/>
          <w:szCs w:val="16"/>
        </w:rPr>
        <w:br/>
        <w:t xml:space="preserve">o The DPA continued coaching and mentoring for correction of noncompliance of secondary transition plans for students with disabilities. </w:t>
      </w:r>
      <w:r w:rsidRPr="00781112">
        <w:rPr>
          <w:rFonts w:cs="Arial"/>
          <w:color w:val="000000" w:themeColor="text1"/>
          <w:szCs w:val="16"/>
        </w:rPr>
        <w:br/>
        <w:t xml:space="preserve">o The DPA developed a system to track and verify the correction of long-standing noncompliance and demonstrated incremental increase across quarters. </w:t>
      </w:r>
      <w:r w:rsidRPr="00781112">
        <w:rPr>
          <w:rFonts w:cs="Arial"/>
          <w:color w:val="000000" w:themeColor="text1"/>
          <w:szCs w:val="16"/>
        </w:rPr>
        <w:br/>
      </w:r>
      <w:r w:rsidRPr="00781112">
        <w:rPr>
          <w:rFonts w:cs="Arial"/>
          <w:color w:val="000000" w:themeColor="text1"/>
          <w:szCs w:val="16"/>
        </w:rPr>
        <w:br/>
        <w:t>Improve Dispute Resolution system:</w:t>
      </w:r>
      <w:r w:rsidRPr="00781112">
        <w:rPr>
          <w:rFonts w:cs="Arial"/>
          <w:color w:val="000000" w:themeColor="text1"/>
          <w:szCs w:val="16"/>
        </w:rPr>
        <w:br/>
        <w:t>o Dispute Resolution &amp; Mediation Services for BIE Special Education Programs.</w:t>
      </w:r>
      <w:r w:rsidRPr="00781112">
        <w:rPr>
          <w:rFonts w:cs="Arial"/>
          <w:color w:val="000000" w:themeColor="text1"/>
          <w:szCs w:val="16"/>
        </w:rPr>
        <w:br/>
        <w:t xml:space="preserve">o The DPA continued to invest in LRP Publications providing it as universal technical assistance. </w:t>
      </w:r>
      <w:r w:rsidRPr="00781112">
        <w:rPr>
          <w:rFonts w:cs="Arial"/>
          <w:color w:val="000000" w:themeColor="text1"/>
          <w:szCs w:val="16"/>
        </w:rPr>
        <w:br/>
        <w:t>o The DPA renewed access of Special Ed Connection, Title 1 Admin, and DirectSTEP for all BIE staff.</w:t>
      </w:r>
      <w:r w:rsidRPr="00781112">
        <w:rPr>
          <w:rFonts w:cs="Arial"/>
          <w:color w:val="000000" w:themeColor="text1"/>
          <w:szCs w:val="16"/>
        </w:rPr>
        <w:br/>
      </w:r>
      <w:r w:rsidRPr="00781112">
        <w:rPr>
          <w:rFonts w:cs="Arial"/>
          <w:color w:val="000000" w:themeColor="text1"/>
          <w:szCs w:val="16"/>
        </w:rPr>
        <w:br/>
        <w:t>Improve stakeholder engagement:</w:t>
      </w:r>
      <w:r w:rsidRPr="00781112">
        <w:rPr>
          <w:rFonts w:cs="Arial"/>
          <w:color w:val="000000" w:themeColor="text1"/>
          <w:szCs w:val="16"/>
        </w:rPr>
        <w:br/>
        <w:t>o The DPA improved engagement of the Bureau of Indian Affairs (BIA) Advisory Board for Exceptional Children members in DPA IDEA activities.</w:t>
      </w:r>
      <w:r w:rsidRPr="00781112">
        <w:rPr>
          <w:rFonts w:cs="Arial"/>
          <w:color w:val="000000" w:themeColor="text1"/>
          <w:szCs w:val="16"/>
        </w:rPr>
        <w:br/>
        <w:t>o The DPA provided training, orientation, travel and meeting arrangements for the BIA Advisory Board for Exceptional Children.</w:t>
      </w:r>
      <w:r w:rsidRPr="00781112">
        <w:rPr>
          <w:rFonts w:cs="Arial"/>
          <w:color w:val="000000" w:themeColor="text1"/>
          <w:szCs w:val="16"/>
        </w:rPr>
        <w:br/>
      </w:r>
      <w:r w:rsidRPr="00781112">
        <w:rPr>
          <w:rFonts w:cs="Arial"/>
          <w:color w:val="000000" w:themeColor="text1"/>
          <w:szCs w:val="16"/>
        </w:rPr>
        <w:lastRenderedPageBreak/>
        <w:t>o The DPA in collaboration with stakeholders established targets for SPP/APR indicators.</w:t>
      </w:r>
      <w:r w:rsidRPr="00781112">
        <w:rPr>
          <w:rFonts w:cs="Arial"/>
          <w:color w:val="000000" w:themeColor="text1"/>
          <w:szCs w:val="16"/>
        </w:rPr>
        <w:br/>
      </w:r>
      <w:r w:rsidRPr="00781112">
        <w:rPr>
          <w:rFonts w:cs="Arial"/>
          <w:color w:val="000000" w:themeColor="text1"/>
          <w:szCs w:val="16"/>
        </w:rPr>
        <w:br/>
        <w:t>Improve Professional Development and Technical Assistance</w:t>
      </w:r>
      <w:r w:rsidRPr="00781112">
        <w:rPr>
          <w:rFonts w:cs="Arial"/>
          <w:color w:val="000000" w:themeColor="text1"/>
          <w:szCs w:val="16"/>
        </w:rPr>
        <w:br/>
        <w:t>o The DPA developed a BIE DPA General Supervision and Support Framework.</w:t>
      </w:r>
      <w:r w:rsidRPr="00781112">
        <w:rPr>
          <w:rFonts w:cs="Arial"/>
          <w:color w:val="000000" w:themeColor="text1"/>
          <w:szCs w:val="16"/>
        </w:rPr>
        <w:br/>
        <w:t>o BIE regularly participated and utilized learning from national technical assistance activities implemented by the TA centers such as: The IDEA Data Center Interactive Institutes and SPP/APR Summit, NCSI Learning Collaboratives, CADRE Symposium, TAESE monthly meetings for state directors, NTACT:C webinars, Monthly CIFR calls, OSEP monthly TA calls (monthly MSIP calls and monthly check in calls with BIE’s team lead).</w:t>
      </w:r>
      <w:r w:rsidRPr="00781112">
        <w:rPr>
          <w:rFonts w:cs="Arial"/>
          <w:color w:val="000000" w:themeColor="text1"/>
          <w:szCs w:val="16"/>
        </w:rPr>
        <w:br/>
        <w:t>o The DPA IDEA team improve collaboration between and the BIE director, the DPA Supplemental Education Programs (SEP), the Associate Deputy Directors (ADDs), BIE’s Education Resource Center (ERC) regions and BIE-funded schools to reconcile IDEA priorities and schools areas of need across the entire system.</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Data collection and reporting for all SPP/APR Indicators continue to be impacted by COVID-19. We reported the impact of COVID-19 for Tribal communities and each indicator using the following three questions:</w:t>
      </w:r>
      <w:r w:rsidRPr="00781112">
        <w:rPr>
          <w:color w:val="000000" w:themeColor="text1"/>
        </w:rPr>
        <w:br/>
        <w:t xml:space="preserve">(1) the impact on performance, data completeness, validity and reliability for the indicator; </w:t>
      </w:r>
      <w:r w:rsidRPr="00781112">
        <w:rPr>
          <w:color w:val="000000" w:themeColor="text1"/>
        </w:rPr>
        <w:br/>
        <w:t xml:space="preserve">(2) an explanation of how COVID-19 specifically impacted the State’s ability to collect the data for the indicator; and </w:t>
      </w:r>
      <w:r w:rsidRPr="00781112">
        <w:rPr>
          <w:color w:val="000000" w:themeColor="text1"/>
        </w:rPr>
        <w:br/>
        <w:t>(3) any steps the State took to mitigate the impact of COVID-19 on the data collection.</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174</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Fiscal management -- Fiscal review procedures for special education has been developed and implemented that ensures a school's compliance to certain fiscal and administrative requirements for special education funds (e.g., Indian Student Equalization Program (ISEP) 15% base academic funding, IDEA Part B supplemental funds). BIE-funded schools submit fiscal documents in Native Star--LEA School Part B Application and if applicable, the Coordinated Early Intervening Services (CEIS) and/or Cooperative Agreement Unit (CAU) Plan, and IDEA Part B budget. The programmatic and fiscal monitoring activities includes a desk audit and an on-site review for selected schools that includes a review of the schools’ special education program. DPA-IDEA staff participate in financial reviews for Bureau-Operated Schools led by School Operations. A part of DPA-IDEA’s improvements to the general supervision system includes developing IDEA fiscal procedures and monitoring tools.</w:t>
      </w:r>
      <w:r w:rsidRPr="00781112">
        <w:rPr>
          <w:rFonts w:cs="Arial"/>
          <w:color w:val="000000" w:themeColor="text1"/>
          <w:szCs w:val="16"/>
        </w:rPr>
        <w:br/>
      </w:r>
      <w:r w:rsidRPr="00781112">
        <w:rPr>
          <w:rFonts w:cs="Arial"/>
          <w:color w:val="000000" w:themeColor="text1"/>
          <w:szCs w:val="16"/>
        </w:rPr>
        <w:br/>
        <w:t xml:space="preserve">Monitoring -- BIE implements the High-Risk Fiscal Monitoring Policy and Handbook to monitor the implementation of IDEA Part B. The process focuses on improving education results and functional outcomes for all children with disabilities. The High-Risk Matrix is used to identify schools for monitoring. The monitoring components include desk audits utilizing the Native American Student Information System (NASIS), school staff and student interviews. DPA-IDEA continues to utilize online tools to track identified noncompliance and to verify noncompliance, including long-standing noncompliance. </w:t>
      </w:r>
      <w:r w:rsidRPr="00781112">
        <w:rPr>
          <w:rFonts w:cs="Arial"/>
          <w:color w:val="000000" w:themeColor="text1"/>
          <w:szCs w:val="16"/>
        </w:rPr>
        <w:br/>
      </w:r>
      <w:r w:rsidRPr="00781112">
        <w:rPr>
          <w:rFonts w:cs="Arial"/>
          <w:color w:val="000000" w:themeColor="text1"/>
          <w:szCs w:val="16"/>
        </w:rPr>
        <w:br/>
        <w:t xml:space="preserve">Policies and Procedures -- a draft of the BIE Special Education Policy and Handbook has been developed by the BIE Stakeholders and BIE submit matter experts. The BIE Special Education Policy and Handbook is being reviewed by Solicitors to ensure the content reflects regulations applicable to the BIE. </w:t>
      </w:r>
      <w:r w:rsidRPr="00781112">
        <w:rPr>
          <w:rFonts w:cs="Arial"/>
          <w:color w:val="000000" w:themeColor="text1"/>
          <w:szCs w:val="16"/>
        </w:rPr>
        <w:br/>
      </w:r>
      <w:r w:rsidRPr="00781112">
        <w:rPr>
          <w:rFonts w:cs="Arial"/>
          <w:color w:val="000000" w:themeColor="text1"/>
          <w:szCs w:val="16"/>
        </w:rPr>
        <w:br/>
        <w:t>Data on Processes and Results -- the Native American Student Information System (NASIS) is utilized which serves as BIE's electronic student information system that includes a special education module that supports the management of IEPs for students with disabilities. NASIS serves as BIE's central data collection for student level data and reporting. DPA-IDEA has been collaborating with Infinite Campus to identify improvements to the entire IEP module and editor forms (e.g., Prior Written Notice, meeting notes, initial evaluation timelines, invitations for IEP meetings).</w:t>
      </w:r>
      <w:r w:rsidRPr="00781112">
        <w:rPr>
          <w:rFonts w:cs="Arial"/>
          <w:color w:val="000000" w:themeColor="text1"/>
          <w:szCs w:val="16"/>
        </w:rPr>
        <w:br/>
      </w:r>
      <w:r w:rsidRPr="00781112">
        <w:rPr>
          <w:rFonts w:cs="Arial"/>
          <w:color w:val="000000" w:themeColor="text1"/>
          <w:szCs w:val="16"/>
        </w:rPr>
        <w:br/>
        <w:t>Sustaining Compliance and Improvement -- The High-Risk Fiscal Monitoring Policy and Handbook, Local School Performance Plan (LSPP), fiscal review supports improvement and ensure timely correction through incentives and enforcement. DPA-IDEA meets monthly with its OSEP team lead and continues to implement the Corrective Action Plan (CAP) while providing quarterly progress reports to the US Department of Education.</w:t>
      </w:r>
      <w:r w:rsidRPr="00781112">
        <w:rPr>
          <w:rFonts w:cs="Arial"/>
          <w:color w:val="000000" w:themeColor="text1"/>
          <w:szCs w:val="16"/>
        </w:rPr>
        <w:br/>
      </w:r>
      <w:r w:rsidRPr="00781112">
        <w:rPr>
          <w:rFonts w:cs="Arial"/>
          <w:color w:val="000000" w:themeColor="text1"/>
          <w:szCs w:val="16"/>
        </w:rPr>
        <w:br/>
        <w:t xml:space="preserve">Dispute Resolution -- The BIE provides a process for a parent or school to file a complaint and request for a due process hearing or mediation. Request for mediation, request for due process hearing, and state complaint forms are posted on the BIE website at http://www.bie.edu/Programs/SpecialEd/Dispute/index.htm. </w:t>
      </w:r>
      <w:r w:rsidRPr="00781112">
        <w:rPr>
          <w:rFonts w:cs="Arial"/>
          <w:color w:val="000000" w:themeColor="text1"/>
          <w:szCs w:val="16"/>
        </w:rPr>
        <w:br/>
        <w:t xml:space="preserve">Targeted technical assistance and professional development -- Targeted and universal technical assistance and professional development is offered to three ADD Regions (Bureau Operated Schools, Tribally Controlled Schools, Navajo Schools) and Education Resource Centers to help them improve results for children. The technical assistance and activities are presented through a variety of means including the BIE website, guidance documents, webinars, telephone, and electronic communication. Schools also have IDEA Part B funds to purchase training directly from other resources (e.g., states, national organizations, consultant) for special education activities. The BIE continues to partner with LRP Publications to provide all BIE-funded schools and staff with three education resources (e.g., Special Ed Connection, Title1Admin, DirectSTEP) to help school staff better serve students. </w:t>
      </w:r>
      <w:r w:rsidRPr="00781112">
        <w:rPr>
          <w:rFonts w:cs="Arial"/>
          <w:color w:val="000000" w:themeColor="text1"/>
          <w:szCs w:val="16"/>
        </w:rPr>
        <w:br/>
      </w:r>
      <w:r w:rsidRPr="00781112">
        <w:rPr>
          <w:rFonts w:cs="Arial"/>
          <w:color w:val="000000" w:themeColor="text1"/>
          <w:szCs w:val="16"/>
        </w:rPr>
        <w:br/>
        <w:t>BIE's focus is to improve results and functional outcomes for all children with disabilities and ensuring that program requirements of IDEA Part B are met, with a particular emphasis on those requirements that are most closely related to improving educational results for children with disabilities.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DPA-IDEA utilizes a differentiated framework to organize, align and prioritize supports to all BIE-funded schools. DPA develops and provides technical assistance on universal, </w:t>
      </w:r>
      <w:proofErr w:type="gramStart"/>
      <w:r w:rsidRPr="00781112">
        <w:rPr>
          <w:rFonts w:cs="Arial"/>
          <w:color w:val="000000" w:themeColor="text1"/>
          <w:szCs w:val="16"/>
        </w:rPr>
        <w:t>targeted</w:t>
      </w:r>
      <w:proofErr w:type="gramEnd"/>
      <w:r w:rsidRPr="00781112">
        <w:rPr>
          <w:rFonts w:cs="Arial"/>
          <w:color w:val="000000" w:themeColor="text1"/>
          <w:szCs w:val="16"/>
        </w:rPr>
        <w:t xml:space="preserve"> and intensive levels. BIE-funded schools receive differentiated supports based on their needs following local determinations, specific </w:t>
      </w:r>
      <w:proofErr w:type="gramStart"/>
      <w:r w:rsidRPr="00781112">
        <w:rPr>
          <w:rFonts w:cs="Arial"/>
          <w:color w:val="000000" w:themeColor="text1"/>
          <w:szCs w:val="16"/>
        </w:rPr>
        <w:t>indicators</w:t>
      </w:r>
      <w:proofErr w:type="gramEnd"/>
      <w:r w:rsidRPr="00781112">
        <w:rPr>
          <w:rFonts w:cs="Arial"/>
          <w:color w:val="000000" w:themeColor="text1"/>
          <w:szCs w:val="16"/>
        </w:rPr>
        <w:t xml:space="preserve"> and other data sources. Some examples of technical assistance provided include the following:</w:t>
      </w:r>
      <w:r w:rsidRPr="00781112">
        <w:rPr>
          <w:rFonts w:cs="Arial"/>
          <w:color w:val="000000" w:themeColor="text1"/>
          <w:szCs w:val="16"/>
        </w:rPr>
        <w:br/>
      </w:r>
      <w:r w:rsidRPr="00781112">
        <w:rPr>
          <w:rFonts w:cs="Arial"/>
          <w:color w:val="000000" w:themeColor="text1"/>
          <w:szCs w:val="16"/>
        </w:rPr>
        <w:br/>
        <w:t>Universal technical Assistance is offered to the BIE-funded schools in three ADD Regions (Bureau Operated Schools, Tribally Controlled Schools, Navajo Schools) and Education Resource Centers to help them improve results for children with disabilities. The technical assistance and activities are presented through a variety of means--BIE website, guidance documents, dissemination of evidence-based practices, webinars, NATIVE Star, consultants, telephone, fax, and electronic communication. Technical assistance is linked to the SPP/APR Indicators through the Local School Performance Plan (LSPP) whereby schools develop improvement activities for applicable SPP/APR indicators and evaluate the improvement activities two times per school year to determine if progress is being made to meet the BIE indicator target. Schools also have the IDEA Part B funds to purchase training directly from other resources (e.g., states, Tribal organizations, BIE, national organizations, consultants, other TA providers). DPA-IDEA also assigns Education Specialists universally too all BIE-funded schools; each Education Specialist is assigned up to twenty schools.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DPA-IDEA also provided targeted technical assistance to BIE-funded schools through Communities of Practice. DPA-IDEA staff also provide coaching and mentoring to special education staff at high schools to improve data quality and compliance with secondary transition. Additionally, DPA-IDEA facilitates monthly calls with specific Associate Deputy Director regions to address special education priorities and announcements for the region. DPA-IDEA also tailors technical assistance to schools based off the off compliance and performance data. The DPA-IDEA Education Specialists also provide targeted webinars to their assigned schools. </w:t>
      </w:r>
      <w:r w:rsidRPr="00781112">
        <w:rPr>
          <w:rFonts w:cs="Arial"/>
          <w:color w:val="000000" w:themeColor="text1"/>
          <w:szCs w:val="16"/>
        </w:rPr>
        <w:br/>
      </w:r>
      <w:r w:rsidRPr="00781112">
        <w:rPr>
          <w:rFonts w:cs="Arial"/>
          <w:color w:val="000000" w:themeColor="text1"/>
          <w:szCs w:val="16"/>
        </w:rPr>
        <w:br/>
        <w:t xml:space="preserve">DPA-IDEA staff also provide intensive technical assistance to schools through email, phone, online meetings to address long-standing noncompliance. An intensive cross-discipline technical assistance plan is developed and implemented for all schools who receive on-site monitoring, The technical assistance (provided on-site or post site visit) is also built into the programmatic and fiscal review activities </w:t>
      </w:r>
      <w:proofErr w:type="gramStart"/>
      <w:r w:rsidRPr="00781112">
        <w:rPr>
          <w:rFonts w:cs="Arial"/>
          <w:color w:val="000000" w:themeColor="text1"/>
          <w:szCs w:val="16"/>
        </w:rPr>
        <w:t>in the area of</w:t>
      </w:r>
      <w:proofErr w:type="gramEnd"/>
      <w:r w:rsidRPr="00781112">
        <w:rPr>
          <w:rFonts w:cs="Arial"/>
          <w:color w:val="000000" w:themeColor="text1"/>
          <w:szCs w:val="16"/>
        </w:rPr>
        <w:t xml:space="preserve"> fiscal support.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BIE supports the provision of professional development to improve results for children through the three ADD Regions (Bureau Operated Schools, Tribally Controlled Schools, Navajo Schools) and Education Resource Centers for their school staff. Schools are encouraged to collaborate and network with other Tribal or education organizations to help them increase staff skills and knowledge in the areas of school need.</w:t>
      </w:r>
      <w:r w:rsidRPr="00781112">
        <w:rPr>
          <w:rFonts w:cs="Arial"/>
          <w:color w:val="000000" w:themeColor="text1"/>
          <w:szCs w:val="16"/>
        </w:rPr>
        <w:br/>
      </w:r>
      <w:r w:rsidRPr="00781112">
        <w:rPr>
          <w:rFonts w:cs="Arial"/>
          <w:color w:val="000000" w:themeColor="text1"/>
          <w:szCs w:val="16"/>
        </w:rPr>
        <w:br/>
        <w:t>The professional development activities are presented through a variety of means--BIE website, virtual conferences, guidance documents, disseminating information to schools about evidence-based practices, monthly webinars, consultants, telephone, and electronic communication. Schools also have the IDEA Part B funds to purchase professional development directly from other resources (e.g., states, national organizations, consultant). National technical centers and contractors are used to help support the professional development needs of schools. On-site technical assistance and professional development is offered through the programmatic and fiscal review activities. Written feedback on the LSPP is provided directly in NATIVE Star on the school's evaluation of their improvement activities. Schools that have been identified for fiscal risk ratings are provided technical assistance and professional development. The BIE continues to partner with LRP Publications to provide all BIE-funded schools and staff with three education resources (e.g., Special Ed Connection, Title1Admin, DirectSTEP) to better serve students.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Supervisory Education Specialist regularly provides updates on the SPP/APR progress to the BIA Advisory Board for Exceptional Children. These updates include data on BIE’s progress in implementing the SPP/APR. Stakeholders are invited to review and analyze SPP/APR indicator data and to provide advice on BIE’s strategies for indicators’ progress. The BIE regularly seeks and considers their feedback.</w:t>
      </w:r>
      <w:r w:rsidRPr="00781112">
        <w:rPr>
          <w:color w:val="000000" w:themeColor="text1"/>
          <w:szCs w:val="16"/>
        </w:rPr>
        <w:br/>
      </w:r>
      <w:r w:rsidRPr="00781112">
        <w:rPr>
          <w:color w:val="000000" w:themeColor="text1"/>
          <w:szCs w:val="16"/>
        </w:rPr>
        <w:br/>
        <w:t xml:space="preserve">The BIE implemented a new special education parent survey in SY 2021-2022 and set new targets. The BIE convened a stakeholder group on November 30, 2022, and presented the data and proposed targets. The stakeholder group consisted of BIA Advisory Board for Exceptional Children members, staff from BIE-funded schools and other departments within the BIE. The Supervisory Education Specialist contacted parents </w:t>
      </w:r>
      <w:proofErr w:type="gramStart"/>
      <w:r w:rsidRPr="00781112">
        <w:rPr>
          <w:color w:val="000000" w:themeColor="text1"/>
          <w:szCs w:val="16"/>
        </w:rPr>
        <w:t>and also</w:t>
      </w:r>
      <w:proofErr w:type="gramEnd"/>
      <w:r w:rsidRPr="00781112">
        <w:rPr>
          <w:color w:val="000000" w:themeColor="text1"/>
          <w:szCs w:val="16"/>
        </w:rPr>
        <w:t xml:space="preserve"> reached out to schools to invite parents to attend the meeting. However, no parents were able to attend. The stakeholders asked very good questions about the data, how the data were collected, what schools had good participation, which schools did not participate, and asked to see the new special education parent survey. Therefore, the group did not </w:t>
      </w:r>
      <w:proofErr w:type="gramStart"/>
      <w:r w:rsidRPr="00781112">
        <w:rPr>
          <w:color w:val="000000" w:themeColor="text1"/>
          <w:szCs w:val="16"/>
        </w:rPr>
        <w:t>make a decision</w:t>
      </w:r>
      <w:proofErr w:type="gramEnd"/>
      <w:r w:rsidRPr="00781112">
        <w:rPr>
          <w:color w:val="000000" w:themeColor="text1"/>
          <w:szCs w:val="16"/>
        </w:rPr>
        <w:t xml:space="preserve"> on new targets. The BIE re-convened the stakeholder meeting on December 15, 2022, and presented the data and proposed targets again, answered the questions, and shared the survey. At the second meeting, targets were selected. Also, the group had a very good discussion about how to get the schools to increase parent participation in the survey. The Supervisory Education Specialist shared the strategies they had already implemented to improve participation and the stakeholders suggested additional strategies.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To ensure the effective engagement of parents and other stakeholders to support the development of implementation activities to improve outcomes for children with disabilities, the following activities were conducted to help increase their capacity. BIE requested the three Education Specialists (Special Education) from BIE’s three Associate Deputy Director (ADD)-Regions to disseminate the information to their schools to identify parents from their ADD regions to serve as a SPP/APR stakeholder. BIE provides materials in advance to help parents and stakeholders understand the BIE State Performance Plan/Annual Performance Plan results indicators. BIE provides professional development to other stakeholders including BIE staff (Education </w:t>
      </w:r>
      <w:r w:rsidRPr="00781112">
        <w:rPr>
          <w:color w:val="000000" w:themeColor="text1"/>
          <w:szCs w:val="16"/>
        </w:rPr>
        <w:lastRenderedPageBreak/>
        <w:t>Specialists) and BIA Advisory Board for Exceptional Children in how to review and analyze the data and request their input as needed. BIE is committed to maintaining and increasing parent engagement throughout the FFY 2020-25 SPP/APR. The BIE revisits the targets annually with the BIA Advisory Board of Exceptional Children, parents, and other stakeholders. BIE continues to work on increasing the number of parents of children with disabilities actively involved as members of the BIA Advisory Board for Exceptional Children.</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As a Federal Agency BIE utilizes the Federal Register to share the agenda, </w:t>
      </w:r>
      <w:proofErr w:type="gramStart"/>
      <w:r w:rsidRPr="00781112">
        <w:rPr>
          <w:color w:val="000000" w:themeColor="text1"/>
          <w:szCs w:val="16"/>
        </w:rPr>
        <w:t>location</w:t>
      </w:r>
      <w:proofErr w:type="gramEnd"/>
      <w:r w:rsidRPr="00781112">
        <w:rPr>
          <w:color w:val="000000" w:themeColor="text1"/>
          <w:szCs w:val="16"/>
        </w:rPr>
        <w:t xml:space="preserve"> and time for the BIA Advisory Board for Exceptional Children meetings. Each Advisory Board meeting includes a specific portion of time for public comment. The Federal Register is posted online 30 days prior to each Advisory Board meeting. DPA-IDEA is regularly invited to present at these meetings on the BIE progress on implementing IDEA. At a minimum, the DPA-IDEA provides an annual SPP/APR summary on these meetings and solicits their input for setting targets, analyzing data, developing improvement strategies, and evaluating progress as appropriate.</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BIE-DPA annually publishes SPP/APR information on its website no longer than 90 days after the final annual submission. The annually published information includes the entire SPP/APR, a report of special education assessment data that matches the same frequency and in the same detail as the reports on the assessment of nondisabled children, and the indicator performance of BIE-funded schools with academic programs. The BIE-DPA monitors the website and its social media for input from the public on any area of the SPP/APR, including indicator performance toward meeting targets, improvement strategies or the performance of schools in relation to each indicator as appropriate.</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A link to the BIE's FFY 2020 State Performance Plan/Annual Performance Report (SPP/APR) is posted on the special education webpage of the BIE's website: https://www.bie.edu/topic-page/performance-data-statistics. A link for the FFY 2021 APR will be posted no later than June 1, 2023. The BIE also posts a link to each school's annual performance on the SPP/APR indicators on this webpage. School level performance for FFY 2021 will be posted no later than June 1, 2023.</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BIE's IDEA Part B determination for both 2021 and 2022 is Needs Assistance. In the BIE's 2022 determination letter, the Department advised the BIE of available sources of technical assistance, including OSEP-funded technical assistance centers, and required the BIE to work with appropriate entities. The Department directed the BIE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w:t>
      </w:r>
      <w:r w:rsidRPr="00781112">
        <w:rPr>
          <w:rFonts w:cs="Arial"/>
          <w:color w:val="000000" w:themeColor="text1"/>
          <w:szCs w:val="16"/>
        </w:rPr>
        <w:br/>
      </w:r>
      <w:r w:rsidRPr="00781112">
        <w:rPr>
          <w:rFonts w:cs="Arial"/>
          <w:color w:val="000000" w:themeColor="text1"/>
          <w:szCs w:val="16"/>
        </w:rPr>
        <w:br/>
        <w:t xml:space="preserve">The BIE must report, with its FFY 2021 SPP/APR submission, due February 1, 2023, on: (1) the technical assistance sources from which the BIE received assistance; and (2) the actions the BIE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 xml:space="preserve">OSEP has imposed Specific Conditions on the BIE's IDEA Part B grant award each year from FFY 2007 through FFY 2022, and those Specific Conditions are in effect at the time of the determination. Under the FFY 2022 specific conditions, the BIE was required to submit a corrective action plan and quarterly progress reports that address the steps the BIE will take to: (1) adopt final policies and procedures related to implementation of Part B of IDEA; (2) implement a general supervision system to ensure that BIE-funded schools are in compliance with IDEA requirements, including ensuring timely correction of findings of noncompliance and issuing annual determinations on the performance of all BIE-funded schools; (3) revise and implement its dispute resolution policies and procedures to be consistent with IDEA requirements; (4) update and implement its corrective action plan to demonstrate compliance with secondary transition requirements and improve the accuracy of the secondary transition data; and (5) ensure the provision of related services and timely initial evaluations in accordance with IDEA requirements in all BIE-funded schools.  OSEP will determine under separate cover whether the BIE has completed all of the corrective </w:t>
      </w:r>
      <w:proofErr w:type="gramStart"/>
      <w:r w:rsidRPr="00781112">
        <w:rPr>
          <w:rFonts w:cs="Arial"/>
          <w:color w:val="000000" w:themeColor="text1"/>
          <w:szCs w:val="16"/>
        </w:rPr>
        <w:t>actions, and</w:t>
      </w:r>
      <w:proofErr w:type="gramEnd"/>
      <w:r w:rsidRPr="00781112">
        <w:rPr>
          <w:rFonts w:cs="Arial"/>
          <w:color w:val="000000" w:themeColor="text1"/>
          <w:szCs w:val="16"/>
        </w:rPr>
        <w:t xml:space="preserve"> will respond separately in its FFY 2023 IDEA Part B grant award letter to the BIE.</w:t>
      </w:r>
      <w:r w:rsidRPr="00781112">
        <w:rPr>
          <w:rFonts w:cs="Arial"/>
          <w:color w:val="000000" w:themeColor="text1"/>
          <w:szCs w:val="16"/>
        </w:rPr>
        <w:br/>
      </w:r>
      <w:r w:rsidRPr="00781112">
        <w:rPr>
          <w:rFonts w:cs="Arial"/>
          <w:color w:val="000000" w:themeColor="text1"/>
          <w:szCs w:val="16"/>
        </w:rPr>
        <w:br/>
        <w:t xml:space="preserve">OSEP issued a monitoring report to the BIE on October 23, 2019.  The outstanding findings have been added to the BIE’s Specific Conditions and are tracked through OSEP’s responses to the BIE’s quarterly Corrective Action Plan (CAP) reports.  On May 25, 2023, OSEP issued a response to the BIE's most recent CAP report, summarizing the </w:t>
      </w:r>
      <w:proofErr w:type="gramStart"/>
      <w:r w:rsidRPr="00781112">
        <w:rPr>
          <w:rFonts w:cs="Arial"/>
          <w:color w:val="000000" w:themeColor="text1"/>
          <w:szCs w:val="16"/>
        </w:rPr>
        <w:t>current status</w:t>
      </w:r>
      <w:proofErr w:type="gramEnd"/>
      <w:r w:rsidRPr="00781112">
        <w:rPr>
          <w:rFonts w:cs="Arial"/>
          <w:color w:val="000000" w:themeColor="text1"/>
          <w:szCs w:val="16"/>
        </w:rPr>
        <w:t xml:space="preserve"> of OSEP’s review of the BIE’s outstanding noncompliance first identified in OSEP’s monitoring report, and of the documentation provided to date by the BIE to address those findings of noncompliance. As noted in the BIE's most recent CAP report, the BIE has corrected some but not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findings. OSEP will review any additional documents the BIE wishes to submit that address the outstanding findings. The failure to correct these findings represents longstanding noncompliance and may be considered in OSEP's annual determination. For specific details, see OSEP's  2023 determination letter.</w:t>
      </w:r>
      <w:r w:rsidRPr="00781112">
        <w:rPr>
          <w:rFonts w:cs="Arial"/>
          <w:color w:val="000000" w:themeColor="text1"/>
          <w:szCs w:val="16"/>
        </w:rPr>
        <w:br/>
      </w:r>
      <w:r w:rsidRPr="00781112">
        <w:rPr>
          <w:rFonts w:cs="Arial"/>
          <w:color w:val="000000" w:themeColor="text1"/>
          <w:szCs w:val="16"/>
        </w:rPr>
        <w:br/>
        <w:t>The BIE's determinations for both 2021 and 2022 were Needs Assistance. Pursuant to section 616(e)(1) of the IDEA and 34 C.F.R. § 300.604(a), OSEP's June 24, 2022 determination letter informed the BIE that it must report with its FFY 2021 SPP/APR submission, due February 1, 2023, on: (1) the technical assistance sources from which the BIE received assistance; and (2) the actions the BIE took as a result of that technical assistance. The BIE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394B270C" w:rsidR="005F5514"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757FC857" w14:textId="77777777" w:rsidR="007D5A12" w:rsidRPr="00781112" w:rsidRDefault="007D5A12" w:rsidP="003A6167">
      <w:pPr>
        <w:rPr>
          <w:rFonts w:cs="Arial"/>
          <w:color w:val="000000" w:themeColor="text1"/>
          <w:szCs w:val="16"/>
        </w:rPr>
      </w:pP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1CE93C4" w:rsidR="005E59DB" w:rsidRPr="00781112" w:rsidRDefault="005E59DB" w:rsidP="00B65C2C">
      <w:pPr>
        <w:rPr>
          <w:b/>
          <w:color w:val="000000" w:themeColor="text1"/>
        </w:rPr>
      </w:pPr>
      <w:r w:rsidRPr="00781112">
        <w:rPr>
          <w:b/>
          <w:color w:val="000000" w:themeColor="text1"/>
        </w:rPr>
        <w:t>Historical Data</w:t>
      </w:r>
      <w:r w:rsidR="008A68E4">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75.00%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53.12%</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55.12%</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57.12%</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57.12%</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51.49%</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63.06%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63.72%</w:t>
            </w:r>
          </w:p>
        </w:tc>
        <w:tc>
          <w:tcPr>
            <w:tcW w:w="833" w:type="pct"/>
            <w:tcBorders>
              <w:bottom w:val="single" w:sz="4" w:space="0" w:color="auto"/>
            </w:tcBorders>
            <w:shd w:val="clear" w:color="auto" w:fill="auto"/>
            <w:vAlign w:val="center"/>
          </w:tcPr>
          <w:p w14:paraId="180CBFE9" w14:textId="19FDBAD8" w:rsidR="007F24E2" w:rsidRPr="00781112" w:rsidRDefault="002B7490" w:rsidP="00E0321D">
            <w:pPr>
              <w:jc w:val="center"/>
              <w:rPr>
                <w:rFonts w:cs="Arial"/>
                <w:color w:val="000000" w:themeColor="text1"/>
                <w:szCs w:val="16"/>
              </w:rPr>
            </w:pPr>
            <w:r w:rsidRPr="00781112">
              <w:rPr>
                <w:rFonts w:cs="Arial"/>
                <w:color w:val="000000" w:themeColor="text1"/>
                <w:szCs w:val="16"/>
              </w:rPr>
              <w:t>67%</w:t>
            </w:r>
            <w:r w:rsidR="00D4496B">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75.33%</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75.67%</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76.00%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76.33%</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76.67%</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6F475956" w14:textId="6AAE3895" w:rsidR="000C24C2" w:rsidRPr="00781112" w:rsidRDefault="000C24C2" w:rsidP="001011BB">
      <w:pPr>
        <w:rPr>
          <w:rFonts w:cs="Arial"/>
          <w:color w:val="000000" w:themeColor="text1"/>
          <w:szCs w:val="16"/>
        </w:rPr>
      </w:pPr>
    </w:p>
    <w:p w14:paraId="1F2738A4" w14:textId="77777777" w:rsidR="007D5A12" w:rsidRDefault="007D5A12">
      <w:pPr>
        <w:spacing w:before="0" w:after="200" w:line="276" w:lineRule="auto"/>
        <w:rPr>
          <w:color w:val="000000" w:themeColor="text1"/>
        </w:rPr>
      </w:pPr>
      <w:r>
        <w:rPr>
          <w:color w:val="000000" w:themeColor="text1"/>
        </w:rPr>
        <w:br w:type="page"/>
      </w:r>
    </w:p>
    <w:p w14:paraId="5BFE0C1F" w14:textId="4235A5D2" w:rsidR="00995737" w:rsidRPr="00781112" w:rsidRDefault="00995737" w:rsidP="00B65C2C">
      <w:pPr>
        <w:rPr>
          <w:b/>
          <w:bCs/>
          <w:color w:val="000000" w:themeColor="text1"/>
        </w:rPr>
      </w:pPr>
      <w:r w:rsidRPr="00781112">
        <w:rPr>
          <w:b/>
          <w:bCs/>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235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145</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385</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75.33%</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61.04%</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Tribal communities were disproportionality impacted and continue to be impacted by COVID-19. COVID-19 appears to impact the data for Indicator 1. During the reporting year, BIE-funded schools experienced </w:t>
      </w:r>
      <w:proofErr w:type="gramStart"/>
      <w:r w:rsidRPr="00781112">
        <w:rPr>
          <w:rFonts w:cs="Arial"/>
          <w:color w:val="000000" w:themeColor="text1"/>
          <w:szCs w:val="16"/>
        </w:rPr>
        <w:t>a number of</w:t>
      </w:r>
      <w:proofErr w:type="gramEnd"/>
      <w:r w:rsidRPr="00781112">
        <w:rPr>
          <w:rFonts w:cs="Arial"/>
          <w:color w:val="000000" w:themeColor="text1"/>
          <w:szCs w:val="16"/>
        </w:rPr>
        <w:t xml:space="preserve"> school closures. Most BIE-funded schools operated in remote, virtual or hybrid status also in response to Tribal Executive Orders. Some BIE-funded schools also had delayed openings for SY </w:t>
      </w:r>
      <w:proofErr w:type="gramStart"/>
      <w:r w:rsidRPr="00781112">
        <w:rPr>
          <w:rFonts w:cs="Arial"/>
          <w:color w:val="000000" w:themeColor="text1"/>
          <w:szCs w:val="16"/>
        </w:rPr>
        <w:t>2020-2021</w:t>
      </w:r>
      <w:proofErr w:type="gramEnd"/>
      <w:r w:rsidRPr="00781112">
        <w:rPr>
          <w:rFonts w:cs="Arial"/>
          <w:color w:val="000000" w:themeColor="text1"/>
          <w:szCs w:val="16"/>
        </w:rPr>
        <w:t xml:space="preserve"> and all schools were required to develop re-opening plans to mitigate negative impacts on students and families.</w:t>
      </w:r>
      <w:r w:rsidRPr="00781112">
        <w:rPr>
          <w:rFonts w:cs="Arial"/>
          <w:color w:val="000000" w:themeColor="text1"/>
          <w:szCs w:val="16"/>
        </w:rPr>
        <w:br/>
      </w:r>
      <w:r w:rsidRPr="00781112">
        <w:rPr>
          <w:rFonts w:cs="Arial"/>
          <w:color w:val="000000" w:themeColor="text1"/>
          <w:szCs w:val="16"/>
        </w:rPr>
        <w:br/>
        <w:t>The twenty-three states where BIE-funded schools are located also had different health department requirements for schools to follow throughout the reporting period. Internet connectivity continued to be an impact throughout Indian Country. During the SY 2020-2021, teachers at BIE-funded schools experienced challenges utilizing technology and school communities had delays with large orders of technology to support students. Some families withdrew students from BIE-funded schools and enrolled their children in local public schools.</w:t>
      </w:r>
      <w:r w:rsidRPr="00781112">
        <w:rPr>
          <w:rFonts w:cs="Arial"/>
          <w:color w:val="000000" w:themeColor="text1"/>
          <w:szCs w:val="16"/>
        </w:rPr>
        <w:br/>
      </w:r>
      <w:r w:rsidRPr="00781112">
        <w:rPr>
          <w:rFonts w:cs="Arial"/>
          <w:color w:val="000000" w:themeColor="text1"/>
          <w:szCs w:val="16"/>
        </w:rPr>
        <w:br/>
        <w:t>It is unclear if the data available is a true representation for students (</w:t>
      </w:r>
      <w:proofErr w:type="gramStart"/>
      <w:r w:rsidRPr="00781112">
        <w:rPr>
          <w:rFonts w:cs="Arial"/>
          <w:color w:val="000000" w:themeColor="text1"/>
          <w:szCs w:val="16"/>
        </w:rPr>
        <w:t>e.g.</w:t>
      </w:r>
      <w:proofErr w:type="gramEnd"/>
      <w:r w:rsidRPr="00781112">
        <w:rPr>
          <w:rFonts w:cs="Arial"/>
          <w:color w:val="000000" w:themeColor="text1"/>
          <w:szCs w:val="16"/>
        </w:rPr>
        <w:t xml:space="preserve"> some students may have been coded as drop out when they are moved known to continue). School staff were also working remotely and did not have regular access to all BIE systems for data collection and reporting.</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BIE-funded schools </w:t>
      </w:r>
      <w:proofErr w:type="gramStart"/>
      <w:r w:rsidRPr="00781112">
        <w:rPr>
          <w:rFonts w:cs="Arial"/>
          <w:color w:val="000000" w:themeColor="text1"/>
          <w:szCs w:val="16"/>
        </w:rPr>
        <w:t>are located in</w:t>
      </w:r>
      <w:proofErr w:type="gramEnd"/>
      <w:r w:rsidRPr="00781112">
        <w:rPr>
          <w:rFonts w:cs="Arial"/>
          <w:color w:val="000000" w:themeColor="text1"/>
          <w:szCs w:val="16"/>
        </w:rPr>
        <w:t xml:space="preserve"> 23 states. All students must meet the graduation requirements for a regular high school diploma for the state in which the school is located.</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12317A47" w14:textId="3EB4ACC4" w:rsidR="00A2794A" w:rsidRPr="00781112" w:rsidRDefault="002B7490" w:rsidP="00CE5723">
      <w:pPr>
        <w:rPr>
          <w:rFonts w:cs="Arial"/>
          <w:color w:val="000000" w:themeColor="text1"/>
          <w:szCs w:val="16"/>
        </w:rPr>
      </w:pPr>
      <w:r w:rsidRPr="00781112">
        <w:rPr>
          <w:rFonts w:cs="Arial"/>
          <w:color w:val="000000" w:themeColor="text1"/>
          <w:szCs w:val="16"/>
        </w:rPr>
        <w:t>None</w:t>
      </w: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OSEP notes that in the FFY 2021 SPP/APR and within a data note submitted as part of the SY 2020-21 Exiting Data Group Section 618 data collection, the BIE provided an explanation of how COVID-19 impacted its ability to collect FFY 2021 data for this indicator.  Specifically, the BIE reported, "School staff were also working remotely and did not have regular access to all BIE systems for data collection and reporting."</w:t>
      </w: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41A28DCF" w14:textId="77777777" w:rsidR="002F48B8" w:rsidRDefault="002F48B8" w:rsidP="00820751">
      <w:pPr>
        <w:rPr>
          <w:rFonts w:cs="Arial"/>
          <w:szCs w:val="16"/>
        </w:rPr>
      </w:pP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7149022" w:rsidR="00907A35" w:rsidRPr="00781112" w:rsidRDefault="00907A35" w:rsidP="004369B2">
      <w:pPr>
        <w:rPr>
          <w:b/>
          <w:color w:val="000000" w:themeColor="text1"/>
        </w:rPr>
      </w:pPr>
      <w:r w:rsidRPr="00781112">
        <w:rPr>
          <w:b/>
          <w:color w:val="000000" w:themeColor="text1"/>
        </w:rPr>
        <w:t>Historical Data</w:t>
      </w:r>
      <w:r w:rsidR="008A68E4">
        <w:rPr>
          <w:rStyle w:val="FootnoteReference"/>
          <w:b/>
          <w:color w:val="000000" w:themeColor="text1"/>
        </w:rPr>
        <w:footnoteReference w:id="4"/>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22.99%</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5.26%</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5.26%</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5.25%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5.25%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22.99%</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8.17%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4.76%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3.27%</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5.47%</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22.99%</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22.50%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22.00%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21.50%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21.00%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20.50%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1646393A" w14:textId="7D703FD9" w:rsidR="002D145D" w:rsidRDefault="0051170F" w:rsidP="002D145D">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15707BAF" w14:textId="77777777" w:rsidR="002F48B8" w:rsidRPr="00781112" w:rsidRDefault="002F48B8" w:rsidP="002D145D">
      <w:pPr>
        <w:rPr>
          <w:rFonts w:cs="Arial"/>
          <w:color w:val="000000" w:themeColor="text1"/>
          <w:szCs w:val="16"/>
        </w:rPr>
      </w:pPr>
    </w:p>
    <w:p w14:paraId="63809BE7" w14:textId="77777777" w:rsidR="002F48B8" w:rsidRDefault="002F48B8">
      <w:pPr>
        <w:spacing w:before="0" w:after="200" w:line="276" w:lineRule="auto"/>
        <w:rPr>
          <w:b/>
          <w:color w:val="000000" w:themeColor="text1"/>
        </w:rPr>
      </w:pPr>
      <w:r>
        <w:rPr>
          <w:b/>
          <w:color w:val="000000" w:themeColor="text1"/>
        </w:rPr>
        <w:br w:type="page"/>
      </w:r>
    </w:p>
    <w:p w14:paraId="68E34693" w14:textId="17459562" w:rsidR="00002962" w:rsidRPr="00781112" w:rsidRDefault="00002962"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235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145</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145</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385</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22.99%</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22.50%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37.66%</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Native communities were disproportionality impacted and continue to be impacted by COVID-19. COVID-19 appears to impact the data for Indicator 2. During the reporting year, BIE-funded schools experienced </w:t>
      </w:r>
      <w:proofErr w:type="gramStart"/>
      <w:r w:rsidRPr="00781112">
        <w:rPr>
          <w:rFonts w:cs="Arial"/>
          <w:color w:val="000000" w:themeColor="text1"/>
          <w:szCs w:val="16"/>
          <w:shd w:val="clear" w:color="auto" w:fill="FFFFFF"/>
        </w:rPr>
        <w:t>a number of</w:t>
      </w:r>
      <w:proofErr w:type="gramEnd"/>
      <w:r w:rsidRPr="00781112">
        <w:rPr>
          <w:rFonts w:cs="Arial"/>
          <w:color w:val="000000" w:themeColor="text1"/>
          <w:szCs w:val="16"/>
          <w:shd w:val="clear" w:color="auto" w:fill="FFFFFF"/>
        </w:rPr>
        <w:t xml:space="preserve"> school closures. Most BIE-funded schools operated in remote, virtual or hybrid status also in response to Tribal Executive Orders. Some BIE-funded schools also had delayed openings for SY 2020-2021 and all schools were required to develop re-opening plans to mitigate negative impacts on students and families.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It is unclear if the data available is a true representation for students (e.g. some students may have been coded as drop out when they are moved known to continue). School staff were also working remotely and did not have regular access to all BIE systems for data collection and reporting. School staff have also had challenges completing data reporting for maintaining accurate information on student enrollment.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BIE data team has already calculated the FFY 2022 dropout data. The data shows that next year BIE will demonstrate progress on this indicator, lowering dropout rates from 37.66% in FFY 2021 to 28.8% in FFY 2022.</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BIE’s definition of dropout includes students who were enrolled at the start of the reporting period but were not enrolled at the end of the reporting period and did not exit through any other means.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OSEP notes that in the FFY 2021 SPP/APR and within a data note submitted as part of the SY 2020-21 Exiting Data Group Section 618 data collection, the BIE provided an explanation of how COVID-19 impacted its ability to collect FFY 2021 data for this indicator.  Specifically, the BIE reported, "School staff were also working remotely and did not have regular access to all BIE systems for data collection and reporting."</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75.27%</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74.52%</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100.00%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70.67%</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74.14%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100.00%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100.00%</w:t>
            </w:r>
          </w:p>
        </w:tc>
      </w:tr>
    </w:tbl>
    <w:p w14:paraId="4FED9CA8" w14:textId="44F264E8" w:rsidR="007765EF" w:rsidRDefault="007765EF" w:rsidP="00480083">
      <w:pPr>
        <w:rPr>
          <w:b/>
          <w:color w:val="000000" w:themeColor="text1"/>
        </w:rPr>
      </w:pPr>
    </w:p>
    <w:p w14:paraId="361B382C" w14:textId="623056BE" w:rsidR="00480083" w:rsidRPr="002F48B8" w:rsidRDefault="00480083" w:rsidP="002F48B8">
      <w:pPr>
        <w:spacing w:before="0" w:after="200" w:line="276" w:lineRule="auto"/>
        <w:rPr>
          <w:b/>
          <w:color w:val="000000" w:themeColor="text1"/>
        </w:rPr>
      </w:pPr>
      <w:r w:rsidRPr="00781112">
        <w:rPr>
          <w:b/>
          <w:color w:val="000000" w:themeColor="text1"/>
        </w:rPr>
        <w:t xml:space="preserve">Targets: Description of Stakeholder Input </w:t>
      </w:r>
      <w:r w:rsidR="002F48B8">
        <w:rPr>
          <w:b/>
          <w:color w:val="000000" w:themeColor="text1"/>
        </w:rPr>
        <w:br/>
      </w: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 xml:space="preserve">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w:t>
      </w:r>
      <w:r w:rsidRPr="00781112">
        <w:rPr>
          <w:rFonts w:cs="Arial"/>
          <w:color w:val="000000" w:themeColor="text1"/>
          <w:szCs w:val="16"/>
        </w:rPr>
        <w:lastRenderedPageBreak/>
        <w:t>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br/>
        <w:t>For the FFY 2020 submission stakeholders provided input and agreed on setting targets for participation rates which were below 95%, for FFY 2020-2024 for grades 4 and 8. OSEP reviewed BIE's FFY 2020 submission and did not accept the targets for FFYs 2020, 2021, 2022, 2023, and 2024 because OSEP was concerned that targets below 95% were inconsistent with the requirement in section 1111(c)(4) of the Elementary and Secondary Education Act of 1965 (ESEA) to annually measure the achievement of not less than 95 percent of all students, and 95 percent of all students in each subgroup of students, who are enrolled in public schools on the BIE’s assessments. BIE revised these targets to meet the 95% requirement and informed the stakeholders about this change.</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525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487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329</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211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183</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153</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285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249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152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23</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24</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525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487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320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197</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160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158</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297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260</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143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23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519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525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75.27%</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98.86%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463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487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74.43%</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95.07%</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329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329</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517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525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70.67%</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98.48%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450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487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74.05%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92.40%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320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320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https://www.bie.edu/topic-page/performance-data-statistics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BIE’s Assessment Participation Data, FS185 and FS188, were submitted on time. However, after submission, an inaccuracy was found which resulted in a re-submission of accurate data.</w:t>
      </w:r>
      <w:r w:rsidRPr="00781112">
        <w:rPr>
          <w:rFonts w:cs="Arial"/>
          <w:color w:val="000000" w:themeColor="text1"/>
          <w:szCs w:val="16"/>
        </w:rPr>
        <w:br/>
        <w:t>The data populated for indicator 3A in this FFY 2021 APR is the inaccurate data. The following is a description of the accurate data, the status of the data (Met Target or did not meet Target) and the slippage status.</w:t>
      </w:r>
      <w:r w:rsidRPr="00781112">
        <w:rPr>
          <w:rFonts w:cs="Arial"/>
          <w:color w:val="000000" w:themeColor="text1"/>
          <w:szCs w:val="16"/>
        </w:rPr>
        <w:br/>
      </w:r>
      <w:r w:rsidRPr="00781112">
        <w:rPr>
          <w:rFonts w:cs="Arial"/>
          <w:color w:val="000000" w:themeColor="text1"/>
          <w:szCs w:val="16"/>
        </w:rPr>
        <w:br/>
        <w:t>Reading /language arts:</w:t>
      </w:r>
      <w:r w:rsidRPr="00781112">
        <w:rPr>
          <w:rFonts w:cs="Arial"/>
          <w:color w:val="000000" w:themeColor="text1"/>
          <w:szCs w:val="16"/>
        </w:rPr>
        <w:br/>
        <w:t xml:space="preserve">4th grade: </w:t>
      </w:r>
      <w:r w:rsidRPr="00781112">
        <w:rPr>
          <w:rFonts w:cs="Arial"/>
          <w:color w:val="000000" w:themeColor="text1"/>
          <w:szCs w:val="16"/>
        </w:rPr>
        <w:br/>
        <w:t>• 525 Children with IEPs</w:t>
      </w:r>
      <w:r w:rsidRPr="00781112">
        <w:rPr>
          <w:rFonts w:cs="Arial"/>
          <w:color w:val="000000" w:themeColor="text1"/>
          <w:szCs w:val="16"/>
        </w:rPr>
        <w:br/>
        <w:t>• 211 Children with IEPs in regular assessment with no accommodations</w:t>
      </w:r>
      <w:r w:rsidRPr="00781112">
        <w:rPr>
          <w:rFonts w:cs="Arial"/>
          <w:color w:val="000000" w:themeColor="text1"/>
          <w:szCs w:val="16"/>
        </w:rPr>
        <w:br/>
        <w:t>• 285 Children with IEPs in regular assessment with accommodations</w:t>
      </w:r>
      <w:r w:rsidRPr="00781112">
        <w:rPr>
          <w:rFonts w:cs="Arial"/>
          <w:color w:val="000000" w:themeColor="text1"/>
          <w:szCs w:val="16"/>
        </w:rPr>
        <w:br/>
        <w:t>• 23 Children with IEPs in alternate assessment against alternate standards</w:t>
      </w:r>
      <w:r w:rsidRPr="00781112">
        <w:rPr>
          <w:rFonts w:cs="Arial"/>
          <w:color w:val="000000" w:themeColor="text1"/>
          <w:szCs w:val="16"/>
        </w:rPr>
        <w:br/>
      </w:r>
      <w:r w:rsidRPr="00781112">
        <w:rPr>
          <w:rFonts w:cs="Arial"/>
          <w:color w:val="000000" w:themeColor="text1"/>
          <w:szCs w:val="16"/>
        </w:rPr>
        <w:br/>
        <w:t>Total 4th grade participants: 519</w:t>
      </w:r>
      <w:r w:rsidRPr="00781112">
        <w:rPr>
          <w:rFonts w:cs="Arial"/>
          <w:color w:val="000000" w:themeColor="text1"/>
          <w:szCs w:val="16"/>
        </w:rPr>
        <w:br/>
        <w:t>4th grade Reading /language arts Indicator 3A FFY2021 Data: 98.86%</w:t>
      </w:r>
      <w:r w:rsidRPr="00781112">
        <w:rPr>
          <w:rFonts w:cs="Arial"/>
          <w:color w:val="000000" w:themeColor="text1"/>
          <w:szCs w:val="16"/>
        </w:rPr>
        <w:br/>
        <w:t>Met Target</w:t>
      </w:r>
      <w:r w:rsidRPr="00781112">
        <w:rPr>
          <w:rFonts w:cs="Arial"/>
          <w:color w:val="000000" w:themeColor="text1"/>
          <w:szCs w:val="16"/>
        </w:rPr>
        <w:br/>
        <w:t xml:space="preserve">No Slippage </w:t>
      </w:r>
      <w:r w:rsidRPr="00781112">
        <w:rPr>
          <w:rFonts w:cs="Arial"/>
          <w:color w:val="000000" w:themeColor="text1"/>
          <w:szCs w:val="16"/>
        </w:rPr>
        <w:br/>
      </w:r>
      <w:r w:rsidRPr="00781112">
        <w:rPr>
          <w:rFonts w:cs="Arial"/>
          <w:color w:val="000000" w:themeColor="text1"/>
          <w:szCs w:val="16"/>
        </w:rPr>
        <w:br/>
        <w:t>Reading /language arts:</w:t>
      </w:r>
      <w:r w:rsidRPr="00781112">
        <w:rPr>
          <w:rFonts w:cs="Arial"/>
          <w:color w:val="000000" w:themeColor="text1"/>
          <w:szCs w:val="16"/>
        </w:rPr>
        <w:br/>
        <w:t xml:space="preserve">8th grade: </w:t>
      </w:r>
      <w:r w:rsidRPr="00781112">
        <w:rPr>
          <w:rFonts w:cs="Arial"/>
          <w:color w:val="000000" w:themeColor="text1"/>
          <w:szCs w:val="16"/>
        </w:rPr>
        <w:br/>
        <w:t>• 487 Children with IEPs</w:t>
      </w:r>
      <w:r w:rsidRPr="00781112">
        <w:rPr>
          <w:rFonts w:cs="Arial"/>
          <w:color w:val="000000" w:themeColor="text1"/>
          <w:szCs w:val="16"/>
        </w:rPr>
        <w:br/>
        <w:t>• 183 Children with IEPs in regular assessment with no accommodations</w:t>
      </w:r>
      <w:r w:rsidRPr="00781112">
        <w:rPr>
          <w:rFonts w:cs="Arial"/>
          <w:color w:val="000000" w:themeColor="text1"/>
          <w:szCs w:val="16"/>
        </w:rPr>
        <w:br/>
        <w:t>• 249 Children with IEPs in regular assessment with accommodations</w:t>
      </w:r>
      <w:r w:rsidRPr="00781112">
        <w:rPr>
          <w:rFonts w:cs="Arial"/>
          <w:color w:val="000000" w:themeColor="text1"/>
          <w:szCs w:val="16"/>
        </w:rPr>
        <w:br/>
        <w:t>• 31 Children with IEPs in alternate assessment against alternate standards</w:t>
      </w:r>
      <w:r w:rsidRPr="00781112">
        <w:rPr>
          <w:rFonts w:cs="Arial"/>
          <w:color w:val="000000" w:themeColor="text1"/>
          <w:szCs w:val="16"/>
        </w:rPr>
        <w:br/>
      </w:r>
      <w:r w:rsidRPr="00781112">
        <w:rPr>
          <w:rFonts w:cs="Arial"/>
          <w:color w:val="000000" w:themeColor="text1"/>
          <w:szCs w:val="16"/>
        </w:rPr>
        <w:br/>
        <w:t>Total 8th grade participants: 463</w:t>
      </w:r>
      <w:r w:rsidRPr="00781112">
        <w:rPr>
          <w:rFonts w:cs="Arial"/>
          <w:color w:val="000000" w:themeColor="text1"/>
          <w:szCs w:val="16"/>
        </w:rPr>
        <w:br/>
        <w:t>8th grade Reading /language arts Indicator 3A FFY2021 Data: 95.07%</w:t>
      </w:r>
      <w:r w:rsidRPr="00781112">
        <w:rPr>
          <w:rFonts w:cs="Arial"/>
          <w:color w:val="000000" w:themeColor="text1"/>
          <w:szCs w:val="16"/>
        </w:rPr>
        <w:br/>
        <w:t>Met Target</w:t>
      </w:r>
      <w:r w:rsidRPr="00781112">
        <w:rPr>
          <w:rFonts w:cs="Arial"/>
          <w:color w:val="000000" w:themeColor="text1"/>
          <w:szCs w:val="16"/>
        </w:rPr>
        <w:br/>
        <w:t>No Slippage</w:t>
      </w:r>
      <w:r w:rsidRPr="00781112">
        <w:rPr>
          <w:rFonts w:cs="Arial"/>
          <w:color w:val="000000" w:themeColor="text1"/>
          <w:szCs w:val="16"/>
        </w:rPr>
        <w:br/>
      </w:r>
      <w:r w:rsidRPr="00781112">
        <w:rPr>
          <w:rFonts w:cs="Arial"/>
          <w:color w:val="000000" w:themeColor="text1"/>
          <w:szCs w:val="16"/>
        </w:rPr>
        <w:br/>
        <w:t>Reading /English language arts:</w:t>
      </w:r>
      <w:r w:rsidRPr="00781112">
        <w:rPr>
          <w:rFonts w:cs="Arial"/>
          <w:color w:val="000000" w:themeColor="text1"/>
          <w:szCs w:val="16"/>
        </w:rPr>
        <w:br/>
        <w:t xml:space="preserve">High School: </w:t>
      </w:r>
      <w:r w:rsidRPr="00781112">
        <w:rPr>
          <w:rFonts w:cs="Arial"/>
          <w:color w:val="000000" w:themeColor="text1"/>
          <w:szCs w:val="16"/>
        </w:rPr>
        <w:br/>
        <w:t>• 329 Children with IEPs</w:t>
      </w:r>
      <w:r w:rsidRPr="00781112">
        <w:rPr>
          <w:rFonts w:cs="Arial"/>
          <w:color w:val="000000" w:themeColor="text1"/>
          <w:szCs w:val="16"/>
        </w:rPr>
        <w:br/>
        <w:t>• 153 Children with IEPs in regular assessment with no accommodations</w:t>
      </w:r>
      <w:r w:rsidRPr="00781112">
        <w:rPr>
          <w:rFonts w:cs="Arial"/>
          <w:color w:val="000000" w:themeColor="text1"/>
          <w:szCs w:val="16"/>
        </w:rPr>
        <w:br/>
        <w:t>• 152 Children with IEPs in regular assessment with accommodations</w:t>
      </w:r>
      <w:r w:rsidRPr="00781112">
        <w:rPr>
          <w:rFonts w:cs="Arial"/>
          <w:color w:val="000000" w:themeColor="text1"/>
          <w:szCs w:val="16"/>
        </w:rPr>
        <w:br/>
        <w:t>• 24 Children with IEPs in alternate assessment against alternate standards</w:t>
      </w:r>
      <w:r w:rsidRPr="00781112">
        <w:rPr>
          <w:rFonts w:cs="Arial"/>
          <w:color w:val="000000" w:themeColor="text1"/>
          <w:szCs w:val="16"/>
        </w:rPr>
        <w:br/>
      </w:r>
      <w:r w:rsidRPr="00781112">
        <w:rPr>
          <w:rFonts w:cs="Arial"/>
          <w:color w:val="000000" w:themeColor="text1"/>
          <w:szCs w:val="16"/>
        </w:rPr>
        <w:br/>
        <w:t>Total High School participants: 329</w:t>
      </w:r>
      <w:r w:rsidRPr="00781112">
        <w:rPr>
          <w:rFonts w:cs="Arial"/>
          <w:color w:val="000000" w:themeColor="text1"/>
          <w:szCs w:val="16"/>
        </w:rPr>
        <w:br/>
        <w:t>High School Reading /English language arts Indicator 3A FFY2021 Data: 100.00%</w:t>
      </w:r>
      <w:r w:rsidRPr="00781112">
        <w:rPr>
          <w:rFonts w:cs="Arial"/>
          <w:color w:val="000000" w:themeColor="text1"/>
          <w:szCs w:val="16"/>
        </w:rPr>
        <w:br/>
        <w:t>Met Target</w:t>
      </w:r>
      <w:r w:rsidRPr="00781112">
        <w:rPr>
          <w:rFonts w:cs="Arial"/>
          <w:color w:val="000000" w:themeColor="text1"/>
          <w:szCs w:val="16"/>
        </w:rPr>
        <w:br/>
        <w:t>No Slippage</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lastRenderedPageBreak/>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If, in the FFY 2021 SPP/APR, the State chooses to revise its baseline for group B for Reading or Math, using FFY 2020 data, the State must ensure that the data reported in the Historical Table and the SPP/APR Data Tables are consistent.</w:t>
      </w:r>
      <w:r w:rsidRPr="00781112">
        <w:rPr>
          <w:rFonts w:cs="Arial"/>
          <w:color w:val="000000" w:themeColor="text1"/>
          <w:szCs w:val="16"/>
        </w:rPr>
        <w:br/>
      </w:r>
      <w:r w:rsidRPr="00781112">
        <w:rPr>
          <w:rFonts w:cs="Arial"/>
          <w:color w:val="000000" w:themeColor="text1"/>
          <w:szCs w:val="16"/>
        </w:rPr>
        <w:br/>
        <w:t>The State did not provide targets  for FFYs 2021, 2022, 2023, and 2024, as required by the measurement table. The State must provide the required targets for FFY 20201 through FFY 2024 in the FFY 2021 SPP/APR.</w:t>
      </w:r>
      <w:r w:rsidRPr="00781112">
        <w:rPr>
          <w:rFonts w:cs="Arial"/>
          <w:color w:val="000000" w:themeColor="text1"/>
          <w:szCs w:val="16"/>
        </w:rPr>
        <w:br/>
      </w:r>
      <w:r w:rsidRPr="00781112">
        <w:rPr>
          <w:rFonts w:cs="Arial"/>
          <w:color w:val="000000" w:themeColor="text1"/>
          <w:szCs w:val="16"/>
        </w:rPr>
        <w:br/>
        <w:t>Within 90 days of the receipt of the BIE's 2022 determination letter, the BIE must provide to OSEP a Web link that demonstrates that it has reported, for FFY 2020, to the public, on the statewide assessments of children with disabilities in accordance with 34 C.F.R. § 300.160(f). In addition, OSEP reminds the BIE that in the FFY 2021 SPP/APR, the BIE must include a Web link that demonstrates compliance with 34 C.F.R. § 300.160(f) for FFY 2021.</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BIE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BIE revised its FFY 2021 through FFY 2025 targets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OSEP notes that according to the third quarter update to the FFY 2022 Corrective Action Plan, the BIE has not met the report card requirements under ESEA section 1111(h) for three years beginning with SY 2019-2020. However, the BIE has made available the results of state-wide assessment data for children with disabilities through SY 2020-2021. As the BIE meets the reporting requirements under ESEA section 1111(h), it must also make available the assessment data for children with disabilities with the same frequency and detail as required in 34 C.F.R. § 300.160(f).</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A84994" w:rsidRPr="00781112" w14:paraId="4037BAD8" w14:textId="77777777" w:rsidTr="00A84994">
        <w:trPr>
          <w:trHeight w:val="368"/>
        </w:trPr>
        <w:tc>
          <w:tcPr>
            <w:tcW w:w="736" w:type="pct"/>
            <w:vAlign w:val="center"/>
          </w:tcPr>
          <w:p w14:paraId="7483D393" w14:textId="77777777" w:rsidR="00A84994" w:rsidRPr="00781112" w:rsidRDefault="00A84994" w:rsidP="00A8499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A84994" w:rsidRPr="00781112" w:rsidRDefault="00A84994" w:rsidP="00A8499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A84994" w:rsidRPr="00781112" w:rsidRDefault="00A84994" w:rsidP="00A8499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A84994" w:rsidRPr="00781112" w:rsidRDefault="00A84994" w:rsidP="00A8499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660E3160" w:rsidR="00A84994" w:rsidRPr="00781112" w:rsidRDefault="00A84994" w:rsidP="00A84994">
            <w:pPr>
              <w:spacing w:before="0" w:after="0"/>
              <w:jc w:val="center"/>
              <w:rPr>
                <w:color w:val="000000" w:themeColor="text1"/>
              </w:rPr>
            </w:pPr>
            <w:r w:rsidRPr="003B6A73">
              <w:rPr>
                <w:color w:val="000000" w:themeColor="text1"/>
              </w:rPr>
              <w:t>x</w:t>
            </w:r>
            <w:r w:rsidRPr="003B6A73">
              <w:rPr>
                <w:rStyle w:val="FootnoteReference"/>
                <w:rFonts w:cs="Arial"/>
                <w:color w:val="000000" w:themeColor="text1"/>
                <w:szCs w:val="16"/>
              </w:rPr>
              <w:footnoteReference w:id="5"/>
            </w:r>
          </w:p>
        </w:tc>
      </w:tr>
      <w:tr w:rsidR="00A84994" w:rsidRPr="00781112" w14:paraId="60278D71" w14:textId="77777777" w:rsidTr="00A84994">
        <w:trPr>
          <w:trHeight w:val="368"/>
        </w:trPr>
        <w:tc>
          <w:tcPr>
            <w:tcW w:w="736" w:type="pct"/>
            <w:vAlign w:val="center"/>
          </w:tcPr>
          <w:p w14:paraId="3507BA0D" w14:textId="77777777" w:rsidR="00A84994" w:rsidRPr="00781112" w:rsidRDefault="00A84994" w:rsidP="00A8499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A84994" w:rsidRPr="00781112" w:rsidRDefault="00A84994" w:rsidP="00A8499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A84994" w:rsidRPr="00781112" w:rsidRDefault="00A84994" w:rsidP="00A8499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A84994" w:rsidRPr="00781112" w:rsidRDefault="00A84994" w:rsidP="00A8499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6F381728" w:rsidR="00A84994" w:rsidRPr="00781112" w:rsidRDefault="00A84994" w:rsidP="00A84994">
            <w:pPr>
              <w:spacing w:before="0" w:after="0"/>
              <w:jc w:val="center"/>
              <w:rPr>
                <w:rFonts w:cs="Arial"/>
                <w:color w:val="000000" w:themeColor="text1"/>
                <w:szCs w:val="16"/>
              </w:rPr>
            </w:pPr>
            <w:r>
              <w:rPr>
                <w:color w:val="000000" w:themeColor="text1"/>
              </w:rPr>
              <w:t>x</w:t>
            </w:r>
            <w:r>
              <w:rPr>
                <w:rStyle w:val="FootnoteReference"/>
                <w:rFonts w:cs="Arial"/>
                <w:szCs w:val="16"/>
              </w:rPr>
              <w:t>4</w:t>
            </w:r>
          </w:p>
        </w:tc>
      </w:tr>
      <w:tr w:rsidR="00A84994" w:rsidRPr="00781112" w14:paraId="2E17CFEC" w14:textId="77777777" w:rsidTr="00A84994">
        <w:trPr>
          <w:trHeight w:val="368"/>
        </w:trPr>
        <w:tc>
          <w:tcPr>
            <w:tcW w:w="736" w:type="pct"/>
            <w:vAlign w:val="center"/>
          </w:tcPr>
          <w:p w14:paraId="686A1871" w14:textId="77777777" w:rsidR="00A84994" w:rsidRPr="00781112" w:rsidRDefault="00A84994" w:rsidP="00A8499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A84994" w:rsidRPr="00781112" w:rsidRDefault="00A84994" w:rsidP="00A8499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A84994" w:rsidRPr="00781112" w:rsidRDefault="00A84994" w:rsidP="00A8499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A84994" w:rsidRPr="00781112" w:rsidRDefault="00A84994" w:rsidP="00A8499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253EB046" w:rsidR="00A84994" w:rsidRPr="00781112" w:rsidRDefault="00A84994" w:rsidP="00A84994">
            <w:pPr>
              <w:spacing w:before="0" w:after="0"/>
              <w:jc w:val="center"/>
              <w:rPr>
                <w:rFonts w:cs="Arial"/>
                <w:color w:val="000000" w:themeColor="text1"/>
                <w:szCs w:val="16"/>
              </w:rPr>
            </w:pPr>
            <w:r>
              <w:rPr>
                <w:color w:val="000000" w:themeColor="text1"/>
              </w:rPr>
              <w:t>x</w:t>
            </w:r>
            <w:r>
              <w:rPr>
                <w:rStyle w:val="FootnoteReference"/>
                <w:rFonts w:cs="Arial"/>
                <w:szCs w:val="16"/>
              </w:rPr>
              <w:t>4</w:t>
            </w:r>
          </w:p>
        </w:tc>
      </w:tr>
      <w:tr w:rsidR="00A84994" w:rsidRPr="00781112" w14:paraId="2DE181AC" w14:textId="77777777" w:rsidTr="00A84994">
        <w:trPr>
          <w:trHeight w:val="368"/>
        </w:trPr>
        <w:tc>
          <w:tcPr>
            <w:tcW w:w="736" w:type="pct"/>
            <w:vAlign w:val="center"/>
          </w:tcPr>
          <w:p w14:paraId="62906600" w14:textId="77777777" w:rsidR="00A84994" w:rsidRPr="00781112" w:rsidRDefault="00A84994" w:rsidP="00A8499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A84994" w:rsidRPr="00781112" w:rsidRDefault="00A84994" w:rsidP="00A8499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A84994" w:rsidRPr="00781112" w:rsidRDefault="00A84994" w:rsidP="00A8499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A84994" w:rsidRPr="00781112" w:rsidRDefault="00A84994" w:rsidP="00A8499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3C767857" w:rsidR="00A84994" w:rsidRPr="00781112" w:rsidRDefault="00A84994" w:rsidP="00A84994">
            <w:pPr>
              <w:spacing w:before="0" w:after="0"/>
              <w:jc w:val="center"/>
              <w:rPr>
                <w:rFonts w:cs="Arial"/>
                <w:color w:val="000000" w:themeColor="text1"/>
                <w:szCs w:val="16"/>
              </w:rPr>
            </w:pPr>
            <w:r>
              <w:rPr>
                <w:color w:val="000000" w:themeColor="text1"/>
              </w:rPr>
              <w:t>x</w:t>
            </w:r>
            <w:r>
              <w:rPr>
                <w:rStyle w:val="FootnoteReference"/>
                <w:rFonts w:cs="Arial"/>
                <w:szCs w:val="16"/>
              </w:rPr>
              <w:t>4</w:t>
            </w:r>
          </w:p>
        </w:tc>
      </w:tr>
      <w:tr w:rsidR="00A84994" w:rsidRPr="00781112" w14:paraId="15831A3C" w14:textId="77777777" w:rsidTr="00A84994">
        <w:trPr>
          <w:trHeight w:val="368"/>
        </w:trPr>
        <w:tc>
          <w:tcPr>
            <w:tcW w:w="736" w:type="pct"/>
            <w:vAlign w:val="center"/>
          </w:tcPr>
          <w:p w14:paraId="3F388113" w14:textId="77777777" w:rsidR="00A84994" w:rsidRPr="00781112" w:rsidRDefault="00A84994" w:rsidP="00A8499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A84994" w:rsidRPr="00781112" w:rsidRDefault="00A84994" w:rsidP="00A8499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A84994" w:rsidRPr="00781112" w:rsidRDefault="00A84994" w:rsidP="00A8499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A84994" w:rsidRPr="00781112" w:rsidRDefault="00A84994" w:rsidP="00A8499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3F52BE70" w:rsidR="00A84994" w:rsidRPr="00781112" w:rsidRDefault="00A84994" w:rsidP="00A84994">
            <w:pPr>
              <w:spacing w:before="0" w:after="0"/>
              <w:jc w:val="center"/>
              <w:rPr>
                <w:rFonts w:cs="Arial"/>
                <w:color w:val="000000" w:themeColor="text1"/>
                <w:szCs w:val="16"/>
              </w:rPr>
            </w:pPr>
            <w:r>
              <w:rPr>
                <w:color w:val="000000" w:themeColor="text1"/>
              </w:rPr>
              <w:t>x</w:t>
            </w:r>
            <w:r>
              <w:rPr>
                <w:rStyle w:val="FootnoteReference"/>
                <w:rFonts w:cs="Arial"/>
                <w:szCs w:val="16"/>
              </w:rPr>
              <w:t>4</w:t>
            </w:r>
          </w:p>
        </w:tc>
      </w:tr>
      <w:tr w:rsidR="00625B95" w:rsidRPr="00781112" w14:paraId="5866D3B1" w14:textId="77777777" w:rsidTr="00A84994">
        <w:trPr>
          <w:trHeight w:val="368"/>
        </w:trPr>
        <w:tc>
          <w:tcPr>
            <w:tcW w:w="736" w:type="pct"/>
            <w:vAlign w:val="center"/>
          </w:tcPr>
          <w:p w14:paraId="619219C1" w14:textId="77777777" w:rsidR="00625B95" w:rsidRPr="00781112" w:rsidRDefault="00625B95" w:rsidP="00625B95">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625B95" w:rsidRPr="00781112" w:rsidRDefault="00625B95" w:rsidP="00625B95">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625B95" w:rsidRPr="00781112" w:rsidRDefault="00625B95" w:rsidP="00625B95">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625B95" w:rsidRPr="00781112" w:rsidRDefault="00625B95" w:rsidP="00625B95">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6853F590" w:rsidR="00625B95" w:rsidRPr="00781112" w:rsidRDefault="00A84994" w:rsidP="00625B95">
            <w:pPr>
              <w:spacing w:before="0" w:after="0"/>
              <w:jc w:val="center"/>
              <w:rPr>
                <w:rFonts w:cs="Arial"/>
                <w:color w:val="000000" w:themeColor="text1"/>
                <w:szCs w:val="16"/>
              </w:rPr>
            </w:pPr>
            <w:r>
              <w:rPr>
                <w:color w:val="000000" w:themeColor="text1"/>
              </w:rPr>
              <w:t>x</w:t>
            </w:r>
            <w:r>
              <w:rPr>
                <w:rStyle w:val="FootnoteReference"/>
                <w:rFonts w:cs="Arial"/>
                <w:szCs w:val="16"/>
              </w:rPr>
              <w:t>4</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2.74%</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3.31%</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4.41%</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6.45%</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10.39%</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3.59%</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4.27%</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5.53%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7.80%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12.01%</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7.45%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9.09%</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10.73%</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12.36%</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14.00%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1.95%</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2.84%</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3.73%</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4.61%</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5.50%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1.98%</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2.86%</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3.74%</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4.62%</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5.50%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1.96%</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2.85%</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3.73%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4.62%</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5.50%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 xml:space="preserve">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w:t>
      </w:r>
      <w:r w:rsidRPr="00781112">
        <w:rPr>
          <w:rFonts w:cs="Arial"/>
          <w:color w:val="000000" w:themeColor="text1"/>
          <w:szCs w:val="16"/>
        </w:rPr>
        <w:lastRenderedPageBreak/>
        <w:t>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496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432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305</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8</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51C65788" w:rsidR="003B0C91" w:rsidRPr="00781112" w:rsidRDefault="00907B06" w:rsidP="00360DD6">
            <w:pPr>
              <w:jc w:val="center"/>
              <w:rPr>
                <w:rFonts w:cs="Arial"/>
                <w:color w:val="000000" w:themeColor="text1"/>
                <w:szCs w:val="16"/>
              </w:rPr>
            </w:pPr>
            <w:r>
              <w:rPr>
                <w:rFonts w:cs="Arial"/>
                <w:color w:val="000000" w:themeColor="text1"/>
                <w:szCs w:val="16"/>
              </w:rPr>
              <w:t>x</w:t>
            </w:r>
            <w:bookmarkStart w:id="16" w:name="_Ref141370105"/>
            <w:r w:rsidR="00FB1E78">
              <w:rPr>
                <w:rStyle w:val="FootnoteReference"/>
                <w:rFonts w:cs="Arial"/>
                <w:color w:val="000000" w:themeColor="text1"/>
                <w:szCs w:val="16"/>
              </w:rPr>
              <w:footnoteReference w:id="6"/>
            </w:r>
            <w:bookmarkEnd w:id="16"/>
          </w:p>
        </w:tc>
        <w:tc>
          <w:tcPr>
            <w:tcW w:w="1292" w:type="pct"/>
            <w:shd w:val="clear" w:color="auto" w:fill="auto"/>
            <w:vAlign w:val="center"/>
          </w:tcPr>
          <w:p w14:paraId="47F69679" w14:textId="782CB5D6" w:rsidR="003B0C91" w:rsidRPr="00781112" w:rsidRDefault="00A22B35"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_Ref141370105 \f \h </w:instrText>
            </w:r>
            <w:r>
              <w:rPr>
                <w:rFonts w:cs="Arial"/>
                <w:color w:val="000000" w:themeColor="text1"/>
                <w:szCs w:val="16"/>
              </w:rPr>
            </w:r>
            <w:r>
              <w:rPr>
                <w:rFonts w:cs="Arial"/>
                <w:color w:val="000000" w:themeColor="text1"/>
                <w:szCs w:val="16"/>
              </w:rPr>
              <w:fldChar w:fldCharType="separate"/>
            </w:r>
            <w:r w:rsidRPr="00A22B35">
              <w:rPr>
                <w:rStyle w:val="FootnoteReference"/>
              </w:rPr>
              <w:t>4</w:t>
            </w:r>
            <w:r>
              <w:rPr>
                <w:rFonts w:cs="Arial"/>
                <w:color w:val="000000" w:themeColor="text1"/>
                <w:szCs w:val="16"/>
              </w:rPr>
              <w:fldChar w:fldCharType="end"/>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494</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420</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301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10</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2F8ECC6A" w14:textId="5A23E28A" w:rsidR="00EB6900" w:rsidRPr="00781112" w:rsidRDefault="00A22B35"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_Ref141370105 \f \h </w:instrText>
            </w:r>
            <w:r>
              <w:rPr>
                <w:rFonts w:cs="Arial"/>
                <w:color w:val="000000" w:themeColor="text1"/>
                <w:szCs w:val="16"/>
              </w:rPr>
            </w:r>
            <w:r>
              <w:rPr>
                <w:rFonts w:cs="Arial"/>
                <w:color w:val="000000" w:themeColor="text1"/>
                <w:szCs w:val="16"/>
              </w:rPr>
              <w:fldChar w:fldCharType="separate"/>
            </w:r>
            <w:r w:rsidRPr="00A22B35">
              <w:rPr>
                <w:rStyle w:val="FootnoteReference"/>
              </w:rPr>
              <w:t>4</w:t>
            </w:r>
            <w:r>
              <w:rPr>
                <w:rFonts w:cs="Arial"/>
                <w:color w:val="000000" w:themeColor="text1"/>
                <w:szCs w:val="16"/>
              </w:rPr>
              <w:fldChar w:fldCharType="end"/>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302614C3" w:rsidR="00EB6900" w:rsidRPr="00781112" w:rsidRDefault="00A22B35"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_Ref141370105 \f \h </w:instrText>
            </w:r>
            <w:r>
              <w:rPr>
                <w:rFonts w:cs="Arial"/>
                <w:color w:val="000000" w:themeColor="text1"/>
                <w:szCs w:val="16"/>
              </w:rPr>
            </w:r>
            <w:r>
              <w:rPr>
                <w:rFonts w:cs="Arial"/>
                <w:color w:val="000000" w:themeColor="text1"/>
                <w:szCs w:val="16"/>
              </w:rPr>
              <w:fldChar w:fldCharType="separate"/>
            </w:r>
            <w:r w:rsidRPr="00A22B35">
              <w:rPr>
                <w:rStyle w:val="FootnoteReference"/>
              </w:rPr>
              <w:t>4</w:t>
            </w:r>
            <w:r>
              <w:rPr>
                <w:rFonts w:cs="Arial"/>
                <w:color w:val="000000" w:themeColor="text1"/>
                <w:szCs w:val="16"/>
              </w:rPr>
              <w:fldChar w:fldCharType="end"/>
            </w:r>
          </w:p>
        </w:tc>
        <w:tc>
          <w:tcPr>
            <w:tcW w:w="1292" w:type="pct"/>
            <w:shd w:val="clear" w:color="auto" w:fill="auto"/>
            <w:vAlign w:val="center"/>
          </w:tcPr>
          <w:p w14:paraId="3148F449" w14:textId="30F4E3AF" w:rsidR="00EB6900" w:rsidRPr="00781112" w:rsidRDefault="00EB6900" w:rsidP="00360DD6">
            <w:pPr>
              <w:jc w:val="center"/>
              <w:rPr>
                <w:rFonts w:cs="Arial"/>
                <w:color w:val="000000" w:themeColor="text1"/>
                <w:szCs w:val="16"/>
              </w:rPr>
            </w:pPr>
          </w:p>
        </w:tc>
        <w:tc>
          <w:tcPr>
            <w:tcW w:w="1292" w:type="pct"/>
            <w:shd w:val="clear" w:color="auto" w:fill="auto"/>
            <w:vAlign w:val="center"/>
          </w:tcPr>
          <w:p w14:paraId="56D05BB3" w14:textId="0F7FFA7B" w:rsidR="00EB6900" w:rsidRPr="00781112" w:rsidRDefault="00A22B35"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_Ref141370105 \f \h </w:instrText>
            </w:r>
            <w:r>
              <w:rPr>
                <w:rFonts w:cs="Arial"/>
                <w:color w:val="000000" w:themeColor="text1"/>
                <w:szCs w:val="16"/>
              </w:rPr>
            </w:r>
            <w:r>
              <w:rPr>
                <w:rFonts w:cs="Arial"/>
                <w:color w:val="000000" w:themeColor="text1"/>
                <w:szCs w:val="16"/>
              </w:rPr>
              <w:fldChar w:fldCharType="separate"/>
            </w:r>
            <w:r w:rsidRPr="00A22B35">
              <w:rPr>
                <w:rStyle w:val="FootnoteReference"/>
              </w:rPr>
              <w:t>4</w:t>
            </w:r>
            <w:r>
              <w:rPr>
                <w:rFonts w:cs="Arial"/>
                <w:color w:val="000000" w:themeColor="text1"/>
                <w:szCs w:val="16"/>
              </w:rPr>
              <w:fldChar w:fldCharType="end"/>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lastRenderedPageBreak/>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CB6F92" w:rsidRPr="00781112" w14:paraId="7760B96D" w14:textId="1E1E2305" w:rsidTr="005C1D75">
        <w:tc>
          <w:tcPr>
            <w:tcW w:w="198" w:type="pct"/>
            <w:shd w:val="clear" w:color="auto" w:fill="auto"/>
            <w:vAlign w:val="center"/>
          </w:tcPr>
          <w:p w14:paraId="6F54F4BD" w14:textId="3AB2A2E6" w:rsidR="00CB6F92" w:rsidRPr="00781112" w:rsidRDefault="00CB6F92" w:rsidP="00CB6F92">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CB6F92" w:rsidRPr="00781112" w:rsidDel="00DE5045" w:rsidRDefault="00CB6F92" w:rsidP="00CB6F92">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061D4669" w:rsidR="00CB6F92" w:rsidRPr="00781112" w:rsidRDefault="00CB6F92" w:rsidP="00CB6F92">
            <w:pPr>
              <w:jc w:val="center"/>
              <w:rPr>
                <w:rFonts w:cs="Arial"/>
                <w:color w:val="000000" w:themeColor="text1"/>
                <w:szCs w:val="16"/>
              </w:rPr>
            </w:pPr>
            <w:r>
              <w:rPr>
                <w:rFonts w:cs="Arial"/>
                <w:color w:val="000000" w:themeColor="text1"/>
                <w:szCs w:val="16"/>
              </w:rPr>
              <w:t>x</w:t>
            </w:r>
            <w:r w:rsidRPr="008143E4">
              <w:rPr>
                <w:rFonts w:cs="Arial"/>
                <w:color w:val="000000" w:themeColor="text1"/>
                <w:szCs w:val="16"/>
                <w:vertAlign w:val="superscript"/>
              </w:rPr>
              <w:t>6</w:t>
            </w:r>
          </w:p>
        </w:tc>
        <w:tc>
          <w:tcPr>
            <w:tcW w:w="939" w:type="pct"/>
            <w:shd w:val="clear" w:color="auto" w:fill="auto"/>
            <w:vAlign w:val="center"/>
          </w:tcPr>
          <w:p w14:paraId="7E6A021B" w14:textId="57963DE4" w:rsidR="00CB6F92" w:rsidRPr="00781112" w:rsidRDefault="00CB6F92" w:rsidP="00CB6F92">
            <w:pPr>
              <w:jc w:val="center"/>
              <w:rPr>
                <w:rFonts w:cs="Arial"/>
                <w:color w:val="000000" w:themeColor="text1"/>
                <w:szCs w:val="16"/>
              </w:rPr>
            </w:pPr>
            <w:r w:rsidRPr="00781112">
              <w:rPr>
                <w:rFonts w:cs="Arial"/>
                <w:color w:val="000000" w:themeColor="text1"/>
                <w:szCs w:val="16"/>
              </w:rPr>
              <w:t>496</w:t>
            </w:r>
          </w:p>
        </w:tc>
        <w:tc>
          <w:tcPr>
            <w:tcW w:w="503" w:type="pct"/>
            <w:shd w:val="clear" w:color="auto" w:fill="auto"/>
          </w:tcPr>
          <w:p w14:paraId="69FD37B5" w14:textId="1EACC37F" w:rsidR="00CB6F92" w:rsidRPr="00781112" w:rsidRDefault="00CB6F92" w:rsidP="00CB6F92">
            <w:pPr>
              <w:jc w:val="center"/>
              <w:rPr>
                <w:rFonts w:cs="Arial"/>
                <w:color w:val="000000" w:themeColor="text1"/>
                <w:szCs w:val="16"/>
              </w:rPr>
            </w:pPr>
            <w:r w:rsidRPr="003B4D74">
              <w:rPr>
                <w:rFonts w:cs="Arial"/>
                <w:color w:val="000000" w:themeColor="text1"/>
                <w:szCs w:val="16"/>
              </w:rPr>
              <w:t>x</w:t>
            </w:r>
            <w:r w:rsidRPr="003B4D74">
              <w:rPr>
                <w:rFonts w:cs="Arial"/>
                <w:color w:val="000000" w:themeColor="text1"/>
                <w:szCs w:val="16"/>
                <w:vertAlign w:val="superscript"/>
              </w:rPr>
              <w:t>6</w:t>
            </w:r>
          </w:p>
        </w:tc>
        <w:tc>
          <w:tcPr>
            <w:tcW w:w="503" w:type="pct"/>
            <w:shd w:val="clear" w:color="auto" w:fill="auto"/>
            <w:vAlign w:val="center"/>
          </w:tcPr>
          <w:p w14:paraId="482B7D09" w14:textId="62AFAA78" w:rsidR="00CB6F92" w:rsidRPr="00781112" w:rsidRDefault="00CB6F92" w:rsidP="00CB6F92">
            <w:pPr>
              <w:jc w:val="center"/>
              <w:rPr>
                <w:rFonts w:cs="Arial"/>
                <w:color w:val="000000" w:themeColor="text1"/>
                <w:szCs w:val="16"/>
              </w:rPr>
            </w:pPr>
            <w:r w:rsidRPr="00781112">
              <w:rPr>
                <w:rFonts w:cs="Arial"/>
                <w:color w:val="000000" w:themeColor="text1"/>
                <w:szCs w:val="16"/>
              </w:rPr>
              <w:t>2.74%</w:t>
            </w:r>
          </w:p>
        </w:tc>
        <w:tc>
          <w:tcPr>
            <w:tcW w:w="503" w:type="pct"/>
            <w:shd w:val="clear" w:color="auto" w:fill="auto"/>
            <w:vAlign w:val="center"/>
          </w:tcPr>
          <w:p w14:paraId="120D94C1" w14:textId="1671D9F7" w:rsidR="00CB6F92" w:rsidRPr="00781112" w:rsidRDefault="00CB6F92" w:rsidP="00CB6F92">
            <w:pPr>
              <w:jc w:val="center"/>
              <w:rPr>
                <w:rFonts w:cs="Arial"/>
                <w:color w:val="000000" w:themeColor="text1"/>
                <w:szCs w:val="16"/>
              </w:rPr>
            </w:pPr>
            <w:r>
              <w:rPr>
                <w:rFonts w:cs="Arial"/>
                <w:color w:val="000000" w:themeColor="text1"/>
                <w:szCs w:val="16"/>
              </w:rPr>
              <w:t>x</w:t>
            </w:r>
            <w:r w:rsidRPr="008143E4">
              <w:rPr>
                <w:rFonts w:cs="Arial"/>
                <w:color w:val="000000" w:themeColor="text1"/>
                <w:szCs w:val="16"/>
                <w:vertAlign w:val="superscript"/>
              </w:rPr>
              <w:t>6</w:t>
            </w:r>
          </w:p>
        </w:tc>
        <w:tc>
          <w:tcPr>
            <w:tcW w:w="503" w:type="pct"/>
            <w:shd w:val="clear" w:color="auto" w:fill="auto"/>
            <w:vAlign w:val="center"/>
          </w:tcPr>
          <w:p w14:paraId="4C985877" w14:textId="6C415586" w:rsidR="00CB6F92" w:rsidRPr="00781112" w:rsidRDefault="00CB6F92" w:rsidP="00CB6F92">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CB6F92" w:rsidRPr="00781112" w:rsidRDefault="00CB6F92" w:rsidP="00CB6F92">
            <w:pPr>
              <w:jc w:val="center"/>
              <w:rPr>
                <w:rFonts w:cs="Arial"/>
                <w:color w:val="000000" w:themeColor="text1"/>
                <w:szCs w:val="16"/>
              </w:rPr>
            </w:pPr>
            <w:r w:rsidRPr="00781112">
              <w:rPr>
                <w:rFonts w:cs="Arial"/>
                <w:color w:val="000000" w:themeColor="text1"/>
                <w:szCs w:val="16"/>
              </w:rPr>
              <w:t>No Slippage</w:t>
            </w:r>
          </w:p>
        </w:tc>
      </w:tr>
      <w:tr w:rsidR="00CB6F92" w:rsidRPr="00781112" w14:paraId="7A5387EE" w14:textId="77777777" w:rsidTr="005C1D75">
        <w:tc>
          <w:tcPr>
            <w:tcW w:w="198" w:type="pct"/>
            <w:shd w:val="clear" w:color="auto" w:fill="auto"/>
            <w:vAlign w:val="center"/>
          </w:tcPr>
          <w:p w14:paraId="729AFDF4" w14:textId="72203283" w:rsidR="00CB6F92" w:rsidRPr="00781112" w:rsidRDefault="00CB6F92" w:rsidP="00CB6F92">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CB6F92" w:rsidRPr="00781112" w:rsidDel="00DE5045" w:rsidRDefault="00CB6F92" w:rsidP="00CB6F92">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06C17325" w:rsidR="00CB6F92" w:rsidRPr="00781112" w:rsidRDefault="00CB6F92" w:rsidP="00CB6F92">
            <w:pPr>
              <w:jc w:val="center"/>
              <w:rPr>
                <w:rFonts w:cs="Arial"/>
                <w:color w:val="000000" w:themeColor="text1"/>
                <w:szCs w:val="16"/>
              </w:rPr>
            </w:pPr>
            <w:r>
              <w:rPr>
                <w:rFonts w:cs="Arial"/>
                <w:color w:val="000000" w:themeColor="text1"/>
                <w:szCs w:val="16"/>
              </w:rPr>
              <w:t>x</w:t>
            </w:r>
            <w:bookmarkStart w:id="17" w:name="_Ref141248210"/>
            <w:r>
              <w:rPr>
                <w:rStyle w:val="FootnoteReference"/>
                <w:rFonts w:cs="Arial"/>
                <w:color w:val="000000" w:themeColor="text1"/>
                <w:szCs w:val="16"/>
              </w:rPr>
              <w:footnoteReference w:id="7"/>
            </w:r>
            <w:bookmarkEnd w:id="17"/>
          </w:p>
        </w:tc>
        <w:tc>
          <w:tcPr>
            <w:tcW w:w="939" w:type="pct"/>
            <w:shd w:val="clear" w:color="auto" w:fill="auto"/>
            <w:vAlign w:val="center"/>
          </w:tcPr>
          <w:p w14:paraId="7FFA4863" w14:textId="2B0AF130" w:rsidR="00CB6F92" w:rsidRPr="00781112" w:rsidRDefault="00CB6F92" w:rsidP="00CB6F92">
            <w:pPr>
              <w:jc w:val="center"/>
              <w:rPr>
                <w:rFonts w:cs="Arial"/>
                <w:color w:val="000000" w:themeColor="text1"/>
                <w:szCs w:val="16"/>
              </w:rPr>
            </w:pPr>
            <w:r w:rsidRPr="00781112">
              <w:rPr>
                <w:rFonts w:cs="Arial"/>
                <w:color w:val="000000" w:themeColor="text1"/>
                <w:szCs w:val="16"/>
              </w:rPr>
              <w:t>432</w:t>
            </w:r>
          </w:p>
        </w:tc>
        <w:tc>
          <w:tcPr>
            <w:tcW w:w="503" w:type="pct"/>
            <w:shd w:val="clear" w:color="auto" w:fill="auto"/>
          </w:tcPr>
          <w:p w14:paraId="3FB80D14" w14:textId="4C7926A5" w:rsidR="00CB6F92" w:rsidRPr="00781112" w:rsidRDefault="00CB6F92" w:rsidP="00CB6F92">
            <w:pPr>
              <w:jc w:val="center"/>
              <w:rPr>
                <w:rFonts w:cs="Arial"/>
                <w:color w:val="000000" w:themeColor="text1"/>
                <w:szCs w:val="16"/>
              </w:rPr>
            </w:pPr>
            <w:r w:rsidRPr="003B4D74">
              <w:rPr>
                <w:rFonts w:cs="Arial"/>
                <w:color w:val="000000" w:themeColor="text1"/>
                <w:szCs w:val="16"/>
              </w:rPr>
              <w:t>x</w:t>
            </w:r>
            <w:r w:rsidRPr="003B4D74">
              <w:rPr>
                <w:rFonts w:cs="Arial"/>
                <w:color w:val="000000" w:themeColor="text1"/>
                <w:szCs w:val="16"/>
                <w:vertAlign w:val="superscript"/>
              </w:rPr>
              <w:t>6</w:t>
            </w:r>
          </w:p>
        </w:tc>
        <w:tc>
          <w:tcPr>
            <w:tcW w:w="503" w:type="pct"/>
            <w:shd w:val="clear" w:color="auto" w:fill="auto"/>
            <w:vAlign w:val="center"/>
          </w:tcPr>
          <w:p w14:paraId="12DA8FB6" w14:textId="2A9832BB" w:rsidR="00CB6F92" w:rsidRPr="00781112" w:rsidRDefault="00CB6F92" w:rsidP="00CB6F92">
            <w:pPr>
              <w:jc w:val="center"/>
              <w:rPr>
                <w:rFonts w:cs="Arial"/>
                <w:color w:val="000000" w:themeColor="text1"/>
                <w:szCs w:val="16"/>
              </w:rPr>
            </w:pPr>
            <w:r w:rsidRPr="00781112">
              <w:rPr>
                <w:rFonts w:cs="Arial"/>
                <w:color w:val="000000" w:themeColor="text1"/>
                <w:szCs w:val="16"/>
              </w:rPr>
              <w:t>3.59%</w:t>
            </w:r>
          </w:p>
        </w:tc>
        <w:tc>
          <w:tcPr>
            <w:tcW w:w="503" w:type="pct"/>
            <w:shd w:val="clear" w:color="auto" w:fill="auto"/>
            <w:vAlign w:val="center"/>
          </w:tcPr>
          <w:p w14:paraId="65C7EB9E" w14:textId="74F45E0F" w:rsidR="00CB6F92" w:rsidRPr="00781112" w:rsidRDefault="00CB6F92" w:rsidP="00CB6F92">
            <w:pPr>
              <w:jc w:val="center"/>
              <w:rPr>
                <w:rFonts w:cs="Arial"/>
                <w:color w:val="000000" w:themeColor="text1"/>
                <w:szCs w:val="16"/>
              </w:rPr>
            </w:pPr>
            <w:r>
              <w:rPr>
                <w:rFonts w:cs="Arial"/>
                <w:color w:val="000000" w:themeColor="text1"/>
                <w:szCs w:val="16"/>
              </w:rPr>
              <w:t>x</w:t>
            </w:r>
            <w:r w:rsidRPr="008143E4">
              <w:rPr>
                <w:rFonts w:cs="Arial"/>
                <w:color w:val="000000" w:themeColor="text1"/>
                <w:szCs w:val="16"/>
                <w:vertAlign w:val="superscript"/>
              </w:rPr>
              <w:t>6</w:t>
            </w:r>
          </w:p>
        </w:tc>
        <w:tc>
          <w:tcPr>
            <w:tcW w:w="503" w:type="pct"/>
            <w:shd w:val="clear" w:color="auto" w:fill="auto"/>
            <w:vAlign w:val="center"/>
          </w:tcPr>
          <w:p w14:paraId="41A6F692" w14:textId="65CC6347" w:rsidR="00CB6F92" w:rsidRPr="00781112" w:rsidRDefault="00CB6F92" w:rsidP="00CB6F92">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CB6F92" w:rsidRPr="00781112" w:rsidRDefault="00CB6F92" w:rsidP="00CB6F92">
            <w:pPr>
              <w:jc w:val="center"/>
              <w:rPr>
                <w:rFonts w:cs="Arial"/>
                <w:color w:val="000000" w:themeColor="text1"/>
                <w:szCs w:val="16"/>
              </w:rPr>
            </w:pPr>
            <w:r w:rsidRPr="00781112">
              <w:rPr>
                <w:rFonts w:cs="Arial"/>
                <w:color w:val="000000" w:themeColor="text1"/>
                <w:szCs w:val="16"/>
              </w:rPr>
              <w:t>Slippage</w:t>
            </w:r>
          </w:p>
        </w:tc>
      </w:tr>
      <w:tr w:rsidR="00CB6F92" w:rsidRPr="00781112" w14:paraId="26B346DD" w14:textId="77777777" w:rsidTr="005C1D75">
        <w:tc>
          <w:tcPr>
            <w:tcW w:w="198" w:type="pct"/>
            <w:shd w:val="clear" w:color="auto" w:fill="auto"/>
            <w:vAlign w:val="center"/>
          </w:tcPr>
          <w:p w14:paraId="2B13C665" w14:textId="583EB28A" w:rsidR="00CB6F92" w:rsidRPr="00781112" w:rsidRDefault="00CB6F92" w:rsidP="00CB6F92">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CB6F92" w:rsidRPr="00781112" w:rsidDel="00DE5045" w:rsidRDefault="00CB6F92" w:rsidP="00CB6F92">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CB6F92" w:rsidRPr="00781112" w:rsidRDefault="00CB6F92" w:rsidP="00CB6F92">
            <w:pPr>
              <w:jc w:val="center"/>
              <w:rPr>
                <w:rFonts w:cs="Arial"/>
                <w:color w:val="000000" w:themeColor="text1"/>
                <w:szCs w:val="16"/>
              </w:rPr>
            </w:pPr>
            <w:r w:rsidRPr="00781112">
              <w:rPr>
                <w:rFonts w:cs="Arial"/>
                <w:color w:val="000000"/>
                <w:szCs w:val="16"/>
              </w:rPr>
              <w:t>8</w:t>
            </w:r>
          </w:p>
        </w:tc>
        <w:tc>
          <w:tcPr>
            <w:tcW w:w="939" w:type="pct"/>
            <w:shd w:val="clear" w:color="auto" w:fill="auto"/>
            <w:vAlign w:val="center"/>
          </w:tcPr>
          <w:p w14:paraId="3E4BF8E7" w14:textId="17E7C017" w:rsidR="00CB6F92" w:rsidRPr="00781112" w:rsidRDefault="00CB6F92" w:rsidP="00CB6F92">
            <w:pPr>
              <w:jc w:val="center"/>
              <w:rPr>
                <w:rFonts w:cs="Arial"/>
                <w:color w:val="000000" w:themeColor="text1"/>
                <w:szCs w:val="16"/>
              </w:rPr>
            </w:pPr>
            <w:r w:rsidRPr="00781112">
              <w:rPr>
                <w:rFonts w:cs="Arial"/>
                <w:color w:val="000000" w:themeColor="text1"/>
                <w:szCs w:val="16"/>
              </w:rPr>
              <w:t>305</w:t>
            </w:r>
          </w:p>
        </w:tc>
        <w:tc>
          <w:tcPr>
            <w:tcW w:w="503" w:type="pct"/>
            <w:shd w:val="clear" w:color="auto" w:fill="auto"/>
          </w:tcPr>
          <w:p w14:paraId="039885F2" w14:textId="5FF5BCAA" w:rsidR="00CB6F92" w:rsidRPr="00781112" w:rsidRDefault="00CB6F92" w:rsidP="00CB6F92">
            <w:pPr>
              <w:jc w:val="center"/>
              <w:rPr>
                <w:rFonts w:cs="Arial"/>
                <w:color w:val="000000" w:themeColor="text1"/>
                <w:szCs w:val="16"/>
              </w:rPr>
            </w:pPr>
            <w:r w:rsidRPr="003B4D74">
              <w:rPr>
                <w:rFonts w:cs="Arial"/>
                <w:color w:val="000000" w:themeColor="text1"/>
                <w:szCs w:val="16"/>
              </w:rPr>
              <w:t>x</w:t>
            </w:r>
            <w:r w:rsidRPr="003B4D74">
              <w:rPr>
                <w:rFonts w:cs="Arial"/>
                <w:color w:val="000000" w:themeColor="text1"/>
                <w:szCs w:val="16"/>
                <w:vertAlign w:val="superscript"/>
              </w:rPr>
              <w:t>6</w:t>
            </w:r>
          </w:p>
        </w:tc>
        <w:tc>
          <w:tcPr>
            <w:tcW w:w="503" w:type="pct"/>
            <w:shd w:val="clear" w:color="auto" w:fill="auto"/>
            <w:vAlign w:val="center"/>
          </w:tcPr>
          <w:p w14:paraId="0D574818" w14:textId="0B8E29B8" w:rsidR="00CB6F92" w:rsidRPr="00781112" w:rsidRDefault="00CB6F92" w:rsidP="00CB6F92">
            <w:pPr>
              <w:jc w:val="center"/>
              <w:rPr>
                <w:rFonts w:cs="Arial"/>
                <w:color w:val="000000" w:themeColor="text1"/>
                <w:szCs w:val="16"/>
              </w:rPr>
            </w:pPr>
            <w:r w:rsidRPr="00781112">
              <w:rPr>
                <w:rFonts w:cs="Arial"/>
                <w:color w:val="000000" w:themeColor="text1"/>
                <w:szCs w:val="16"/>
              </w:rPr>
              <w:t>7.45%</w:t>
            </w:r>
          </w:p>
        </w:tc>
        <w:tc>
          <w:tcPr>
            <w:tcW w:w="503" w:type="pct"/>
            <w:shd w:val="clear" w:color="auto" w:fill="auto"/>
            <w:vAlign w:val="center"/>
          </w:tcPr>
          <w:p w14:paraId="68757684" w14:textId="14D897E8" w:rsidR="00CB6F92" w:rsidRPr="00781112" w:rsidRDefault="00CB6F92" w:rsidP="00CB6F92">
            <w:pPr>
              <w:jc w:val="center"/>
              <w:rPr>
                <w:rFonts w:cs="Arial"/>
                <w:color w:val="000000" w:themeColor="text1"/>
                <w:szCs w:val="16"/>
              </w:rPr>
            </w:pPr>
            <w:r w:rsidRPr="00781112">
              <w:rPr>
                <w:rFonts w:cs="Arial"/>
                <w:color w:val="000000" w:themeColor="text1"/>
                <w:szCs w:val="16"/>
              </w:rPr>
              <w:t>2.62%</w:t>
            </w:r>
          </w:p>
        </w:tc>
        <w:tc>
          <w:tcPr>
            <w:tcW w:w="503" w:type="pct"/>
            <w:shd w:val="clear" w:color="auto" w:fill="auto"/>
            <w:vAlign w:val="center"/>
          </w:tcPr>
          <w:p w14:paraId="7D508FD3" w14:textId="5052E8AD" w:rsidR="00CB6F92" w:rsidRPr="00781112" w:rsidRDefault="00CB6F92" w:rsidP="00CB6F92">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CB6F92" w:rsidRPr="00781112" w:rsidRDefault="00CB6F92" w:rsidP="00CB6F92">
            <w:pPr>
              <w:jc w:val="center"/>
              <w:rPr>
                <w:rFonts w:cs="Arial"/>
                <w:color w:val="000000" w:themeColor="text1"/>
                <w:szCs w:val="16"/>
              </w:rPr>
            </w:pPr>
            <w:r w:rsidRPr="00781112">
              <w:rPr>
                <w:rFonts w:cs="Arial"/>
                <w:color w:val="000000" w:themeColor="text1"/>
                <w:szCs w:val="16"/>
              </w:rPr>
              <w:t>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The BIE saw slippage in the data for 8th grade regular assessment reading/language arts for SY 2021-2022. </w:t>
      </w:r>
      <w:r w:rsidRPr="00781112">
        <w:rPr>
          <w:rFonts w:cs="Arial"/>
          <w:color w:val="000000" w:themeColor="text1"/>
          <w:szCs w:val="16"/>
        </w:rPr>
        <w:br/>
      </w:r>
      <w:r w:rsidRPr="00781112">
        <w:rPr>
          <w:rFonts w:cs="Arial"/>
          <w:color w:val="000000" w:themeColor="text1"/>
          <w:szCs w:val="16"/>
        </w:rPr>
        <w:br/>
        <w:t>In the FFY 2020 APR, data from SY 2020-2021, the BIE reported assessment data for only about 1/3 of the BIE’s 174 schools. The schools that did not test and therefore did not report assessment data for SY 2020-21 were still experiencing pandemic related school closures and had a waiver allowing them to not administer assessments in the 2020-2021 school year.</w:t>
      </w:r>
      <w:r w:rsidRPr="00781112">
        <w:rPr>
          <w:rFonts w:cs="Arial"/>
          <w:color w:val="000000" w:themeColor="text1"/>
          <w:szCs w:val="16"/>
        </w:rPr>
        <w:br/>
      </w:r>
      <w:r w:rsidRPr="00781112">
        <w:rPr>
          <w:rFonts w:cs="Arial"/>
          <w:color w:val="000000" w:themeColor="text1"/>
          <w:szCs w:val="16"/>
        </w:rPr>
        <w:br/>
        <w:t xml:space="preserve">In this APR, FFY 2021, data for SY 2021-2022 is from 172 of the 174 schools, many more schools and data on many more children. The slippage occurred for students in 8th grade for reading/ language arts; a decline from 3.30% proficient to 2.55% proficient. The analysis of these data indicates that 8th graders, students who missed in-person learning for most of their middle </w:t>
      </w:r>
      <w:proofErr w:type="gramStart"/>
      <w:r w:rsidRPr="00781112">
        <w:rPr>
          <w:rFonts w:cs="Arial"/>
          <w:color w:val="000000" w:themeColor="text1"/>
          <w:szCs w:val="16"/>
        </w:rPr>
        <w:t>grades</w:t>
      </w:r>
      <w:proofErr w:type="gramEnd"/>
      <w:r w:rsidRPr="00781112">
        <w:rPr>
          <w:rFonts w:cs="Arial"/>
          <w:color w:val="000000" w:themeColor="text1"/>
          <w:szCs w:val="16"/>
        </w:rPr>
        <w:t xml:space="preserve"> years were greatly impacted by learning loss due to the pandemic. The analysis included a comparison of the percent of SWD 8th grade test-takers who scored proficient to the percent of all SWD 3rd – 8th grade test-takers who scored proficient. The analysis revealed that .41% fewer 8th grade students scored proficient when compared to all SWD in grades 3-8.</w:t>
      </w:r>
      <w:r w:rsidRPr="00781112">
        <w:rPr>
          <w:rFonts w:cs="Arial"/>
          <w:color w:val="000000" w:themeColor="text1"/>
          <w:szCs w:val="16"/>
        </w:rPr>
        <w:br/>
      </w:r>
      <w:r w:rsidRPr="00781112">
        <w:rPr>
          <w:rFonts w:cs="Arial"/>
          <w:color w:val="000000" w:themeColor="text1"/>
          <w:szCs w:val="16"/>
        </w:rPr>
        <w:br/>
        <w:t xml:space="preserve">The BIE data team has analyzed the data further and determined the number of students who scored “not proficient” at each school. These data will be shared with the school staff (principal and special education staff), the Education Resource Center (ERC) staff, and education program administrators. </w:t>
      </w:r>
      <w:r w:rsidRPr="00781112">
        <w:rPr>
          <w:rFonts w:cs="Arial"/>
          <w:color w:val="000000" w:themeColor="text1"/>
          <w:szCs w:val="16"/>
        </w:rPr>
        <w:br/>
      </w:r>
      <w:r w:rsidRPr="00781112">
        <w:rPr>
          <w:rFonts w:cs="Arial"/>
          <w:color w:val="000000" w:themeColor="text1"/>
          <w:szCs w:val="16"/>
        </w:rPr>
        <w:br/>
        <w:t>The BIE IDEA DPA staff also plans to work with school staff, the ERC staff and education program administers to strengthen the dissemination of information to schools regarding evidence-based practices to improve the assessment data.</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The BIE saw slippage in the data the high school regular assessment reading/English language arts for SY 2021-2022. </w:t>
      </w:r>
      <w:r w:rsidRPr="00781112">
        <w:rPr>
          <w:rFonts w:cs="Arial"/>
          <w:color w:val="000000" w:themeColor="text1"/>
          <w:szCs w:val="16"/>
        </w:rPr>
        <w:br/>
      </w:r>
      <w:r w:rsidRPr="00781112">
        <w:rPr>
          <w:rFonts w:cs="Arial"/>
          <w:color w:val="000000" w:themeColor="text1"/>
          <w:szCs w:val="16"/>
        </w:rPr>
        <w:br/>
        <w:t>In the FFY 2020 APR, data from SY 2020-2021, the BIE reported assessment data from only 27 of the 60 BIE schools with 9th through 12th graders. The schools that did not test and therefore did not report assessment data for SY2020-21 were still experiencing pandemic related school closures and had a waiver allowing them to not administer assessments in the 2020-2021 school year.</w:t>
      </w:r>
      <w:r w:rsidRPr="00781112">
        <w:rPr>
          <w:rFonts w:cs="Arial"/>
          <w:color w:val="000000" w:themeColor="text1"/>
          <w:szCs w:val="16"/>
        </w:rPr>
        <w:br/>
      </w:r>
      <w:r w:rsidRPr="00781112">
        <w:rPr>
          <w:rFonts w:cs="Arial"/>
          <w:color w:val="000000" w:themeColor="text1"/>
          <w:szCs w:val="16"/>
        </w:rPr>
        <w:br/>
        <w:t>In this APR, FFY 2021, data for SY 2021-2022, 59 of the schools with high school grades reported assessment data; 51 of the schools reported assessment data for SWD. Many more schools and data on many more children were reported. The slippage that occurred for students in high school for reading/English language arts is a decline from 5.81% proficient to 2.62% proficient. Many of these students missed a great deal of in-person learning for much of their middle and high school years and were greatly impacted by learning loss due to the pandemic.</w:t>
      </w:r>
      <w:r w:rsidRPr="00781112">
        <w:rPr>
          <w:rFonts w:cs="Arial"/>
          <w:color w:val="000000" w:themeColor="text1"/>
          <w:szCs w:val="16"/>
        </w:rPr>
        <w:br/>
      </w:r>
      <w:r w:rsidRPr="00781112">
        <w:rPr>
          <w:rFonts w:cs="Arial"/>
          <w:color w:val="000000" w:themeColor="text1"/>
          <w:szCs w:val="16"/>
        </w:rPr>
        <w:br/>
        <w:t xml:space="preserve">The BIE data team has analyzed the data further and determined the number of students who scored “not proficient” at each school. These data will be shared with the school staff (principal and special education staff), the Education Resource Center (ERC) staff, and education program administrators. </w:t>
      </w:r>
      <w:r w:rsidRPr="00781112">
        <w:rPr>
          <w:rFonts w:cs="Arial"/>
          <w:color w:val="000000" w:themeColor="text1"/>
          <w:szCs w:val="16"/>
        </w:rPr>
        <w:br/>
      </w:r>
      <w:r w:rsidRPr="00781112">
        <w:rPr>
          <w:rFonts w:cs="Arial"/>
          <w:color w:val="000000" w:themeColor="text1"/>
          <w:szCs w:val="16"/>
        </w:rPr>
        <w:br/>
        <w:t>The BIE IDEA DPA staff also plans to work with school staff, the ERC staff and education program administers to strengthen the dissemination of information to schools regarding evidence-based practices to improve the assessment data.</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9026543" w:rsidR="00242D8A" w:rsidRPr="00781112" w:rsidRDefault="00FB1E78"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_Ref141248210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5</w:t>
            </w:r>
            <w:r>
              <w:rPr>
                <w:rFonts w:cs="Arial"/>
                <w:color w:val="000000" w:themeColor="text1"/>
                <w:szCs w:val="16"/>
              </w:rPr>
              <w:fldChar w:fldCharType="end"/>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494</w:t>
            </w:r>
          </w:p>
        </w:tc>
        <w:tc>
          <w:tcPr>
            <w:tcW w:w="500" w:type="pct"/>
            <w:shd w:val="clear" w:color="auto" w:fill="auto"/>
            <w:vAlign w:val="center"/>
          </w:tcPr>
          <w:p w14:paraId="044B076F" w14:textId="16760803" w:rsidR="00242D8A" w:rsidRPr="00781112" w:rsidRDefault="00FB1E78"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_Ref141248210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5</w:t>
            </w:r>
            <w:r>
              <w:rPr>
                <w:rFonts w:cs="Arial"/>
                <w:color w:val="000000" w:themeColor="text1"/>
                <w:szCs w:val="16"/>
              </w:rPr>
              <w:fldChar w:fldCharType="end"/>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1.95%</w:t>
            </w:r>
          </w:p>
        </w:tc>
        <w:tc>
          <w:tcPr>
            <w:tcW w:w="500" w:type="pct"/>
            <w:shd w:val="clear" w:color="auto" w:fill="auto"/>
            <w:vAlign w:val="center"/>
          </w:tcPr>
          <w:p w14:paraId="4C5100F6" w14:textId="234F4943" w:rsidR="00242D8A" w:rsidRPr="00781112" w:rsidRDefault="00FB1E78"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_Ref141248210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5</w:t>
            </w:r>
            <w:r>
              <w:rPr>
                <w:rFonts w:cs="Arial"/>
                <w:color w:val="000000" w:themeColor="text1"/>
                <w:szCs w:val="16"/>
              </w:rPr>
              <w:fldChar w:fldCharType="end"/>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420</w:t>
            </w:r>
          </w:p>
        </w:tc>
        <w:tc>
          <w:tcPr>
            <w:tcW w:w="500" w:type="pct"/>
            <w:shd w:val="clear" w:color="auto" w:fill="auto"/>
            <w:vAlign w:val="center"/>
          </w:tcPr>
          <w:p w14:paraId="272455FD" w14:textId="0C7C93C6" w:rsidR="00242D8A" w:rsidRPr="00781112" w:rsidRDefault="00FB1E78"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_Ref141248210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5</w:t>
            </w:r>
            <w:r>
              <w:rPr>
                <w:rFonts w:cs="Arial"/>
                <w:color w:val="000000" w:themeColor="text1"/>
                <w:szCs w:val="16"/>
              </w:rPr>
              <w:fldChar w:fldCharType="end"/>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1.98%</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1.43%</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35EEA118" w:rsidR="00242D8A" w:rsidRPr="00781112" w:rsidRDefault="00FB1E78"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_Ref141248210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5</w:t>
            </w:r>
            <w:r>
              <w:rPr>
                <w:rFonts w:cs="Arial"/>
                <w:color w:val="000000" w:themeColor="text1"/>
                <w:szCs w:val="16"/>
              </w:rPr>
              <w:fldChar w:fldCharType="end"/>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301</w:t>
            </w:r>
          </w:p>
        </w:tc>
        <w:tc>
          <w:tcPr>
            <w:tcW w:w="500" w:type="pct"/>
            <w:shd w:val="clear" w:color="auto" w:fill="auto"/>
            <w:vAlign w:val="center"/>
          </w:tcPr>
          <w:p w14:paraId="2250005A" w14:textId="03472963" w:rsidR="00242D8A" w:rsidRPr="00781112" w:rsidRDefault="00FB1E78"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_Ref141248210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5</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1.96%</w:t>
            </w:r>
          </w:p>
        </w:tc>
        <w:tc>
          <w:tcPr>
            <w:tcW w:w="500" w:type="pct"/>
            <w:shd w:val="clear" w:color="auto" w:fill="auto"/>
            <w:vAlign w:val="center"/>
          </w:tcPr>
          <w:p w14:paraId="581F32CD" w14:textId="3CFD7DB6" w:rsidR="00242D8A" w:rsidRPr="00781112" w:rsidRDefault="00FB1E78"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_Ref141248210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5</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lastRenderedPageBreak/>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https://www.bie.edu/topic-page/performance-data-statistics</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Within 90 days of the receipt of the BIE's 2022 determination letter, the BIE must provide to OSEP a Web link that demonstrates that it has reported, for FFY 2020, to the public, on the statewide assessments of children with disabilities in accordance with 34 C.F.R. § 300.160(f). In addition, OSEP reminds the BIE that in the FFY 2021 SPP/APR, the BIE must include a Web link that demonstrates compliance with 34 C.F.R. § 300.160(f) for FFY 2021.</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0A2C83" w:rsidP="000A2C83">
      <w:pPr>
        <w:rPr>
          <w:rFonts w:cs="Arial"/>
          <w:color w:val="000000" w:themeColor="text1"/>
          <w:szCs w:val="16"/>
        </w:rPr>
      </w:pP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OSEP notes that according to the third quarter update to the FFY 2022 Corrective Action Plan, the BIE has not met the report card requirements under ESEA section 1111(h) for three years beginning with SY 2019-2020. However, the BIE has made available the results of state-wide assessment data for children with disabilities through SY 2020-2021. As the BIE meets the reporting requirements under ESEA section 1111(h), it must also make available the assessment data for children with disabilities with the same frequency and detail as required in 34 C.F.R. § 300.160(f).</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45.45%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38.46%</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50.00%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36.36%</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50.00%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0BF3C8F3" w:rsidR="00537221" w:rsidRPr="00781112" w:rsidRDefault="00F73936" w:rsidP="00827FF4">
            <w:pPr>
              <w:spacing w:before="0" w:after="0"/>
              <w:jc w:val="center"/>
              <w:rPr>
                <w:rFonts w:cs="Arial"/>
                <w:color w:val="000000" w:themeColor="text1"/>
                <w:szCs w:val="16"/>
              </w:rPr>
            </w:pPr>
            <w:r>
              <w:rPr>
                <w:rFonts w:cs="Arial"/>
                <w:color w:val="000000" w:themeColor="text1"/>
                <w:szCs w:val="16"/>
              </w:rPr>
              <w:t>x</w:t>
            </w:r>
            <w:bookmarkStart w:id="23" w:name="_Ref141179100"/>
            <w:r>
              <w:rPr>
                <w:rStyle w:val="FootnoteReference"/>
                <w:rFonts w:cs="Arial"/>
                <w:color w:val="000000" w:themeColor="text1"/>
                <w:szCs w:val="16"/>
              </w:rPr>
              <w:footnoteReference w:id="8"/>
            </w:r>
            <w:bookmarkEnd w:id="23"/>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45.91%</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46.83%</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48.25%</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50.21%</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52.77%</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38.85%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39.63%</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40.83%</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42.49%</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44.65%</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50.60%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51.82%</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53.71%</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56.33%</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59.80%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38.09%</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39.82%</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41.55%</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43.27%</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45.00%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52.00%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56.00%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58.00%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60.00%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39.60%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41.70%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43.80%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45.90%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48.00%</w:t>
            </w:r>
          </w:p>
        </w:tc>
      </w:tr>
    </w:tbl>
    <w:p w14:paraId="01C51458" w14:textId="77777777" w:rsidR="002F48B8" w:rsidRDefault="002F48B8" w:rsidP="002F48B8">
      <w:pPr>
        <w:spacing w:before="0" w:after="200" w:line="276" w:lineRule="auto"/>
        <w:rPr>
          <w:b/>
          <w:color w:val="000000" w:themeColor="text1"/>
        </w:rPr>
      </w:pPr>
    </w:p>
    <w:p w14:paraId="2261CE05" w14:textId="4DA982DA" w:rsidR="002D145D" w:rsidRPr="002F48B8" w:rsidRDefault="002D145D" w:rsidP="002F48B8">
      <w:pPr>
        <w:spacing w:before="0" w:after="200" w:line="276" w:lineRule="auto"/>
        <w:rPr>
          <w:b/>
          <w:color w:val="000000" w:themeColor="text1"/>
        </w:rPr>
      </w:pPr>
      <w:r w:rsidRPr="00781112">
        <w:rPr>
          <w:b/>
          <w:color w:val="000000" w:themeColor="text1"/>
        </w:rPr>
        <w:t xml:space="preserve">Targets: Description of Stakeholder Input </w:t>
      </w:r>
      <w:r w:rsidR="002F48B8">
        <w:rPr>
          <w:b/>
          <w:color w:val="000000" w:themeColor="text1"/>
        </w:rPr>
        <w:br/>
      </w:r>
      <w:r w:rsidR="002B7490"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002B7490" w:rsidRPr="00781112">
        <w:rPr>
          <w:rFonts w:cs="Arial"/>
          <w:color w:val="000000" w:themeColor="text1"/>
          <w:szCs w:val="16"/>
        </w:rPr>
        <w:br/>
      </w:r>
      <w:r w:rsidR="002B7490" w:rsidRPr="00781112">
        <w:rPr>
          <w:rFonts w:cs="Arial"/>
          <w:color w:val="000000" w:themeColor="text1"/>
          <w:szCs w:val="16"/>
        </w:rPr>
        <w:br/>
      </w:r>
      <w:r w:rsidR="002B7490" w:rsidRPr="00781112">
        <w:rPr>
          <w:rFonts w:cs="Arial"/>
          <w:color w:val="000000" w:themeColor="text1"/>
          <w:szCs w:val="16"/>
        </w:rPr>
        <w:lastRenderedPageBreak/>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23</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24</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9</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15</w:t>
            </w:r>
          </w:p>
        </w:tc>
      </w:tr>
    </w:tbl>
    <w:p w14:paraId="5B67A6D1" w14:textId="77777777" w:rsidR="002F48B8" w:rsidRDefault="002F48B8" w:rsidP="00286BDF">
      <w:pPr>
        <w:rPr>
          <w:rFonts w:cs="Arial"/>
          <w:b/>
          <w:color w:val="000000" w:themeColor="text1"/>
          <w:szCs w:val="16"/>
        </w:rPr>
      </w:pPr>
    </w:p>
    <w:p w14:paraId="31899BDA" w14:textId="7B0DCC68"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30B475C4" w14:textId="77777777" w:rsidR="002F48B8" w:rsidRPr="00781112" w:rsidRDefault="002F48B8"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23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10</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12</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23</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45.45%</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45.91%</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65.22%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9</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38.46%</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38.85%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29.03%</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15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24</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50.00%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50.60%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62.50%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lastRenderedPageBreak/>
        <w:t xml:space="preserve">The BIE saw slippage in the 8th grade alternate reading/language arts assessment data for SY 2021-2022. </w:t>
      </w:r>
      <w:r w:rsidRPr="00781112">
        <w:rPr>
          <w:rFonts w:cs="Arial"/>
          <w:color w:val="000000" w:themeColor="text1"/>
          <w:szCs w:val="16"/>
        </w:rPr>
        <w:br/>
      </w:r>
      <w:r w:rsidRPr="00781112">
        <w:rPr>
          <w:rFonts w:cs="Arial"/>
          <w:color w:val="000000" w:themeColor="text1"/>
          <w:szCs w:val="16"/>
        </w:rPr>
        <w:br/>
        <w:t xml:space="preserve">In the FFY 2020 APR, data from SY 2020-2021, the BIE reported assessment data for only about 1/3 of the BIE’s 174 schools. The schools that did not test and therefore did not report data that year were still experiencing pandemic related school closures and had a waiver allowing them to not administer assessments in the 2020-2021 school year. </w:t>
      </w:r>
      <w:r w:rsidRPr="00781112">
        <w:rPr>
          <w:rFonts w:cs="Arial"/>
          <w:color w:val="000000" w:themeColor="text1"/>
          <w:szCs w:val="16"/>
        </w:rPr>
        <w:br/>
        <w:t xml:space="preserve"> </w:t>
      </w:r>
      <w:r w:rsidRPr="00781112">
        <w:rPr>
          <w:rFonts w:cs="Arial"/>
          <w:color w:val="000000" w:themeColor="text1"/>
          <w:szCs w:val="16"/>
        </w:rPr>
        <w:br/>
        <w:t xml:space="preserve">The numbers of 8th grade alternate math assessment test-takers are very low, only 30 students in all 172 schools that reported assessment data for the 2021-2022 school year participated in the math alternate assessment. Small numbers can cause large swings in the “percent proficient” data; the BIE reported a 38.46% proficiency rate in the FFY 2020 APR as compared to only a 29.03% proficiency rate in this FFY 2021 APR. Slippage occurred for students in 8th grade for both math and reading/language arts alternate assessment indicating that these middle grades were greatly impacted by learning loss due to the pandemic. </w:t>
      </w:r>
      <w:r w:rsidRPr="00781112">
        <w:rPr>
          <w:rFonts w:cs="Arial"/>
          <w:color w:val="000000" w:themeColor="text1"/>
          <w:szCs w:val="16"/>
        </w:rPr>
        <w:br/>
      </w:r>
      <w:r w:rsidRPr="00781112">
        <w:rPr>
          <w:rFonts w:cs="Arial"/>
          <w:color w:val="000000" w:themeColor="text1"/>
          <w:szCs w:val="16"/>
        </w:rPr>
        <w:br/>
        <w:t xml:space="preserve">The BIE will continue to work with the school staff to ensure that the students taking the alternate assessment are eligible for this assessment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provide support to the schools to implement evidence-based practices to improve the alternate assessment data. </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23</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36.36%</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38.09%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69.57%</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10</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50.00%</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52.00%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33.33%</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12</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19</w:t>
            </w:r>
          </w:p>
        </w:tc>
        <w:tc>
          <w:tcPr>
            <w:tcW w:w="541" w:type="pct"/>
            <w:shd w:val="clear" w:color="auto" w:fill="auto"/>
            <w:vAlign w:val="center"/>
          </w:tcPr>
          <w:p w14:paraId="59D699CF" w14:textId="557FE513" w:rsidR="00A31E8A" w:rsidRPr="00781112" w:rsidRDefault="00F73936" w:rsidP="00A31E8A">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9"/>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39.60%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63.16%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The BIE saw slippage in the 8th grade alternate math assessment data for SY 2021-2022. </w:t>
      </w:r>
      <w:r w:rsidRPr="00781112">
        <w:rPr>
          <w:rFonts w:cs="Arial"/>
          <w:color w:val="000000" w:themeColor="text1"/>
          <w:szCs w:val="16"/>
        </w:rPr>
        <w:br/>
      </w:r>
      <w:r w:rsidRPr="00781112">
        <w:rPr>
          <w:rFonts w:cs="Arial"/>
          <w:color w:val="000000" w:themeColor="text1"/>
          <w:szCs w:val="16"/>
        </w:rPr>
        <w:br/>
        <w:t>In the FFY 2020 APR, data from SY 2020-2021, the BIE reported assessment data for only about 1/3 of the BIE’s 174 schools. The schools that did not test and therefore did not report assessment data for SY 2020-21 were still experiencing pandemic related school closures and had a waiver allowing them to not administer assessments in the 2020-2021 school year.</w:t>
      </w:r>
      <w:r w:rsidRPr="00781112">
        <w:rPr>
          <w:rFonts w:cs="Arial"/>
          <w:color w:val="000000" w:themeColor="text1"/>
          <w:szCs w:val="16"/>
        </w:rPr>
        <w:br/>
      </w:r>
      <w:r w:rsidRPr="00781112">
        <w:rPr>
          <w:rFonts w:cs="Arial"/>
          <w:color w:val="000000" w:themeColor="text1"/>
          <w:szCs w:val="16"/>
        </w:rPr>
        <w:br/>
        <w:t>The numbers of 8th grade alternate math assessment test-takers are very low, only 31 students in all 172 schools that reported assessment data for the 2021-2022 school year participated in the math alternate assessment. Small numbers can cause large swings in the “percent proficient” data; the BIE reported a 50.00% proficiency rate in the FFY 2020 APR as compared to only a 33.33% proficiency rate in this FFY 2021 APR. Slippage occurred for students in 8th grade for both math and reading/language arts alternate assessment indicating that these middle grades were greatly impacted by learning loss due to the pandemic.</w:t>
      </w:r>
      <w:r w:rsidRPr="00781112">
        <w:rPr>
          <w:rFonts w:cs="Arial"/>
          <w:color w:val="000000" w:themeColor="text1"/>
          <w:szCs w:val="16"/>
        </w:rPr>
        <w:br/>
      </w:r>
      <w:r w:rsidRPr="00781112">
        <w:rPr>
          <w:rFonts w:cs="Arial"/>
          <w:color w:val="000000" w:themeColor="text1"/>
          <w:szCs w:val="16"/>
        </w:rPr>
        <w:br/>
        <w:t>The BIE will continue to work with the school staff to ensure that the students taking the alternate assessment are eligible for this assessment and also provide support to the schools to implement evidence-based practices to improve the alternate assessment data.</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https://www.bie.edu/topic-page/performance-data-statistics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Within 90 days of the receipt of the BIE's 2022 determination letter, the BIE must provide to OSEP a Web link that demonstrates that it has reported, for FFY 2020, to the public, on the statewide assessments of children with disabilities in accordance with 34 C.F.R. § 300.160(f). In addition, OSEP reminds the BIE that in the FFY 2021 SPP/APR, the BIE must include a Web link that demonstrates compliance with 34 C.F.R. § 300.160(f) for FFY 2021.</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0A2C83" w:rsidP="000A2C83">
      <w:pPr>
        <w:rPr>
          <w:rFonts w:cs="Arial"/>
          <w:color w:val="000000" w:themeColor="text1"/>
          <w:szCs w:val="16"/>
        </w:rPr>
      </w:pP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OSEP notes that according to the third quarter update to the FFY 2022 Corrective Action Plan, the BIE has not met the report card requirements under ESEA section 1111(h) for three years beginning with SY 2019-2020. However, the BIE has made available the results of state-wide assessment data for children with disabilities through SY 2020-2021. As the BIE meets the reporting requirements under ESEA section 1111(h), it must also make available the assessment data for children with disabilities with the same frequency and detail as required in 34 C.F.R. § 300.160(f).</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2.48</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4.02</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11.73</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0.91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2.28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2.38</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2.28</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2.19</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2.09</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2.00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3.91</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3.81</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3.71</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3.60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3.50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11.80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11.64</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11.40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11.08</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10.70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0.88</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0.86</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0.84</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0.82</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0.80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2.22</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2.17</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2.11</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2.06</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2.00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3.20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3.15</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3.10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3.05</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2,566</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2,504</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1,843</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496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432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305</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207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259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348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19648462" w:rsidR="002D3EE6" w:rsidRPr="00781112" w:rsidRDefault="00E81BA2" w:rsidP="002D3EE6">
            <w:pPr>
              <w:jc w:val="center"/>
              <w:rPr>
                <w:rFonts w:cs="Arial"/>
                <w:color w:val="000000" w:themeColor="text1"/>
                <w:szCs w:val="16"/>
              </w:rPr>
            </w:pPr>
            <w:r>
              <w:rPr>
                <w:rFonts w:cs="Arial"/>
                <w:color w:val="000000" w:themeColor="text1"/>
                <w:szCs w:val="16"/>
              </w:rPr>
              <w:t>x</w:t>
            </w:r>
            <w:bookmarkStart w:id="24" w:name="_Ref141161396"/>
            <w:r>
              <w:rPr>
                <w:rStyle w:val="FootnoteReference"/>
                <w:rFonts w:cs="Arial"/>
                <w:color w:val="000000" w:themeColor="text1"/>
                <w:szCs w:val="16"/>
              </w:rPr>
              <w:footnoteReference w:id="10"/>
            </w:r>
            <w:bookmarkEnd w:id="24"/>
          </w:p>
        </w:tc>
        <w:tc>
          <w:tcPr>
            <w:tcW w:w="1084" w:type="pct"/>
            <w:shd w:val="clear" w:color="auto" w:fill="auto"/>
            <w:vAlign w:val="center"/>
          </w:tcPr>
          <w:p w14:paraId="5FB5C795" w14:textId="25E717CD" w:rsidR="002D3EE6" w:rsidRPr="00781112" w:rsidRDefault="00E81BA2"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c>
          <w:tcPr>
            <w:tcW w:w="1084" w:type="pct"/>
            <w:shd w:val="clear" w:color="auto" w:fill="auto"/>
            <w:vAlign w:val="center"/>
          </w:tcPr>
          <w:p w14:paraId="5BB68E9F" w14:textId="7444FE70" w:rsidR="002D3EE6" w:rsidRPr="00781112" w:rsidRDefault="00E81BA2"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8</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1917D88C" w:rsidR="002D3EE6" w:rsidRPr="00781112" w:rsidRDefault="00E81BA2"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c>
          <w:tcPr>
            <w:tcW w:w="1084" w:type="pct"/>
            <w:shd w:val="clear" w:color="auto" w:fill="auto"/>
            <w:vAlign w:val="center"/>
          </w:tcPr>
          <w:p w14:paraId="0E65D7AB" w14:textId="6B5AAE6C" w:rsidR="002D3EE6" w:rsidRPr="00781112" w:rsidRDefault="00E81BA2"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c>
          <w:tcPr>
            <w:tcW w:w="1084" w:type="pct"/>
            <w:shd w:val="clear" w:color="auto" w:fill="auto"/>
            <w:vAlign w:val="center"/>
          </w:tcPr>
          <w:p w14:paraId="740F6FA5" w14:textId="55C2493C" w:rsidR="002D3EE6" w:rsidRPr="00781112" w:rsidRDefault="00E81BA2" w:rsidP="002D3EE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2,569</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2,496</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1,783</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494</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420</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301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129</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144</w:t>
            </w:r>
          </w:p>
        </w:tc>
        <w:tc>
          <w:tcPr>
            <w:tcW w:w="1084" w:type="pct"/>
            <w:shd w:val="clear" w:color="auto" w:fill="auto"/>
            <w:vAlign w:val="center"/>
          </w:tcPr>
          <w:p w14:paraId="735C7B5A" w14:textId="6B4C57F2" w:rsidR="0039534D" w:rsidRPr="00781112" w:rsidRDefault="00E81BA2"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F4BBE4E" w:rsidR="0039534D" w:rsidRPr="00781112" w:rsidRDefault="00E81BA2"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c>
          <w:tcPr>
            <w:tcW w:w="1084" w:type="pct"/>
            <w:shd w:val="clear" w:color="auto" w:fill="auto"/>
            <w:vAlign w:val="center"/>
          </w:tcPr>
          <w:p w14:paraId="53087BDA" w14:textId="06ADE63B" w:rsidR="0039534D" w:rsidRPr="00781112" w:rsidRDefault="00E81BA2"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10</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4656C7C9" w14:textId="60AB2ABF" w:rsidR="0039534D" w:rsidRPr="00781112" w:rsidRDefault="00E81BA2"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3BBBEF28" w:rsidR="0039534D" w:rsidRPr="00781112" w:rsidRDefault="00E81BA2"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p>
        </w:tc>
        <w:tc>
          <w:tcPr>
            <w:tcW w:w="1084" w:type="pct"/>
            <w:shd w:val="clear" w:color="auto" w:fill="auto"/>
            <w:vAlign w:val="center"/>
          </w:tcPr>
          <w:p w14:paraId="20EB2770" w14:textId="331977CA" w:rsidR="0039534D" w:rsidRPr="00781112" w:rsidRDefault="00E81BA2"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_Ref141161396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8</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3A973886" w:rsidR="00E22739" w:rsidRPr="00781112" w:rsidRDefault="00E81BA2" w:rsidP="00E81BA2">
            <w:pPr>
              <w:spacing w:before="120"/>
              <w:jc w:val="center"/>
              <w:rPr>
                <w:rFonts w:cs="Arial"/>
                <w:color w:val="000000" w:themeColor="text1"/>
                <w:szCs w:val="16"/>
              </w:rPr>
            </w:pPr>
            <w:r>
              <w:rPr>
                <w:rFonts w:cs="Arial"/>
                <w:color w:val="000000" w:themeColor="text1"/>
                <w:szCs w:val="16"/>
              </w:rPr>
              <w:t>x</w:t>
            </w:r>
            <w:bookmarkStart w:id="25" w:name="_Ref141161466"/>
            <w:r>
              <w:rPr>
                <w:rStyle w:val="FootnoteReference"/>
                <w:rFonts w:cs="Arial"/>
                <w:color w:val="000000" w:themeColor="text1"/>
                <w:szCs w:val="16"/>
              </w:rPr>
              <w:footnoteReference w:id="11"/>
            </w:r>
            <w:bookmarkEnd w:id="25"/>
          </w:p>
        </w:tc>
        <w:tc>
          <w:tcPr>
            <w:tcW w:w="812" w:type="pct"/>
            <w:shd w:val="clear" w:color="auto" w:fill="auto"/>
            <w:vAlign w:val="center"/>
          </w:tcPr>
          <w:p w14:paraId="3354BCD4" w14:textId="14081BD5" w:rsidR="00E22739" w:rsidRPr="00781112" w:rsidRDefault="00E81BA2"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_Ref141161466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9</w:t>
            </w:r>
            <w:r>
              <w:rPr>
                <w:rFonts w:cs="Arial"/>
                <w:color w:val="000000" w:themeColor="text1"/>
                <w:szCs w:val="16"/>
              </w:rPr>
              <w:fldChar w:fldCharType="end"/>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2.48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2.38</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5.54</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7614B15D" w:rsidR="00E22739" w:rsidRPr="00781112" w:rsidRDefault="00E81BA2" w:rsidP="00E81BA2">
            <w:pPr>
              <w:spacing w:before="120"/>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_Ref141161466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9</w:t>
            </w:r>
            <w:r>
              <w:rPr>
                <w:rFonts w:cs="Arial"/>
                <w:color w:val="000000" w:themeColor="text1"/>
                <w:szCs w:val="16"/>
              </w:rPr>
              <w:fldChar w:fldCharType="end"/>
            </w:r>
          </w:p>
        </w:tc>
        <w:tc>
          <w:tcPr>
            <w:tcW w:w="812" w:type="pct"/>
            <w:shd w:val="clear" w:color="auto" w:fill="auto"/>
            <w:vAlign w:val="center"/>
          </w:tcPr>
          <w:p w14:paraId="375F78DA" w14:textId="7F2DC9FB" w:rsidR="00E22739" w:rsidRPr="00781112" w:rsidRDefault="00E81BA2"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_Ref141161466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9</w:t>
            </w:r>
            <w:r>
              <w:rPr>
                <w:rFonts w:cs="Arial"/>
                <w:color w:val="000000" w:themeColor="text1"/>
                <w:szCs w:val="16"/>
              </w:rPr>
              <w:fldChar w:fldCharType="end"/>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4.02</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3.91</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9.55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1FBCDAC9" w:rsidR="00E22739" w:rsidRPr="00781112" w:rsidRDefault="00E81BA2" w:rsidP="00E81BA2">
            <w:pPr>
              <w:spacing w:before="120"/>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_Ref141161466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9</w:t>
            </w:r>
            <w:r>
              <w:rPr>
                <w:rFonts w:cs="Arial"/>
                <w:color w:val="000000" w:themeColor="text1"/>
                <w:szCs w:val="16"/>
              </w:rPr>
              <w:fldChar w:fldCharType="end"/>
            </w:r>
          </w:p>
        </w:tc>
        <w:tc>
          <w:tcPr>
            <w:tcW w:w="812" w:type="pct"/>
            <w:shd w:val="clear" w:color="auto" w:fill="auto"/>
            <w:vAlign w:val="center"/>
          </w:tcPr>
          <w:p w14:paraId="1276E93C" w14:textId="54C55A48" w:rsidR="00E22739" w:rsidRPr="00781112" w:rsidRDefault="00E81BA2" w:rsidP="00E22739">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_Ref141161466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9</w:t>
            </w:r>
            <w:r>
              <w:rPr>
                <w:rFonts w:cs="Arial"/>
                <w:color w:val="000000" w:themeColor="text1"/>
                <w:szCs w:val="16"/>
              </w:rPr>
              <w:fldChar w:fldCharType="end"/>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11.73</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11.80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16.37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 xml:space="preserve">The BIE saw slippage in the data reported in indicator 3D reading/language arts, the gap between 4th grade students with disabilities and all 4th grade students for SY 2021-2022.  In the FFY 2020 APR, the BIE reported a gap of 2.47% between 4th grade SWD and all 4th grade students. The BIE is reporting a gap of 5.54% in the FY 2021 APR. Most children experienced poor proficiency, likely due to pandemic related learning loss. </w:t>
      </w:r>
      <w:r w:rsidRPr="00781112">
        <w:rPr>
          <w:rFonts w:cs="Arial"/>
          <w:color w:val="000000" w:themeColor="text1"/>
          <w:szCs w:val="16"/>
        </w:rPr>
        <w:br/>
      </w:r>
      <w:r w:rsidRPr="00781112">
        <w:rPr>
          <w:rFonts w:cs="Arial"/>
          <w:color w:val="000000" w:themeColor="text1"/>
          <w:szCs w:val="16"/>
        </w:rPr>
        <w:br/>
        <w:t xml:space="preserve">Also, in the FFY 2020 APR, data for SY 2020-2021 the BIE reported assessment data for only about 1/3 of the BIE’s 174 schools. The schools that did not test and therefore did not report data that year were still experiencing pandemic related school closures and had a waiver allowing them to not administer assessments in the 2020-2021 school year. </w:t>
      </w:r>
      <w:r w:rsidRPr="00781112">
        <w:rPr>
          <w:rFonts w:cs="Arial"/>
          <w:color w:val="000000" w:themeColor="text1"/>
          <w:szCs w:val="16"/>
        </w:rPr>
        <w:br/>
      </w:r>
      <w:r w:rsidRPr="00781112">
        <w:rPr>
          <w:rFonts w:cs="Arial"/>
          <w:color w:val="000000" w:themeColor="text1"/>
          <w:szCs w:val="16"/>
        </w:rPr>
        <w:br/>
        <w:t xml:space="preserve">The data for SY 2021-2022 reported in this APR is from 172 of the 174 schools, many more schools and many more children. Slippage that occurred for students with disabilities for both reading/language arts and math assessments indicates that SWD were more greatly impacted by learning loss due to the pandemic than students without disabilities.  </w:t>
      </w:r>
      <w:r w:rsidRPr="00781112">
        <w:rPr>
          <w:rFonts w:cs="Arial"/>
          <w:color w:val="000000" w:themeColor="text1"/>
          <w:szCs w:val="16"/>
        </w:rPr>
        <w:br/>
      </w:r>
      <w:r w:rsidRPr="00781112">
        <w:rPr>
          <w:rFonts w:cs="Arial"/>
          <w:color w:val="000000" w:themeColor="text1"/>
          <w:szCs w:val="16"/>
        </w:rPr>
        <w:br/>
        <w:t xml:space="preserve">The BIE data team has analyzed the data further and determined the number of students who scored “not proficient” at each school, both students with and without disabilities. These data will be shared with the school staff (principal and special education staff), the Education Resource Center (ERC) staff, and education program administrators. </w:t>
      </w:r>
      <w:r w:rsidRPr="00781112">
        <w:rPr>
          <w:rFonts w:cs="Arial"/>
          <w:color w:val="000000" w:themeColor="text1"/>
          <w:szCs w:val="16"/>
        </w:rPr>
        <w:br/>
      </w:r>
      <w:r w:rsidRPr="00781112">
        <w:rPr>
          <w:rFonts w:cs="Arial"/>
          <w:color w:val="000000" w:themeColor="text1"/>
          <w:szCs w:val="16"/>
        </w:rPr>
        <w:br/>
        <w:t xml:space="preserve">The BIE IDEA DPA staff also plans to work with school staff, the ERC staff and education program administers to strengthen the dissemination of information to schools regarding evidence-based practices to improve the assessment data. </w:t>
      </w:r>
    </w:p>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The BIE saw slippage in the data reported in indicator 3D reading/language arts, the gap between 8th grade students with disabilities and all 8th grade students for SY 2021-2022.  In the FFY 2020 APR, the BIE reported a gap of 4.01% between 8th grade SWD and all 8th grade students. The BIE is reporting a gap of 9.55% in the FFY 2021 APR. Most children experienced poor proficiency, likely due to pandemic related learning loss. </w:t>
      </w:r>
      <w:r w:rsidRPr="00781112">
        <w:rPr>
          <w:rFonts w:cs="Arial"/>
          <w:color w:val="000000" w:themeColor="text1"/>
          <w:szCs w:val="16"/>
        </w:rPr>
        <w:br/>
      </w:r>
      <w:r w:rsidRPr="00781112">
        <w:rPr>
          <w:rFonts w:cs="Arial"/>
          <w:color w:val="000000" w:themeColor="text1"/>
          <w:szCs w:val="16"/>
        </w:rPr>
        <w:br/>
        <w:t xml:space="preserve">Also, in the FFY 2020 APR, data for SY 2020-2021 the BIE reported assessment data for only about 1/3 of the BIE’s 174 schools. The schools that did not test and therefore did not report data that year were still experiencing pandemic related school closures and had a waiver allowing them to not administer assessments in the 2020-2021 school year.  </w:t>
      </w:r>
      <w:r w:rsidRPr="00781112">
        <w:rPr>
          <w:rFonts w:cs="Arial"/>
          <w:color w:val="000000" w:themeColor="text1"/>
          <w:szCs w:val="16"/>
        </w:rPr>
        <w:br/>
      </w:r>
      <w:r w:rsidRPr="00781112">
        <w:rPr>
          <w:rFonts w:cs="Arial"/>
          <w:color w:val="000000" w:themeColor="text1"/>
          <w:szCs w:val="16"/>
        </w:rPr>
        <w:br/>
        <w:t xml:space="preserve">The data for SY 2021-2022 reported in this APR is from 172 of the 174 schools, many more schools and many more children. Slippage that occurred for students with disabilities for both reading/language arts and math assessments indicates that SWD were more greatly impacted by learning loss due to the pandemic than students without disabilities. </w:t>
      </w:r>
      <w:r w:rsidRPr="00781112">
        <w:rPr>
          <w:rFonts w:cs="Arial"/>
          <w:color w:val="000000" w:themeColor="text1"/>
          <w:szCs w:val="16"/>
        </w:rPr>
        <w:br/>
      </w:r>
      <w:r w:rsidRPr="00781112">
        <w:rPr>
          <w:rFonts w:cs="Arial"/>
          <w:color w:val="000000" w:themeColor="text1"/>
          <w:szCs w:val="16"/>
        </w:rPr>
        <w:br/>
        <w:t xml:space="preserve">The BIE data team has analyzed the data further and determined the number of students who scored “not proficient” at each school, both students with and without disabilities. These data will be shared with the school staff (principal and special education staff), the Education Resource Center (ERC) staff, and Education Program Administrators. </w:t>
      </w:r>
      <w:r w:rsidRPr="00781112">
        <w:rPr>
          <w:rFonts w:cs="Arial"/>
          <w:color w:val="000000" w:themeColor="text1"/>
          <w:szCs w:val="16"/>
        </w:rPr>
        <w:br/>
      </w:r>
      <w:r w:rsidRPr="00781112">
        <w:rPr>
          <w:rFonts w:cs="Arial"/>
          <w:color w:val="000000" w:themeColor="text1"/>
          <w:szCs w:val="16"/>
        </w:rPr>
        <w:br/>
        <w:t xml:space="preserve">The BIE IDEA DPA staff also plans to work with school staff, the ERC staff and Education Program Administers to strengthen the dissemination of information to schools regarding evidence-based practices to improve the assessment data. </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The BIE saw slippage in the data reported in indicator 3D reading/English language arts, the gap between high school students with disabilities and all high school students for SY 2021-2022.  In the FFY 2020 APR, the BIE reported a gap of 11.89% between high school SWD and all high school students. The BIE is reporting a gap of 16.37% in the FFY 2021 APR. Most children experienced poor proficiency, likely due to pandemic related learning loss. </w:t>
      </w:r>
      <w:r w:rsidRPr="00781112">
        <w:rPr>
          <w:rFonts w:cs="Arial"/>
          <w:color w:val="000000" w:themeColor="text1"/>
          <w:szCs w:val="16"/>
        </w:rPr>
        <w:br/>
      </w:r>
      <w:r w:rsidRPr="00781112">
        <w:rPr>
          <w:rFonts w:cs="Arial"/>
          <w:color w:val="000000" w:themeColor="text1"/>
          <w:szCs w:val="16"/>
        </w:rPr>
        <w:br/>
        <w:t xml:space="preserve">Also, in the FFY 2020 APR, data for SY 2020-2021 the BIE reported assessment data for less than half of the BIE’s schools with grades 9 – 12. The schools that did not test and therefore did not report data that year were still experiencing pandemic related school closures and had a waiver allowing them to not administer assessments in the 2020-2021 school year.  </w:t>
      </w:r>
      <w:r w:rsidRPr="00781112">
        <w:rPr>
          <w:rFonts w:cs="Arial"/>
          <w:color w:val="000000" w:themeColor="text1"/>
          <w:szCs w:val="16"/>
        </w:rPr>
        <w:br/>
      </w:r>
      <w:r w:rsidRPr="00781112">
        <w:rPr>
          <w:rFonts w:cs="Arial"/>
          <w:color w:val="000000" w:themeColor="text1"/>
          <w:szCs w:val="16"/>
        </w:rPr>
        <w:br/>
        <w:t xml:space="preserve">The data for SY 2021-2022 reported in this APR is from 59 of the 60 schools with grades 9 – 12, many more schools and many more children. The slippage that occurred for students with disabilities on reading/English language arts assessments indicates that SWD were more greatly impacted by learning loss due to the pandemic than students without disabilities. </w:t>
      </w:r>
      <w:r w:rsidRPr="00781112">
        <w:rPr>
          <w:rFonts w:cs="Arial"/>
          <w:color w:val="000000" w:themeColor="text1"/>
          <w:szCs w:val="16"/>
        </w:rPr>
        <w:br/>
      </w:r>
      <w:r w:rsidRPr="00781112">
        <w:rPr>
          <w:rFonts w:cs="Arial"/>
          <w:color w:val="000000" w:themeColor="text1"/>
          <w:szCs w:val="16"/>
        </w:rPr>
        <w:br/>
        <w:t xml:space="preserve">The BIE data team has analyzed the data further and determined the number of students who scored “not proficient” at each school, both students with and without disabilities. These data will be shared with the school staff (principal and special education staff), the Education Resource Center (ERC) </w:t>
      </w:r>
      <w:r w:rsidRPr="00781112">
        <w:rPr>
          <w:rFonts w:cs="Arial"/>
          <w:color w:val="000000" w:themeColor="text1"/>
          <w:szCs w:val="16"/>
        </w:rPr>
        <w:lastRenderedPageBreak/>
        <w:t xml:space="preserve">staff, and Education Program Administrators. </w:t>
      </w:r>
      <w:r w:rsidRPr="00781112">
        <w:rPr>
          <w:rFonts w:cs="Arial"/>
          <w:color w:val="000000" w:themeColor="text1"/>
          <w:szCs w:val="16"/>
        </w:rPr>
        <w:br/>
      </w:r>
      <w:r w:rsidRPr="00781112">
        <w:rPr>
          <w:rFonts w:cs="Arial"/>
          <w:color w:val="000000" w:themeColor="text1"/>
          <w:szCs w:val="16"/>
        </w:rPr>
        <w:br/>
        <w:t xml:space="preserve">The BIE IDEA DPA staff also plans to work with school staff, the ERC staff and education program administers to strengthen the dissemination of information to schools regarding evidence-based practices to improve the assessment data. </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30794F49" w:rsidR="002A19C8" w:rsidRPr="00781112" w:rsidRDefault="00E81BA2" w:rsidP="002A19C8">
            <w:pPr>
              <w:jc w:val="center"/>
              <w:rPr>
                <w:rFonts w:cs="Arial"/>
                <w:color w:val="000000" w:themeColor="text1"/>
                <w:szCs w:val="16"/>
              </w:rPr>
            </w:pPr>
            <w:r>
              <w:rPr>
                <w:rFonts w:cs="Arial"/>
                <w:color w:val="000000" w:themeColor="text1"/>
                <w:szCs w:val="16"/>
              </w:rPr>
              <w:t>x</w:t>
            </w:r>
            <w:bookmarkStart w:id="26" w:name="_Ref141161546"/>
            <w:r>
              <w:rPr>
                <w:rStyle w:val="FootnoteReference"/>
                <w:rFonts w:cs="Arial"/>
                <w:color w:val="000000" w:themeColor="text1"/>
                <w:szCs w:val="16"/>
              </w:rPr>
              <w:footnoteReference w:id="12"/>
            </w:r>
            <w:bookmarkEnd w:id="26"/>
          </w:p>
        </w:tc>
        <w:tc>
          <w:tcPr>
            <w:tcW w:w="834" w:type="pct"/>
            <w:shd w:val="clear" w:color="auto" w:fill="auto"/>
            <w:vAlign w:val="center"/>
          </w:tcPr>
          <w:p w14:paraId="361835CD" w14:textId="5C0AD8B2" w:rsidR="002A19C8" w:rsidRPr="00781112" w:rsidRDefault="00E81BA2"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_Ref141161546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10</w:t>
            </w:r>
            <w:r>
              <w:rPr>
                <w:rFonts w:cs="Arial"/>
                <w:color w:val="000000" w:themeColor="text1"/>
                <w:szCs w:val="16"/>
              </w:rPr>
              <w:fldChar w:fldCharType="end"/>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0.91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0.88</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2.75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1.43%</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6.57%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2.28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2.22</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5.14</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48CAD974" w:rsidR="002A19C8" w:rsidRPr="00781112" w:rsidRDefault="00E81BA2"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_Ref141161546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10</w:t>
            </w:r>
            <w:r>
              <w:rPr>
                <w:rFonts w:cs="Arial"/>
                <w:color w:val="000000" w:themeColor="text1"/>
                <w:szCs w:val="16"/>
              </w:rPr>
              <w:fldChar w:fldCharType="end"/>
            </w:r>
          </w:p>
        </w:tc>
        <w:tc>
          <w:tcPr>
            <w:tcW w:w="834" w:type="pct"/>
            <w:shd w:val="clear" w:color="auto" w:fill="auto"/>
            <w:vAlign w:val="center"/>
          </w:tcPr>
          <w:p w14:paraId="13AB3928" w14:textId="3FDCBC36" w:rsidR="002A19C8" w:rsidRPr="00781112" w:rsidRDefault="00E81BA2"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_Ref141161546 \f \h </w:instrText>
            </w:r>
            <w:r>
              <w:rPr>
                <w:rFonts w:cs="Arial"/>
                <w:color w:val="000000" w:themeColor="text1"/>
                <w:szCs w:val="16"/>
              </w:rPr>
            </w:r>
            <w:r>
              <w:rPr>
                <w:rFonts w:cs="Arial"/>
                <w:color w:val="000000" w:themeColor="text1"/>
                <w:szCs w:val="16"/>
              </w:rPr>
              <w:fldChar w:fldCharType="separate"/>
            </w:r>
            <w:r w:rsidR="009F3480" w:rsidRPr="009F3480">
              <w:rPr>
                <w:rStyle w:val="FootnoteReference"/>
              </w:rPr>
              <w:t>10</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3.28</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3.20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BIE saw slippage in the data reported in indicator 3D math, the gap between 4th grade students with disabilities and all 4th grade students for SY 2021-2022.  In the FFY 2020 APR, the BIE reported a gap of .91% between 4th grade SWD and all 4th grade students. The BIE is reporting a gap of 2.75% in the FFY21 APR, an increase of 1.84%. Most children experienced poor proficiency on the SY 2021-2022 assessments, likely due to pandemic related learning loss. </w:t>
      </w:r>
      <w:r w:rsidRPr="00781112">
        <w:rPr>
          <w:rFonts w:cs="Arial"/>
          <w:color w:val="000000" w:themeColor="text1"/>
          <w:szCs w:val="16"/>
        </w:rPr>
        <w:br/>
      </w:r>
      <w:r w:rsidRPr="00781112">
        <w:rPr>
          <w:rFonts w:cs="Arial"/>
          <w:color w:val="000000" w:themeColor="text1"/>
          <w:szCs w:val="16"/>
        </w:rPr>
        <w:br/>
        <w:t xml:space="preserve">Also, in the FFY 2020 APR, data for SY 2020-2021 the BIE reported assessment data for only about 1/3 of the BIE’s 174 schools. The schools that did not test and therefore did not report data that year were still experiencing pandemic related school closures and had a waiver allowing them to not administer assessments in the 2020-2021 school year. </w:t>
      </w:r>
      <w:r w:rsidRPr="00781112">
        <w:rPr>
          <w:rFonts w:cs="Arial"/>
          <w:color w:val="000000" w:themeColor="text1"/>
          <w:szCs w:val="16"/>
        </w:rPr>
        <w:br/>
      </w:r>
      <w:r w:rsidRPr="00781112">
        <w:rPr>
          <w:rFonts w:cs="Arial"/>
          <w:color w:val="000000" w:themeColor="text1"/>
          <w:szCs w:val="16"/>
        </w:rPr>
        <w:br/>
        <w:t xml:space="preserve">The data for SY 2021-2022 reported in this APR is from 172 of the 174 schools, many more schools and many more children. Slippage that occurred for students with disabilities for both reading/language arts and math assessments indicates that SWD were more greatly impacted by learning loss due to the pandemic than students without disabilities. </w:t>
      </w:r>
      <w:r w:rsidRPr="00781112">
        <w:rPr>
          <w:rFonts w:cs="Arial"/>
          <w:color w:val="000000" w:themeColor="text1"/>
          <w:szCs w:val="16"/>
        </w:rPr>
        <w:br/>
      </w:r>
      <w:r w:rsidRPr="00781112">
        <w:rPr>
          <w:rFonts w:cs="Arial"/>
          <w:color w:val="000000" w:themeColor="text1"/>
          <w:szCs w:val="16"/>
        </w:rPr>
        <w:br/>
        <w:t xml:space="preserve">The BIE data team has analyzed the data further and determined the number of students who scored “not proficient” at each school, both students with and without disabilities. These data will be shared with the school staff (principal and special education staff), the Education Resource Center (ERC) staff, and Education Program Administrators. </w:t>
      </w:r>
      <w:r w:rsidRPr="00781112">
        <w:rPr>
          <w:rFonts w:cs="Arial"/>
          <w:color w:val="000000" w:themeColor="text1"/>
          <w:szCs w:val="16"/>
        </w:rPr>
        <w:br/>
      </w:r>
      <w:r w:rsidRPr="00781112">
        <w:rPr>
          <w:rFonts w:cs="Arial"/>
          <w:color w:val="000000" w:themeColor="text1"/>
          <w:szCs w:val="16"/>
        </w:rPr>
        <w:br/>
        <w:t xml:space="preserve">The BIE IDEA DPA staff also plans to work with school staff, the ERC staff and education program administers to strengthen the dissemination of information to schools regarding evidence-based practices to improve the assessment data. </w:t>
      </w:r>
    </w:p>
    <w:p w14:paraId="4067963A"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60FB05E9" w14:textId="1D3AC0FD" w:rsidR="00DD5B7A" w:rsidRPr="00781112" w:rsidRDefault="00DD5B7A" w:rsidP="00DD5B7A">
      <w:pPr>
        <w:rPr>
          <w:rFonts w:cs="Arial"/>
          <w:color w:val="000000" w:themeColor="text1"/>
          <w:szCs w:val="16"/>
        </w:rPr>
      </w:pPr>
      <w:r w:rsidRPr="00781112">
        <w:rPr>
          <w:rFonts w:cs="Arial"/>
          <w:color w:val="000000" w:themeColor="text1"/>
          <w:szCs w:val="16"/>
        </w:rPr>
        <w:t xml:space="preserve">The BIE saw slippage in the data reported in indicator 3D math, the gap between 8th grade students with disabilities and all 8th grade students for SY 2021-2022.  In the FFY 2020 APR, the BIE reported a gap of 2.28% between 8th grade SWD and all 8th grade students. The BIE is reporting a gap of 5.14% in the FFY 2021 APR, an increase of 2.86%. Most children experienced poor proficiency, likely due to pandemic related learning loss. </w:t>
      </w:r>
      <w:r w:rsidRPr="00781112">
        <w:rPr>
          <w:rFonts w:cs="Arial"/>
          <w:color w:val="000000" w:themeColor="text1"/>
          <w:szCs w:val="16"/>
        </w:rPr>
        <w:br/>
      </w:r>
      <w:r w:rsidRPr="00781112">
        <w:rPr>
          <w:rFonts w:cs="Arial"/>
          <w:color w:val="000000" w:themeColor="text1"/>
          <w:szCs w:val="16"/>
        </w:rPr>
        <w:br/>
        <w:t xml:space="preserve">Also, in the FFY 2020 APR, data for SY2020-2021 the BIE reported assessment data for only about 1/3 of the BIE’s 174 schools. The schools that did not test and therefore did not report data that year were still experiencing pandemic related school closures and had a waiver allowing them to not administer assessments in the 2020-2021 school year.  </w:t>
      </w:r>
      <w:r w:rsidRPr="00781112">
        <w:rPr>
          <w:rFonts w:cs="Arial"/>
          <w:color w:val="000000" w:themeColor="text1"/>
          <w:szCs w:val="16"/>
        </w:rPr>
        <w:br/>
      </w:r>
      <w:r w:rsidRPr="00781112">
        <w:rPr>
          <w:rFonts w:cs="Arial"/>
          <w:color w:val="000000" w:themeColor="text1"/>
          <w:szCs w:val="16"/>
        </w:rPr>
        <w:br/>
        <w:t>The data for SY 2021-2022 reported in this APR is from 172 of the 174 schools, many more schools and many more children. Slippage that occurred for students with disabilities for both reading/language arts and math assessments indicates that SWD were more greatly impacted by learning loss due to the pandemic than students without disabilities.</w:t>
      </w:r>
      <w:r w:rsidRPr="00781112">
        <w:rPr>
          <w:rFonts w:cs="Arial"/>
          <w:color w:val="000000" w:themeColor="text1"/>
          <w:szCs w:val="16"/>
        </w:rPr>
        <w:br/>
      </w:r>
      <w:r w:rsidRPr="00781112">
        <w:rPr>
          <w:rFonts w:cs="Arial"/>
          <w:color w:val="000000" w:themeColor="text1"/>
          <w:szCs w:val="16"/>
        </w:rPr>
        <w:br/>
        <w:t xml:space="preserve">The BIE data team has analyzed the data further and determined the number of students who scored “not proficient” at each school, both students with and without disabilities. These data will be shared with the school staff (principal and special education staff), the Education Resource Center (ERC) staff, and Education Program Administrators. </w:t>
      </w:r>
      <w:r w:rsidRPr="00781112">
        <w:rPr>
          <w:rFonts w:cs="Arial"/>
          <w:color w:val="000000" w:themeColor="text1"/>
          <w:szCs w:val="16"/>
        </w:rPr>
        <w:br/>
      </w:r>
      <w:r w:rsidRPr="00781112">
        <w:rPr>
          <w:rFonts w:cs="Arial"/>
          <w:color w:val="000000" w:themeColor="text1"/>
          <w:szCs w:val="16"/>
        </w:rPr>
        <w:br/>
        <w:t xml:space="preserve">The BIE IDEA DPA staff also plans to work with school staff, the ERC staff and education program administers to strengthen the dissemination of information to schools regarding evidence-based practices to improve the assessment data. </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 xml:space="preserve">OSEP notes that, because this is a new indicator, the BIE was required to establish a baseline for this indicator. The BIE has established the baseline for this indicator, using data from FFY 2020, and OSEP accepts the baselines for Grades 4 and 8 Math.  OSEP cannot accept the baselines for Grades 4, </w:t>
      </w:r>
      <w:r w:rsidRPr="00781112">
        <w:rPr>
          <w:rFonts w:cs="Arial"/>
          <w:color w:val="000000" w:themeColor="text1"/>
          <w:szCs w:val="16"/>
        </w:rPr>
        <w:lastRenderedPageBreak/>
        <w:t>8, and HS Reading and HS Math because the FFY 2020 baseline information provided in the Historical Table does not match the FFY 2020 data provided. In the FFY 2021 SPP/APR, the BIE must establish a baseline with accurate data.</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BIE has revised the baselines for this indicator for Reading Grades 4, 8, HS, and Math HS, using data from FFY 2020, and OSEP accepts those revised baselines.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BIE provided targets for FFYs 2021 through 2025 for this indicator, and OSEP accepts the targets.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7" w:name="_Toc384383331"/>
      <w:bookmarkStart w:id="2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9" w:name="_Toc384383332"/>
      <w:bookmarkStart w:id="30" w:name="_Toc392159284"/>
      <w:bookmarkEnd w:id="27"/>
      <w:bookmarkEnd w:id="2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7.69%</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4.92%</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4.50%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4.00%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7.69%</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8.47%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13.27%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3.17%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5.22%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7.69%</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7.35%</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7.01%</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6.67%</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6.33%</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6.00%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9"/>
    <w:bookmarkEnd w:id="30"/>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174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7.69%</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7.35%</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BIE continues to use the rate ratio to compare a district-level suspension/expulsion rate for children with disabilities to the same district’s suspension/expulsion rate for children without disabilities.</w:t>
      </w:r>
      <w:r w:rsidRPr="00781112">
        <w:rPr>
          <w:rFonts w:cs="Arial"/>
          <w:color w:val="000000" w:themeColor="text1"/>
          <w:szCs w:val="16"/>
        </w:rPr>
        <w:br/>
      </w:r>
      <w:r w:rsidRPr="00781112">
        <w:rPr>
          <w:rFonts w:cs="Arial"/>
          <w:color w:val="000000" w:themeColor="text1"/>
          <w:szCs w:val="16"/>
        </w:rPr>
        <w:br/>
        <w:t>A school will have significant discrepancy when its suspension/expulsion rate for children with disabilities is 3 times more than its suspension/expulsion rate for children without disabilities (a rate ratio of 3.00 or more).</w:t>
      </w:r>
      <w:r w:rsidRPr="00781112">
        <w:rPr>
          <w:rFonts w:cs="Arial"/>
          <w:color w:val="000000" w:themeColor="text1"/>
          <w:szCs w:val="16"/>
        </w:rPr>
        <w:br/>
      </w:r>
      <w:r w:rsidRPr="00781112">
        <w:rPr>
          <w:rFonts w:cs="Arial"/>
          <w:color w:val="000000" w:themeColor="text1"/>
          <w:szCs w:val="16"/>
        </w:rPr>
        <w:br/>
        <w:t xml:space="preserve">Schools that did not report discipline resolutions for students with or without disabilities are not included in the calculation. Schools reporting discipline resolutions with an "n" size of 20 or fewer </w:t>
      </w:r>
      <w:r w:rsidRPr="00781112">
        <w:rPr>
          <w:rFonts w:cs="Arial"/>
          <w:color w:val="000000" w:themeColor="text1"/>
          <w:szCs w:val="16"/>
        </w:rPr>
        <w:br/>
      </w:r>
      <w:r w:rsidRPr="00781112">
        <w:rPr>
          <w:rFonts w:cs="Arial"/>
          <w:color w:val="000000" w:themeColor="text1"/>
          <w:szCs w:val="16"/>
        </w:rPr>
        <w:br/>
        <w:t>Schools that did not report discipline resolutions for students with or without disabilities are not included in the calculation. Schools reporting discipline resolutions with an "n" size of 20 or fewer students with disabilities are not included in the calculation of significant discrepancy. Rates of suspension and expulsion for schools with 20 or fewer with students with disabilities and schools not reporting any discipline resolutions will be reviewed during monitoring.</w:t>
      </w:r>
      <w:r w:rsidRPr="00781112">
        <w:rPr>
          <w:rFonts w:cs="Arial"/>
          <w:color w:val="000000" w:themeColor="text1"/>
          <w:szCs w:val="16"/>
        </w:rPr>
        <w:br/>
      </w:r>
      <w:r w:rsidRPr="00781112">
        <w:rPr>
          <w:rFonts w:cs="Arial"/>
          <w:color w:val="000000" w:themeColor="text1"/>
          <w:szCs w:val="16"/>
        </w:rPr>
        <w:br/>
        <w:t>BIE stakeholders have determined that LEAs in which only one student with a disability was suspended/expelled greater than ten days in a school year will not be considered to be a significant discrepancy.</w:t>
      </w:r>
    </w:p>
    <w:p w14:paraId="47F07052" w14:textId="77777777" w:rsidR="00BB504D" w:rsidRPr="00781112" w:rsidRDefault="00BB504D" w:rsidP="004369B2">
      <w:pPr>
        <w:rPr>
          <w:b/>
          <w:color w:val="000000" w:themeColor="text1"/>
        </w:rPr>
      </w:pPr>
      <w:bookmarkStart w:id="31" w:name="_Toc384383334"/>
      <w:bookmarkStart w:id="3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The BIE has determined that the cell size is two or more students. For SY 2020-2021, no students with disabilities were suspended for more than ten days. BIE hypothesizes this is due to limited in person learning. Therefore, all 174 BIE-funded schools are excluded. Please note that because of the number of LEAs that met minimum n/cell size is 0, the SPP/APR tool was not able to calculate the FFY 2021 data. The actual BIE FFY 2021 data for Indicator 4A is 0%. </w:t>
      </w:r>
    </w:p>
    <w:bookmarkEnd w:id="31"/>
    <w:bookmarkEnd w:id="32"/>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standard procedures are for BIE to review policies, procedures, and practices of BIE-funded schools identified with significant discrepancy </w:t>
      </w:r>
      <w:proofErr w:type="gramStart"/>
      <w:r w:rsidRPr="00781112">
        <w:rPr>
          <w:rFonts w:cs="Arial"/>
          <w:color w:val="000000" w:themeColor="text1"/>
          <w:szCs w:val="16"/>
        </w:rPr>
        <w:t>in a given year</w:t>
      </w:r>
      <w:proofErr w:type="gramEnd"/>
      <w:r w:rsidRPr="00781112">
        <w:rPr>
          <w:rFonts w:cs="Arial"/>
          <w:color w:val="000000" w:themeColor="text1"/>
          <w:szCs w:val="16"/>
        </w:rPr>
        <w:t xml:space="preserve">. No BIE-funded schools were identified with significant discrepancy in FFY 2021. </w:t>
      </w:r>
      <w:r w:rsidRPr="00781112">
        <w:rPr>
          <w:rFonts w:cs="Arial"/>
          <w:color w:val="000000" w:themeColor="text1"/>
          <w:szCs w:val="16"/>
        </w:rPr>
        <w:br/>
      </w:r>
      <w:r w:rsidRPr="00781112">
        <w:rPr>
          <w:rFonts w:cs="Arial"/>
          <w:color w:val="000000" w:themeColor="text1"/>
          <w:szCs w:val="16"/>
        </w:rPr>
        <w:lastRenderedPageBreak/>
        <w:br/>
        <w:t xml:space="preserve">These are the documents BIE reviews when BIE-funded schools are identified with significant discrepancy: </w:t>
      </w:r>
      <w:r w:rsidRPr="00781112">
        <w:rPr>
          <w:rFonts w:cs="Arial"/>
          <w:color w:val="000000" w:themeColor="text1"/>
          <w:szCs w:val="16"/>
        </w:rPr>
        <w:br/>
        <w:t xml:space="preserve">1. School policies, procedures, and practices relating to development and implementation of the IEPs Positive Behavior interventions and supports being implemented. </w:t>
      </w:r>
      <w:r w:rsidRPr="00781112">
        <w:rPr>
          <w:rFonts w:cs="Arial"/>
          <w:color w:val="000000" w:themeColor="text1"/>
          <w:szCs w:val="16"/>
        </w:rPr>
        <w:br/>
        <w:t>2. Procedural Safeguards documentation that is provided to the parents, and documented evidence of the school's file review for each student with a disability who was suspended for greater than 10 days.</w:t>
      </w:r>
      <w:r w:rsidRPr="00781112">
        <w:rPr>
          <w:rFonts w:cs="Arial"/>
          <w:color w:val="000000" w:themeColor="text1"/>
          <w:szCs w:val="16"/>
        </w:rPr>
        <w:br/>
      </w:r>
      <w:r w:rsidRPr="00781112">
        <w:rPr>
          <w:rFonts w:cs="Arial"/>
          <w:color w:val="000000" w:themeColor="text1"/>
          <w:szCs w:val="16"/>
        </w:rPr>
        <w:br/>
        <w:t>The BIE reviews the documents to determine if the school's policies, procedures, and practices are in compliance with regulatory requirements 34 CFR §300.530 and all of the procedural safeguard provisions in 34 CFR §§300.500-300.536. The BIE also examines documentation in the NASIS to ensure the school is correctly entering the data. Additional data is reviewed in NASIS to ensure that students are receiving FAPE when suspended beyond 10 days (BIE reviews the schools’ policies, procedures, and practices relating to the development and implementation of IEPs, the use of positive behavioral interventions and supports, and procedural safeguards to ensure compliance with the IDEA, as required by 34 CFR §300.170(b) for the schools identified with significant discrepancies in a given year).</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3" w:name="_Toc381956335"/>
      <w:bookmarkStart w:id="34" w:name="_Toc384383336"/>
      <w:bookmarkStart w:id="35"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In the FFY 2021 SPP/APR the BIE included none of the BIE-funded schools in its analysis of rates of suspension and expulsion of greater than 10 days in a school year for children with IEPs.  OSEP recognizes the BIE reported, " For SY 2020-2021, no students with disabilities were suspended for more than ten days. BIE hypothesizes this is due to limited in person learning. Therefore, all 174 BIE-funded schools are excluded." OSEP reminds the BIE that if the examination for significant discrepancies in the rates of suspensions and expulsions greater than 10 days in a school year for children with IEPs is not occurring in any meaningful way at the BIE-funded school level, OSEP may determine that a State/Entities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BIE must explain how its methodology is reasonably designed to determine if significant discrepancies are occurring in the rate of suspensions and expulsions of greater than 10 days in a school year for children with IEPs, including how the BIE-funded schools are being examined for significant discrepancy under the BIE's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3"/>
      <w:bookmarkEnd w:id="34"/>
      <w:bookmarkEnd w:id="35"/>
    </w:p>
    <w:p w14:paraId="1BA30D93" w14:textId="77777777" w:rsidR="008637F8" w:rsidRPr="00781112" w:rsidRDefault="008637F8" w:rsidP="00A018D4">
      <w:pPr>
        <w:rPr>
          <w:color w:val="000000" w:themeColor="text1"/>
          <w:szCs w:val="20"/>
        </w:rPr>
      </w:pPr>
      <w:bookmarkStart w:id="36" w:name="_Toc384383338"/>
      <w:bookmarkStart w:id="3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YES</w:t>
      </w:r>
    </w:p>
    <w:p w14:paraId="6C6C5D10" w14:textId="6125C860" w:rsidR="00421D14" w:rsidRPr="00781112" w:rsidRDefault="000A18ED" w:rsidP="004369B2">
      <w:pPr>
        <w:rPr>
          <w:b/>
          <w:color w:val="000000" w:themeColor="text1"/>
        </w:rPr>
      </w:pPr>
      <w:r w:rsidRPr="00781112">
        <w:rPr>
          <w:b/>
          <w:color w:val="000000" w:themeColor="text1"/>
        </w:rPr>
        <w:t xml:space="preserve">Provide an explanation of why it is not applicable below: </w:t>
      </w:r>
    </w:p>
    <w:p w14:paraId="2B7AEADC" w14:textId="18DA78FF" w:rsidR="00F85593" w:rsidRPr="00781112" w:rsidRDefault="00F85593" w:rsidP="004369B2">
      <w:pPr>
        <w:rPr>
          <w:color w:val="000000" w:themeColor="text1"/>
        </w:rPr>
      </w:pPr>
      <w:r w:rsidRPr="00781112">
        <w:rPr>
          <w:color w:val="000000" w:themeColor="text1"/>
        </w:rPr>
        <w:t>The BIE population is homogenous in terms of race and ethnicity. The population is 100% composed of American Indian/Alaska Native.</w:t>
      </w:r>
    </w:p>
    <w:bookmarkEnd w:id="36"/>
    <w:bookmarkEnd w:id="37"/>
    <w:p w14:paraId="7BCEF85B" w14:textId="62F9E93D" w:rsidR="004E2151" w:rsidRPr="00781112" w:rsidRDefault="00D11730" w:rsidP="008645AD">
      <w:pPr>
        <w:pStyle w:val="Heading2"/>
      </w:pPr>
      <w:r w:rsidRPr="00781112">
        <w:lastRenderedPageBreak/>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p>
    <w:p w14:paraId="52AD89A1" w14:textId="77777777" w:rsidR="00775845" w:rsidRPr="00781112" w:rsidRDefault="00775845" w:rsidP="00A018D4">
      <w:pPr>
        <w:rPr>
          <w:color w:val="000000" w:themeColor="text1"/>
          <w:szCs w:val="20"/>
        </w:rPr>
      </w:pPr>
      <w:bookmarkStart w:id="3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proofErr w:type="gramStart"/>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w:t>
      </w:r>
      <w:proofErr w:type="gramEnd"/>
      <w:r w:rsidR="001F6A28" w:rsidRPr="00781112">
        <w:rPr>
          <w:rFonts w:cs="Arial"/>
          <w:color w:val="000000" w:themeColor="text1"/>
          <w:szCs w:val="16"/>
          <w:shd w:val="clear" w:color="auto" w:fill="FFFFFF"/>
        </w:rPr>
        <w:t xml:space="preserve">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are enrolled in kindergarten in this indicator. Five-year-old children with disabilities who are enrolled in preschool programs are included in Indicator </w:t>
      </w:r>
      <w:proofErr w:type="gramStart"/>
      <w:r w:rsidRPr="00781112">
        <w:rPr>
          <w:rFonts w:cs="Arial"/>
          <w:szCs w:val="16"/>
        </w:rPr>
        <w:t>6.</w:t>
      </w:r>
      <w:r w:rsidR="001F6A28" w:rsidRPr="00781112">
        <w:rPr>
          <w:rFonts w:cs="Arial"/>
          <w:color w:val="000000" w:themeColor="text1"/>
          <w:szCs w:val="16"/>
        </w:rPr>
        <w:t>Describe</w:t>
      </w:r>
      <w:proofErr w:type="gramEnd"/>
      <w:r w:rsidR="001F6A28" w:rsidRPr="00781112">
        <w:rPr>
          <w:rFonts w:cs="Arial"/>
          <w:color w:val="000000" w:themeColor="text1"/>
          <w:szCs w:val="16"/>
        </w:rPr>
        <w:t xml:space="preserv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77.31%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77.31%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74.35%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72.86%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80.81%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77.31%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5.51%</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5.80%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5.51%</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0.90%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1.32%</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0.55%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0.54%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1.32%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77.85%</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78.39%</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78.92%</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79.46%</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80.00%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5.41%</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5.31%</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5.21%</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5.10%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5.00%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1.15%</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0.99%</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0.83%</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0.66%</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0.50%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5,484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4,282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300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55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4,282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5,484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77.31%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77.85%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78.08%</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300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5,484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5.51%</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5.41%</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5.47%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5,484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1.32%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1.15%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63E8B575" w14:textId="1616BB18" w:rsidR="003C308E" w:rsidRPr="002F48B8" w:rsidRDefault="007B5383" w:rsidP="002F48B8">
      <w:pPr>
        <w:pStyle w:val="Heading2"/>
      </w:pPr>
      <w:r w:rsidRPr="00781112">
        <w:t>5 - OSEP Response</w:t>
      </w:r>
    </w:p>
    <w:p w14:paraId="66CCD9C9" w14:textId="435D8999" w:rsidR="006C575D" w:rsidRPr="00781112" w:rsidRDefault="007B5383" w:rsidP="008645AD">
      <w:pPr>
        <w:pStyle w:val="Heading2"/>
      </w:pPr>
      <w:r w:rsidRPr="00781112">
        <w:t>5 - Required Actions</w:t>
      </w: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YES</w:t>
      </w:r>
    </w:p>
    <w:p w14:paraId="0D6377A2" w14:textId="28D112D5" w:rsidR="00846055" w:rsidRPr="00781112" w:rsidRDefault="00846055" w:rsidP="00846055">
      <w:pPr>
        <w:rPr>
          <w:b/>
          <w:color w:val="000000" w:themeColor="text1"/>
        </w:rPr>
      </w:pPr>
      <w:r w:rsidRPr="00781112">
        <w:rPr>
          <w:b/>
          <w:color w:val="000000" w:themeColor="text1"/>
        </w:rPr>
        <w:t>Provide an explanation of why it is not applicable below.</w:t>
      </w:r>
    </w:p>
    <w:p w14:paraId="56E81EC7" w14:textId="297EB841" w:rsidR="00043AC9" w:rsidRPr="00781112" w:rsidRDefault="00043AC9" w:rsidP="004369B2">
      <w:pPr>
        <w:rPr>
          <w:color w:val="000000" w:themeColor="text1"/>
        </w:rPr>
      </w:pPr>
      <w:r w:rsidRPr="00781112">
        <w:rPr>
          <w:color w:val="000000" w:themeColor="text1"/>
        </w:rPr>
        <w:t>The indicator is not applicable to the BIE because BIE schools do not serve students less than 5 years of age.</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OSEP notes that this indicator is not applicable.</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p>
    <w:p w14:paraId="1404DCF9" w14:textId="77777777" w:rsidR="00531E54" w:rsidRPr="00781112" w:rsidRDefault="00531E54" w:rsidP="00A018D4">
      <w:pPr>
        <w:rPr>
          <w:color w:val="000000" w:themeColor="text1"/>
          <w:szCs w:val="20"/>
        </w:rPr>
      </w:pPr>
      <w:bookmarkStart w:id="40"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021588FC" w14:textId="36D11306" w:rsidR="002F48B8"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0"/>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YES</w:t>
      </w:r>
    </w:p>
    <w:p w14:paraId="3281965C" w14:textId="297F0888" w:rsidR="00043AC9" w:rsidRPr="00781112" w:rsidRDefault="006359CF" w:rsidP="004369B2">
      <w:pPr>
        <w:rPr>
          <w:b/>
          <w:color w:val="000000" w:themeColor="text1"/>
        </w:rPr>
      </w:pPr>
      <w:r w:rsidRPr="00781112">
        <w:rPr>
          <w:b/>
          <w:color w:val="000000" w:themeColor="text1"/>
        </w:rPr>
        <w:t xml:space="preserve">Provide an explanation of why it is not applicable below. </w:t>
      </w:r>
    </w:p>
    <w:p w14:paraId="307225C2" w14:textId="55BB1F9D" w:rsidR="00043AC9" w:rsidRPr="00781112" w:rsidRDefault="00043AC9" w:rsidP="004369B2">
      <w:pPr>
        <w:rPr>
          <w:color w:val="000000" w:themeColor="text1"/>
        </w:rPr>
      </w:pPr>
      <w:r w:rsidRPr="00781112">
        <w:rPr>
          <w:color w:val="000000" w:themeColor="text1"/>
        </w:rPr>
        <w:t>This indicator does not apply to the BIE because BIE does not serve students younger than five years of age.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lastRenderedPageBreak/>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OSEP notes that this indicator is not applicable.</w:t>
      </w: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p>
    <w:p w14:paraId="66FBCA03" w14:textId="77777777" w:rsidR="00B654C1" w:rsidRPr="00781112" w:rsidRDefault="00B654C1" w:rsidP="00A018D4">
      <w:pPr>
        <w:rPr>
          <w:color w:val="000000" w:themeColor="text1"/>
          <w:szCs w:val="20"/>
        </w:rPr>
      </w:pPr>
      <w:bookmarkStart w:id="41"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2"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2"/>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1"/>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br/>
        <w:t xml:space="preserve">The BIE implemented a new special education parent survey in SY 2021-2022 and therefore, had to set new targets. The BIE convened a stakeholder group on November 30, </w:t>
      </w:r>
      <w:proofErr w:type="gramStart"/>
      <w:r w:rsidRPr="00781112">
        <w:rPr>
          <w:rFonts w:cs="Arial"/>
          <w:color w:val="000000" w:themeColor="text1"/>
          <w:szCs w:val="16"/>
        </w:rPr>
        <w:t>2022</w:t>
      </w:r>
      <w:proofErr w:type="gramEnd"/>
      <w:r w:rsidRPr="00781112">
        <w:rPr>
          <w:rFonts w:cs="Arial"/>
          <w:color w:val="000000" w:themeColor="text1"/>
          <w:szCs w:val="16"/>
        </w:rPr>
        <w:t xml:space="preserve"> and presented the data and proposed targets. The stakeholder group consisted of BIA Advisory Board for Exceptional Children members, staff from BIE-funded schools and other departments within the BIE. The Supervisory Education Specialist contacted parents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reached out to schools to invite parents to attend the meeting. However, no parents were able to attend. The stakeholders asked very good questions about the data, how the data were collected, what schools had good participation, which schools did not participate, and asked to see the new special education parent survey. Therefore, the group did not </w:t>
      </w:r>
      <w:proofErr w:type="gramStart"/>
      <w:r w:rsidRPr="00781112">
        <w:rPr>
          <w:rFonts w:cs="Arial"/>
          <w:color w:val="000000" w:themeColor="text1"/>
          <w:szCs w:val="16"/>
        </w:rPr>
        <w:t>make a decision</w:t>
      </w:r>
      <w:proofErr w:type="gramEnd"/>
      <w:r w:rsidRPr="00781112">
        <w:rPr>
          <w:rFonts w:cs="Arial"/>
          <w:color w:val="000000" w:themeColor="text1"/>
          <w:szCs w:val="16"/>
        </w:rPr>
        <w:t xml:space="preserve"> on new targets. The BIE re-convened the stakeholder meeting on December 15, 2022, and presented the data and proposed targets again, answered the questions, and shared the survey. At the second meeting, targets were selected. Also, the group had a very good discussion about how to get the schools to increase parent participation in the survey. The Supervisory Education Specialist shared the strategies they had already implemented to improve participation and the stakeholders suggested additional strategies.</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2021</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93.61%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48.00%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49.00%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47.27%</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45.97%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48.99%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47.90%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48.23%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44.76%</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93.61%</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93.87%</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94.12%</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94.37%</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94.62%</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1,493</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1,595</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44.76%</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93.61%</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93.61%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Not Applicable. The BIE only reports on children 4 years to 21 years (kindergarten to twelfth grade).</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5,464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29.19%</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3"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20.91%</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29.19%</w:t>
            </w:r>
          </w:p>
        </w:tc>
      </w:tr>
      <w:bookmarkEnd w:id="43"/>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The response rate was impacted by COVID-19. So, we expect when the pandemic subsides and students return to in-person learning, the response rates will return to a higher rate. Eighty-eight BIE-funded schools did not submit any surveys for FFY 2021. During the reporting period, BIE-funded schools experienced additional closures due to COVID-19, infrastructure challenges (</w:t>
      </w:r>
      <w:proofErr w:type="gramStart"/>
      <w:r w:rsidRPr="0061205F">
        <w:rPr>
          <w:rFonts w:cs="Arial"/>
          <w:bCs/>
          <w:color w:val="000000" w:themeColor="text1"/>
          <w:szCs w:val="16"/>
        </w:rPr>
        <w:t>e.g.</w:t>
      </w:r>
      <w:proofErr w:type="gramEnd"/>
      <w:r w:rsidRPr="0061205F">
        <w:rPr>
          <w:rFonts w:cs="Arial"/>
          <w:bCs/>
          <w:color w:val="000000" w:themeColor="text1"/>
          <w:szCs w:val="16"/>
        </w:rPr>
        <w:t xml:space="preserve"> electricity, heating, running water) and environmental factors (e.g. uranium).</w:t>
      </w:r>
      <w:r w:rsidRPr="0061205F">
        <w:rPr>
          <w:rFonts w:cs="Arial"/>
          <w:bCs/>
          <w:color w:val="000000" w:themeColor="text1"/>
          <w:szCs w:val="16"/>
        </w:rPr>
        <w:br/>
      </w:r>
      <w:r w:rsidRPr="0061205F">
        <w:rPr>
          <w:rFonts w:cs="Arial"/>
          <w:bCs/>
          <w:color w:val="000000" w:themeColor="text1"/>
          <w:szCs w:val="16"/>
        </w:rPr>
        <w:br/>
        <w:t>The following are strategies to increase the response rate:</w:t>
      </w:r>
      <w:r w:rsidRPr="0061205F">
        <w:rPr>
          <w:rFonts w:cs="Arial"/>
          <w:bCs/>
          <w:color w:val="000000" w:themeColor="text1"/>
          <w:szCs w:val="16"/>
        </w:rPr>
        <w:br/>
      </w:r>
      <w:r w:rsidRPr="0061205F">
        <w:rPr>
          <w:rFonts w:cs="Arial"/>
          <w:bCs/>
          <w:color w:val="000000" w:themeColor="text1"/>
          <w:szCs w:val="16"/>
        </w:rPr>
        <w:br/>
        <w:t>1. BIE will continue to offer multiple modes for parents to complete the survey including paper and online formats.</w:t>
      </w:r>
      <w:r w:rsidRPr="0061205F">
        <w:rPr>
          <w:rFonts w:cs="Arial"/>
          <w:bCs/>
          <w:color w:val="000000" w:themeColor="text1"/>
          <w:szCs w:val="16"/>
        </w:rPr>
        <w:br/>
        <w:t xml:space="preserve">2. BIE will request that each BIE-funded schoolwork with the parents of students with disabilities to provide access to, and completion of, the paper version of the survey or online. </w:t>
      </w:r>
      <w:r w:rsidRPr="0061205F">
        <w:rPr>
          <w:rFonts w:cs="Arial"/>
          <w:bCs/>
          <w:color w:val="000000" w:themeColor="text1"/>
          <w:szCs w:val="16"/>
        </w:rPr>
        <w:br/>
        <w:t xml:space="preserve">3. Spoken language interpreters will be available to orally interpret any part or </w:t>
      </w:r>
      <w:proofErr w:type="gramStart"/>
      <w:r w:rsidRPr="0061205F">
        <w:rPr>
          <w:rFonts w:cs="Arial"/>
          <w:bCs/>
          <w:color w:val="000000" w:themeColor="text1"/>
          <w:szCs w:val="16"/>
        </w:rPr>
        <w:t>all of</w:t>
      </w:r>
      <w:proofErr w:type="gramEnd"/>
      <w:r w:rsidRPr="0061205F">
        <w:rPr>
          <w:rFonts w:cs="Arial"/>
          <w:bCs/>
          <w:color w:val="000000" w:themeColor="text1"/>
          <w:szCs w:val="16"/>
        </w:rPr>
        <w:t xml:space="preserve"> the survey in a language the parents understand for both paper and online version of surveys. </w:t>
      </w:r>
      <w:r w:rsidRPr="0061205F">
        <w:rPr>
          <w:rFonts w:cs="Arial"/>
          <w:bCs/>
          <w:color w:val="000000" w:themeColor="text1"/>
          <w:szCs w:val="16"/>
        </w:rPr>
        <w:br/>
        <w:t>4. BIE-funded schools will continue to address improvement activities and evaluate these activities through the BIE’s Local School Performance Plan, including Indicator 8.</w:t>
      </w:r>
      <w:r w:rsidRPr="0061205F">
        <w:rPr>
          <w:rFonts w:cs="Arial"/>
          <w:bCs/>
          <w:color w:val="000000" w:themeColor="text1"/>
          <w:szCs w:val="16"/>
        </w:rPr>
        <w:br/>
        <w:t>5. BIE-DPA’s assigned special education specialists will provide targeted technical assistance webinars to their assigned schools and regions.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4" w:name="_Hlk81486999"/>
      <w:r w:rsidRPr="0061205F">
        <w:rPr>
          <w:rFonts w:cs="Arial"/>
          <w:b/>
          <w:color w:val="000000" w:themeColor="text1"/>
          <w:szCs w:val="16"/>
        </w:rPr>
        <w:t>of the response rate including any nonresponse bias that was identified,</w:t>
      </w:r>
      <w:bookmarkEnd w:id="44"/>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BIE examined the parent survey data by disability category and school type (Tribally Controlled or Bureau Operated Schools), and possible response bias was found. To determine this, BIE compared the proportion of responders to the target group in each demographic category using the +/- 3% discrepancy. All eligibility categories </w:t>
      </w:r>
      <w:proofErr w:type="gramStart"/>
      <w:r>
        <w:rPr>
          <w:rFonts w:cs="Arial"/>
          <w:szCs w:val="16"/>
        </w:rPr>
        <w:t>with the exception of</w:t>
      </w:r>
      <w:proofErr w:type="gramEnd"/>
      <w:r>
        <w:rPr>
          <w:rFonts w:cs="Arial"/>
          <w:szCs w:val="16"/>
        </w:rPr>
        <w:t xml:space="preserve"> specific learning disability and developmental delay were within +/- 3% discrepancy in the proportion of responders compared to the target group; both specific learning disability (3.4%) and developmental delay (4.15%) were underrepresented. Additionally, 10.34% of respondents did not indicate the child’s disability category. 29.9% of BIE’s schools are Bureau-Operated Schools and 70.1% are Tribally Controlled; 39.8% of the surveys received were from Bureau-Operated schools while 60.2% were from Tribally Controlled Schools indicating a </w:t>
      </w:r>
      <w:r>
        <w:rPr>
          <w:rFonts w:cs="Arial"/>
          <w:szCs w:val="16"/>
        </w:rPr>
        <w:lastRenderedPageBreak/>
        <w:t>+/-10% over/under representation. Eighty-eight BIE-funded schools did not submit any surveys for FFY 2021.</w:t>
      </w:r>
      <w:r>
        <w:rPr>
          <w:rFonts w:cs="Arial"/>
          <w:szCs w:val="16"/>
        </w:rPr>
        <w:br/>
      </w:r>
      <w:r>
        <w:rPr>
          <w:rFonts w:cs="Arial"/>
          <w:szCs w:val="16"/>
        </w:rPr>
        <w:br/>
        <w:t>Steps taken to reduce bias and promote responses from a broad cross section of parent of children with disabilities:</w:t>
      </w:r>
      <w:r>
        <w:rPr>
          <w:rFonts w:cs="Arial"/>
          <w:szCs w:val="16"/>
        </w:rPr>
        <w:br/>
        <w:t xml:space="preserve">• BIE provided paper and online options for parents to complete the survey. </w:t>
      </w:r>
      <w:r>
        <w:rPr>
          <w:rFonts w:cs="Arial"/>
          <w:szCs w:val="16"/>
        </w:rPr>
        <w:br/>
        <w:t xml:space="preserve">• Spoken language interpreters were available to orally interpret any part or </w:t>
      </w:r>
      <w:proofErr w:type="gramStart"/>
      <w:r>
        <w:rPr>
          <w:rFonts w:cs="Arial"/>
          <w:szCs w:val="16"/>
        </w:rPr>
        <w:t>all of</w:t>
      </w:r>
      <w:proofErr w:type="gramEnd"/>
      <w:r>
        <w:rPr>
          <w:rFonts w:cs="Arial"/>
          <w:szCs w:val="16"/>
        </w:rPr>
        <w:t xml:space="preserve"> the survey in a language the parents understand for both paper and online version of surveys. </w:t>
      </w:r>
      <w:r>
        <w:rPr>
          <w:rFonts w:cs="Arial"/>
          <w:szCs w:val="16"/>
        </w:rPr>
        <w:br/>
        <w:t xml:space="preserve">• BIE-funded schools were required to develop activities to improve parent participation in the survey and evaluate these activities in their Local School Performance Plan. </w:t>
      </w:r>
      <w:r>
        <w:rPr>
          <w:rFonts w:cs="Arial"/>
          <w:szCs w:val="16"/>
        </w:rPr>
        <w:br/>
        <w:t>• BIE provided targeted support to Tribally Controlled Schools, the school type with under representation, through monthly TA calls to address special education topics and priorities, including improving parent engagement and survey response.</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5" w:name="_Hlk112070690"/>
      <w:bookmarkStart w:id="46"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5"/>
    <w:bookmarkEnd w:id="46"/>
    <w:p w14:paraId="513A1FE6" w14:textId="77777777" w:rsidR="00090132" w:rsidRDefault="00090132" w:rsidP="006F6351">
      <w:pPr>
        <w:rPr>
          <w:b/>
          <w:bCs/>
        </w:rPr>
      </w:pPr>
      <w:r w:rsidRPr="000A2B9F">
        <w:rPr>
          <w:bCs/>
          <w:color w:val="000000" w:themeColor="text1"/>
        </w:rPr>
        <w:t xml:space="preserve">All students enrolled in BIE-funded schools are American Indian/Alaska Native, making the respondents representative of the student demographics by race/ethnicity. BIE measured disability and school type (Bureau-Operated Schools and Tribally Controlled Schools) as demographics groups to measure the representativeness of the respondents. All eligibility categories </w:t>
      </w:r>
      <w:proofErr w:type="gramStart"/>
      <w:r w:rsidRPr="000A2B9F">
        <w:rPr>
          <w:bCs/>
          <w:color w:val="000000" w:themeColor="text1"/>
        </w:rPr>
        <w:t>with the exception of</w:t>
      </w:r>
      <w:proofErr w:type="gramEnd"/>
      <w:r w:rsidRPr="000A2B9F">
        <w:rPr>
          <w:bCs/>
          <w:color w:val="000000" w:themeColor="text1"/>
        </w:rPr>
        <w:t xml:space="preserve"> specific learning disability and developmental delay within +/- 3% discrepancy in the proportion of responders compared to the target group; both specific learning disability (3.4%) and developmental delay (4.15%) were underrepresented. Additionally, 10.34% of respondents did not indicate the child’s disability category. 29.9% of BIE’s schools are Bureau-Operated Schools and 70.1% are Tribally Controlled; 39.8% of the surveys received were from Bureau-Operated schools while 60.2% were from Tribally Controlled Schools indicating a +/-10% over/under representation.</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This information was provided in the initial letter that the DPA provided to school administrators, to utilize any available resources to assist parents in completing the parent survey. Schools may provide opportunities to assist parents with the completion of the survey in the following ways:</w:t>
      </w:r>
      <w:r w:rsidRPr="000A2B9F">
        <w:rPr>
          <w:b w:val="0"/>
          <w:bCs/>
          <w:color w:val="000000" w:themeColor="text1"/>
        </w:rPr>
        <w:br/>
      </w:r>
      <w:r w:rsidRPr="000A2B9F">
        <w:rPr>
          <w:b w:val="0"/>
          <w:bCs/>
          <w:color w:val="000000" w:themeColor="text1"/>
        </w:rPr>
        <w:br/>
        <w:t>· Share the electronic weblink (https://www.surveymonkey.com/r/BIEParentSurvey) with parents and guardians</w:t>
      </w:r>
      <w:r w:rsidRPr="000A2B9F">
        <w:rPr>
          <w:b w:val="0"/>
          <w:bCs/>
          <w:color w:val="000000" w:themeColor="text1"/>
        </w:rPr>
        <w:br/>
        <w:t>· Provide parents and guardians with a paper-copy version of the survey. School staff may assist the parents to complete the survey via a telephone call or virtual meeting.</w:t>
      </w:r>
      <w:r w:rsidRPr="000A2B9F">
        <w:rPr>
          <w:b w:val="0"/>
          <w:bCs/>
          <w:color w:val="000000" w:themeColor="text1"/>
        </w:rPr>
        <w:br/>
        <w:t>· During virtual conferences, schools can explain to parents and guardians the purpose of the survey and assist with completion of the survey.</w:t>
      </w:r>
      <w:r w:rsidRPr="000A2B9F">
        <w:rPr>
          <w:b w:val="0"/>
          <w:bCs/>
          <w:color w:val="000000" w:themeColor="text1"/>
        </w:rPr>
        <w:br/>
        <w:t>· Have interpreters available via phone call or virtual meeting to orally interpret any part or all of the survey in a language the parents understand.</w:t>
      </w:r>
      <w:r w:rsidRPr="000A2B9F">
        <w:rPr>
          <w:b w:val="0"/>
          <w:bCs/>
          <w:color w:val="000000" w:themeColor="text1"/>
        </w:rPr>
        <w:br/>
        <w:t>· When scheduling virtual IEP meetings, ask parents ahead of time if they could spend extra time after the meeting to complete the parent survey.</w:t>
      </w:r>
      <w:r w:rsidRPr="000A2B9F">
        <w:rPr>
          <w:b w:val="0"/>
          <w:bCs/>
          <w:color w:val="000000" w:themeColor="text1"/>
        </w:rPr>
        <w:br/>
        <w:t>· Make all school staff aware of the survey and the importance to the school in the timely completion of the parent survey by parents and guardians.</w:t>
      </w:r>
      <w:r w:rsidRPr="000A2B9F">
        <w:rPr>
          <w:b w:val="0"/>
          <w:bCs/>
          <w:color w:val="000000" w:themeColor="text1"/>
        </w:rPr>
        <w:br/>
        <w:t>· Parents can be contacted through a telephone contact, virtual meeting, or by U.S. Postal Mail.</w:t>
      </w:r>
      <w:r w:rsidRPr="000A2B9F">
        <w:rPr>
          <w:b w:val="0"/>
          <w:bCs/>
          <w:color w:val="000000" w:themeColor="text1"/>
        </w:rPr>
        <w:br/>
      </w:r>
      <w:r w:rsidRPr="000A2B9F">
        <w:rPr>
          <w:b w:val="0"/>
          <w:bCs/>
          <w:color w:val="000000" w:themeColor="text1"/>
        </w:rPr>
        <w:br/>
        <w:t>Stakeholder’s input has provided strategies to improve this process. BIE will ensure that the response data are representative of the demographics through these strategies:</w:t>
      </w:r>
      <w:r w:rsidRPr="000A2B9F">
        <w:rPr>
          <w:b w:val="0"/>
          <w:bCs/>
          <w:color w:val="000000" w:themeColor="text1"/>
        </w:rPr>
        <w:br/>
        <w:t>· Offer more professional development for schools on facilitating parent involvement for parents of Native children.</w:t>
      </w:r>
      <w:r w:rsidRPr="000A2B9F">
        <w:rPr>
          <w:b w:val="0"/>
          <w:bCs/>
          <w:color w:val="000000" w:themeColor="text1"/>
        </w:rPr>
        <w:br/>
        <w:t>· Continue to offer an accessible electronic version.</w:t>
      </w:r>
      <w:r w:rsidRPr="000A2B9F">
        <w:rPr>
          <w:b w:val="0"/>
          <w:bCs/>
          <w:color w:val="000000" w:themeColor="text1"/>
        </w:rPr>
        <w:br/>
        <w:t>· Provide parents an opportunity to complete the parent survey during progress report meetings and other meetings (or provide a link for the survey).</w:t>
      </w:r>
      <w:r w:rsidRPr="000A2B9F">
        <w:rPr>
          <w:b w:val="0"/>
          <w:bCs/>
          <w:color w:val="000000" w:themeColor="text1"/>
        </w:rPr>
        <w:br/>
        <w:t>· Disseminate parent survey results to BIE-funded schools and their Associate Deputy Director and Education Resource Center staff.</w:t>
      </w:r>
      <w:r w:rsidRPr="000A2B9F">
        <w:rPr>
          <w:b w:val="0"/>
          <w:bCs/>
          <w:color w:val="000000" w:themeColor="text1"/>
        </w:rPr>
        <w:br/>
        <w:t>· Suggest reminders to parents to complete the surveys and track response rates with phone calls to parents.</w:t>
      </w:r>
      <w:r w:rsidRPr="000A2B9F">
        <w:rPr>
          <w:b w:val="0"/>
          <w:bCs/>
          <w:color w:val="000000" w:themeColor="text1"/>
        </w:rPr>
        <w:br/>
        <w:t>· As schools are creating PD, have stations with computers open at the school; increase participation that way;</w:t>
      </w:r>
      <w:r w:rsidRPr="000A2B9F">
        <w:rPr>
          <w:b w:val="0"/>
          <w:bCs/>
          <w:color w:val="000000" w:themeColor="text1"/>
        </w:rPr>
        <w:br/>
        <w:t>· Creating incentives (raffles) is effective in increasing participation.</w:t>
      </w:r>
      <w:r w:rsidRPr="000A2B9F">
        <w:rPr>
          <w:b w:val="0"/>
          <w:bCs/>
          <w:color w:val="000000" w:themeColor="text1"/>
        </w:rPr>
        <w:br/>
      </w:r>
      <w:r w:rsidRPr="000A2B9F">
        <w:rPr>
          <w:b w:val="0"/>
          <w:bCs/>
          <w:color w:val="000000" w:themeColor="text1"/>
        </w:rPr>
        <w:br/>
        <w:t>Beyond what stakeholders recommended, BIE will promote improve responses from a broad cross section of parent of children with disabilities by:</w:t>
      </w:r>
      <w:r w:rsidRPr="000A2B9F">
        <w:rPr>
          <w:b w:val="0"/>
          <w:bCs/>
          <w:color w:val="000000" w:themeColor="text1"/>
        </w:rPr>
        <w:br/>
        <w:t>· BIE will continue to provide multiple modes for parents to complete the survey including paper and online formats.</w:t>
      </w:r>
      <w:r w:rsidRPr="000A2B9F">
        <w:rPr>
          <w:b w:val="0"/>
          <w:bCs/>
          <w:color w:val="000000" w:themeColor="text1"/>
        </w:rPr>
        <w:br/>
        <w:t>· Spoken language interpreters will be available to orally interpret any part or all of the survey in a language the parents understand for both paper and online version of surveys.</w:t>
      </w:r>
      <w:r w:rsidRPr="000A2B9F">
        <w:rPr>
          <w:b w:val="0"/>
          <w:bCs/>
          <w:color w:val="000000" w:themeColor="text1"/>
        </w:rPr>
        <w:br/>
        <w:t>· BIE-funded schools will be required to develop activities to improve parent participation in the survey and evaluate these activities in their Local School Performance Plan.</w:t>
      </w:r>
      <w:r w:rsidRPr="000A2B9F">
        <w:rPr>
          <w:b w:val="0"/>
          <w:bCs/>
          <w:color w:val="000000" w:themeColor="text1"/>
        </w:rPr>
        <w:br/>
        <w:t>· BIE will specifically support Tribally Controlled Schools, the school type with under representation, monthly TA calls will be provided to address special education topics and priorities, including improving parent engagement and survey response.</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BIE examined the parent survey respondents’ data by disability and by ADD regions using the +/- 3%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2B4010" w:rsidP="00A018D4">
            <w:pPr>
              <w:jc w:val="center"/>
              <w:rPr>
                <w:rFonts w:cs="Arial"/>
                <w:color w:val="000000" w:themeColor="text1"/>
                <w:szCs w:val="16"/>
              </w:rPr>
            </w:pPr>
            <w:r w:rsidRPr="00781112">
              <w:rPr>
                <w:rFonts w:cs="Arial"/>
                <w:color w:val="000000" w:themeColor="text1"/>
                <w:szCs w:val="16"/>
              </w:rPr>
              <w:t>ParentSurveyFINAL9.27.21</w:t>
            </w: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BIE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BIE revised its FFY 2021 through FFY 2025 targets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BIE must report whether the FFY 2022 data are from a response group that is representative of the demographics of children receiving special education services, and, if not, the actions the BIE is taking to address this issue. The BIE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7" w:name="_Toc384383343"/>
      <w:bookmarkStart w:id="48"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9" w:name="_Toc384383344"/>
      <w:bookmarkStart w:id="50" w:name="_Toc392159312"/>
      <w:bookmarkEnd w:id="47"/>
      <w:bookmarkEnd w:id="48"/>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YES</w:t>
      </w:r>
    </w:p>
    <w:p w14:paraId="7D3F4204" w14:textId="40F13944" w:rsidR="00043AC9" w:rsidRPr="00781112" w:rsidRDefault="00F76251" w:rsidP="004369B2">
      <w:pPr>
        <w:rPr>
          <w:b/>
          <w:color w:val="000000" w:themeColor="text1"/>
        </w:rPr>
      </w:pPr>
      <w:r w:rsidRPr="00781112">
        <w:rPr>
          <w:b/>
          <w:color w:val="000000" w:themeColor="text1"/>
        </w:rPr>
        <w:t xml:space="preserve">Provide an explanation of why it is not applicable below. </w:t>
      </w:r>
    </w:p>
    <w:p w14:paraId="7ED4808C" w14:textId="193CC099" w:rsidR="00043AC9" w:rsidRPr="00781112" w:rsidRDefault="00043AC9" w:rsidP="004369B2">
      <w:pPr>
        <w:rPr>
          <w:color w:val="000000" w:themeColor="text1"/>
        </w:rPr>
      </w:pPr>
      <w:r w:rsidRPr="00781112">
        <w:rPr>
          <w:color w:val="000000" w:themeColor="text1"/>
        </w:rPr>
        <w:t>The indicator is not applicable to the BIE because all children in BIE schools are of American Indian/Alaska Native ethnicity.</w:t>
      </w:r>
    </w:p>
    <w:bookmarkEnd w:id="49"/>
    <w:bookmarkEnd w:id="50"/>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 xml:space="preserve">Indicator 10: Disproportionate Representation in Specific Disability Categories </w:t>
      </w:r>
    </w:p>
    <w:p w14:paraId="139B488B" w14:textId="77777777" w:rsidR="00B70FBF" w:rsidRPr="00781112" w:rsidRDefault="00B70FBF" w:rsidP="00A018D4">
      <w:pPr>
        <w:rPr>
          <w:color w:val="000000" w:themeColor="text1"/>
          <w:szCs w:val="20"/>
        </w:rPr>
      </w:pPr>
      <w:bookmarkStart w:id="51" w:name="_Toc384383348"/>
      <w:bookmarkStart w:id="52"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51"/>
    <w:bookmarkEnd w:id="52"/>
    <w:p w14:paraId="307820E6" w14:textId="2418F86F" w:rsidR="00B70FBF" w:rsidRPr="00781112" w:rsidRDefault="009F64D5" w:rsidP="008645AD">
      <w:pPr>
        <w:pStyle w:val="Heading2"/>
      </w:pPr>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YES</w:t>
      </w:r>
    </w:p>
    <w:p w14:paraId="47F245D6" w14:textId="4A6BD584" w:rsidR="00043AC9" w:rsidRPr="00781112" w:rsidRDefault="004F50E1" w:rsidP="004369B2">
      <w:pPr>
        <w:rPr>
          <w:b/>
          <w:color w:val="000000" w:themeColor="text1"/>
        </w:rPr>
      </w:pPr>
      <w:r w:rsidRPr="00781112">
        <w:rPr>
          <w:b/>
          <w:color w:val="000000" w:themeColor="text1"/>
        </w:rPr>
        <w:t xml:space="preserve">Provide an explanation of why it is not applicable below  </w:t>
      </w:r>
    </w:p>
    <w:p w14:paraId="346DEB46" w14:textId="6ED0AC9E" w:rsidR="00043AC9" w:rsidRPr="00781112" w:rsidRDefault="00043AC9" w:rsidP="004369B2">
      <w:pPr>
        <w:rPr>
          <w:color w:val="000000" w:themeColor="text1"/>
        </w:rPr>
      </w:pPr>
      <w:r w:rsidRPr="00781112">
        <w:rPr>
          <w:color w:val="000000" w:themeColor="text1"/>
        </w:rPr>
        <w:t>The indicator is not applicable to the BIE because all children in BIE schools are of American Indian / Alaska Native ethnicity.</w:t>
      </w:r>
    </w:p>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p>
    <w:p w14:paraId="4F5D642D" w14:textId="77777777" w:rsidR="00E119B0" w:rsidRPr="00781112" w:rsidRDefault="00E119B0" w:rsidP="00A018D4">
      <w:pPr>
        <w:rPr>
          <w:color w:val="000000" w:themeColor="text1"/>
          <w:szCs w:val="20"/>
        </w:rPr>
      </w:pPr>
      <w:bookmarkStart w:id="53" w:name="_Toc384383353"/>
      <w:bookmarkStart w:id="54"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0CD32DE" w14:textId="77777777" w:rsidR="002F48B8" w:rsidRPr="00781112" w:rsidRDefault="002F48B8" w:rsidP="00286BDF">
      <w:pPr>
        <w:rPr>
          <w:rFonts w:cs="Arial"/>
          <w:color w:val="000000" w:themeColor="text1"/>
          <w:szCs w:val="16"/>
        </w:rPr>
      </w:pPr>
    </w:p>
    <w:p w14:paraId="4CA3F78B" w14:textId="72C271DF" w:rsidR="00DB20BC" w:rsidRPr="00781112" w:rsidRDefault="00C22B92" w:rsidP="00123D76">
      <w:pPr>
        <w:pStyle w:val="Heading2"/>
      </w:pPr>
      <w:bookmarkStart w:id="55" w:name="_Toc384383354"/>
      <w:bookmarkStart w:id="56" w:name="_Toc392159322"/>
      <w:bookmarkEnd w:id="53"/>
      <w:bookmarkEnd w:id="54"/>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86.90%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83.45%</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91.23%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93.07%</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77.99%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85.96%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55"/>
    <w:bookmarkEnd w:id="56"/>
    <w:p w14:paraId="0C67B4BB" w14:textId="77777777" w:rsidR="002F48B8" w:rsidRDefault="002F48B8">
      <w:pPr>
        <w:spacing w:before="0" w:after="200" w:line="276" w:lineRule="auto"/>
        <w:rPr>
          <w:b/>
          <w:color w:val="000000" w:themeColor="text1"/>
        </w:rPr>
      </w:pPr>
      <w:r>
        <w:rPr>
          <w:b/>
          <w:color w:val="000000" w:themeColor="text1"/>
        </w:rPr>
        <w:br w:type="page"/>
      </w:r>
    </w:p>
    <w:p w14:paraId="3FAEB3AB" w14:textId="0DD3AB85"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584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480</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85.96%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82.19%</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The BIE saw slippage in indicator 11 data from FFY 2020 to FFY 2021.</w:t>
      </w:r>
      <w:r w:rsidRPr="00781112">
        <w:rPr>
          <w:rFonts w:cs="Arial"/>
          <w:color w:val="000000" w:themeColor="text1"/>
          <w:szCs w:val="16"/>
        </w:rPr>
        <w:br/>
      </w:r>
      <w:r w:rsidRPr="00781112">
        <w:rPr>
          <w:rFonts w:cs="Arial"/>
          <w:color w:val="000000" w:themeColor="text1"/>
          <w:szCs w:val="16"/>
        </w:rPr>
        <w:br/>
        <w:t>The BIE reported 85.96% of evaluations completed on time in SY 2020-2021 and is reporting 82.19% of evaluations completed on time in SY 2021-2022, a decline of 3.76%.</w:t>
      </w:r>
      <w:r w:rsidRPr="00781112">
        <w:rPr>
          <w:rFonts w:cs="Arial"/>
          <w:color w:val="000000" w:themeColor="text1"/>
          <w:szCs w:val="16"/>
        </w:rPr>
        <w:br/>
      </w:r>
      <w:r w:rsidRPr="00781112">
        <w:rPr>
          <w:rFonts w:cs="Arial"/>
          <w:color w:val="000000" w:themeColor="text1"/>
          <w:szCs w:val="16"/>
        </w:rPr>
        <w:br/>
        <w:t>The BIE saw a sizable increase in the number of children evaluated in SY 2021-2022, 584 as compared to only 292 in SY 2020-2021.</w:t>
      </w:r>
      <w:r w:rsidRPr="00781112">
        <w:rPr>
          <w:rFonts w:cs="Arial"/>
          <w:color w:val="000000" w:themeColor="text1"/>
          <w:szCs w:val="16"/>
        </w:rPr>
        <w:br/>
      </w:r>
      <w:r w:rsidRPr="00781112">
        <w:rPr>
          <w:rFonts w:cs="Arial"/>
          <w:color w:val="000000" w:themeColor="text1"/>
          <w:szCs w:val="16"/>
        </w:rPr>
        <w:br/>
        <w:t>The BIE data team analyzed the data and found that many schools reported a backlog of referrals due to pandemic related school closures. This backlog and the unavailability of qualified evaluators resulted in many evaluations completed beyond the required 60 days. Many BIE schools did not return to in-person learning during the 2021-2022 school year. Tribal leaders issued executive orders which prohibited businesses and organizations including schools to operate in person. School staff and students were not permitted to enter school buildings.</w:t>
      </w:r>
      <w:r w:rsidRPr="00781112">
        <w:rPr>
          <w:rFonts w:cs="Arial"/>
          <w:color w:val="000000" w:themeColor="text1"/>
          <w:szCs w:val="16"/>
        </w:rPr>
        <w:br/>
      </w:r>
      <w:r w:rsidRPr="00781112">
        <w:rPr>
          <w:rFonts w:cs="Arial"/>
          <w:color w:val="000000" w:themeColor="text1"/>
          <w:szCs w:val="16"/>
        </w:rPr>
        <w:br/>
        <w:t>Also, due to the remote nature of many of the BIE-funded schools, many families had limited access to the internet resulting in reduced communication and access to complete students’ evaluations.</w:t>
      </w:r>
      <w:r w:rsidRPr="00781112">
        <w:rPr>
          <w:rFonts w:cs="Arial"/>
          <w:color w:val="000000" w:themeColor="text1"/>
          <w:szCs w:val="16"/>
        </w:rPr>
        <w:br/>
      </w:r>
      <w:r w:rsidRPr="00781112">
        <w:rPr>
          <w:rFonts w:cs="Arial"/>
          <w:color w:val="000000" w:themeColor="text1"/>
          <w:szCs w:val="16"/>
        </w:rPr>
        <w:br/>
        <w:t>Most of the evaluations reported late were not the result of noncompliant practices or procedures, but situations such as described above that are challenging to overcome. The BIE DPA Special Education staff will work with schools through the correction of noncompliance process to ensure that required regulations are being implemented and to support strategies for timely completion of evaluations.</w:t>
      </w:r>
      <w:r w:rsidRPr="00781112">
        <w:rPr>
          <w:rFonts w:cs="Arial"/>
          <w:color w:val="000000" w:themeColor="text1"/>
          <w:szCs w:val="16"/>
        </w:rPr>
        <w:br/>
      </w:r>
      <w:r w:rsidRPr="00781112">
        <w:rPr>
          <w:rFonts w:cs="Arial"/>
          <w:color w:val="000000" w:themeColor="text1"/>
          <w:szCs w:val="16"/>
        </w:rPr>
        <w:br/>
        <w:t>Additionally, the BIE DPA Special Education staff is in the process of developing a system for schools to report evaluation data in real time. This system will use a Smartsheet, and data pulled from NASIS. The BIE will implement this system this year with additional rollout and training to occur during the Interactive Data Summits being planned for the schools during the summer of 2023.</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104</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One hundred four students had evaluations completed, although late. The days late ranged from 1 day to 233 days late. Twenty-one of the evaluations completed beyond 60 days were COVID related.</w:t>
      </w:r>
      <w:r w:rsidRPr="00781112">
        <w:rPr>
          <w:color w:val="000000" w:themeColor="text1"/>
        </w:rPr>
        <w:br/>
      </w:r>
      <w:r w:rsidRPr="00781112">
        <w:rPr>
          <w:color w:val="000000" w:themeColor="text1"/>
        </w:rPr>
        <w:br/>
        <w:t>Eighty-three of the evaluations completed beyond the 60 days included reasons not directly related to COVID:</w:t>
      </w:r>
      <w:r w:rsidRPr="00781112">
        <w:rPr>
          <w:color w:val="000000" w:themeColor="text1"/>
        </w:rPr>
        <w:br/>
      </w:r>
      <w:r w:rsidRPr="00781112">
        <w:rPr>
          <w:color w:val="000000" w:themeColor="text1"/>
        </w:rPr>
        <w:br/>
        <w:t>· difficulty scheduling meetings with parents; parent illness, difficulty contacting parent</w:t>
      </w:r>
      <w:r w:rsidRPr="00781112">
        <w:rPr>
          <w:color w:val="000000" w:themeColor="text1"/>
        </w:rPr>
        <w:br/>
        <w:t>· student illness</w:t>
      </w:r>
      <w:r w:rsidRPr="00781112">
        <w:rPr>
          <w:color w:val="000000" w:themeColor="text1"/>
        </w:rPr>
        <w:br/>
        <w:t>· students absent when evaluator was available to test</w:t>
      </w:r>
      <w:r w:rsidRPr="00781112">
        <w:rPr>
          <w:color w:val="000000" w:themeColor="text1"/>
        </w:rPr>
        <w:br/>
        <w:t>· difficulty obtaining services of psychologist and/or diagnostician</w:t>
      </w:r>
      <w:r w:rsidRPr="00781112">
        <w:rPr>
          <w:color w:val="000000" w:themeColor="text1"/>
        </w:rPr>
        <w:br/>
        <w:t>· unknown reasons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 BIE collects the </w:t>
      </w:r>
      <w:proofErr w:type="gramStart"/>
      <w:r w:rsidRPr="00781112">
        <w:rPr>
          <w:rFonts w:cs="Arial"/>
          <w:color w:val="000000" w:themeColor="text1"/>
          <w:szCs w:val="16"/>
        </w:rPr>
        <w:t>Indicator</w:t>
      </w:r>
      <w:proofErr w:type="gramEnd"/>
      <w:r w:rsidRPr="00781112">
        <w:rPr>
          <w:rFonts w:cs="Arial"/>
          <w:color w:val="000000" w:themeColor="text1"/>
          <w:szCs w:val="16"/>
        </w:rPr>
        <w:t xml:space="preserve"> 11 data (July 1, 2021 to June 30, 2022) through a desk audit utilizing the NASIS from all schools with academic programs. The desk audit is one of the components of BIEs universal monitoring activities.</w:t>
      </w:r>
      <w:r w:rsidRPr="00781112">
        <w:rPr>
          <w:rFonts w:cs="Arial"/>
          <w:color w:val="000000" w:themeColor="text1"/>
          <w:szCs w:val="16"/>
        </w:rPr>
        <w:br/>
      </w:r>
      <w:r w:rsidRPr="00781112">
        <w:rPr>
          <w:rFonts w:cs="Arial"/>
          <w:color w:val="000000" w:themeColor="text1"/>
          <w:szCs w:val="16"/>
        </w:rPr>
        <w:br/>
        <w:t>All schools with academic programs self-report the initial evaluation using the Indicator 11 Desk Audit form which collects name of school and the number of complete initial evaluations for SY 2021-2022. The desk audit forms are made available via a link on the BIE website. The BIE reviews and determines if the data submitted by the schools were initial evaluations utilizing the NASIS to ensure the 60-day timeline has been met. The BIE verifies the initial evaluation data submitted by the school against the documents in NASIS.</w:t>
      </w:r>
      <w:r w:rsidRPr="00781112">
        <w:rPr>
          <w:rFonts w:cs="Arial"/>
          <w:color w:val="000000" w:themeColor="text1"/>
          <w:szCs w:val="16"/>
        </w:rPr>
        <w:br/>
      </w:r>
      <w:r w:rsidRPr="00781112">
        <w:rPr>
          <w:rFonts w:cs="Arial"/>
          <w:color w:val="000000" w:themeColor="text1"/>
          <w:szCs w:val="16"/>
        </w:rPr>
        <w:br/>
        <w:t>All schools with academic programs are provided advanced written notification and webinar training of the desk audit for the purpose of determining compliance of the 60-day timeline to complete initial evaluations. To conduct the Indicator 11 Desk Audit, the BIE reviews and verifies the following documents that schools scan and upload in the NASIS Special Education Module:</w:t>
      </w:r>
      <w:r w:rsidRPr="00781112">
        <w:rPr>
          <w:rFonts w:cs="Arial"/>
          <w:color w:val="000000" w:themeColor="text1"/>
          <w:szCs w:val="16"/>
        </w:rPr>
        <w:br/>
      </w:r>
      <w:r w:rsidRPr="00781112">
        <w:rPr>
          <w:rFonts w:cs="Arial"/>
          <w:color w:val="000000" w:themeColor="text1"/>
          <w:szCs w:val="16"/>
        </w:rPr>
        <w:br/>
        <w:t>Parent Consent to Evaluate (Assessment Plan) with signature and date, and</w:t>
      </w:r>
      <w:r w:rsidRPr="00781112">
        <w:rPr>
          <w:rFonts w:cs="Arial"/>
          <w:color w:val="000000" w:themeColor="text1"/>
          <w:szCs w:val="16"/>
        </w:rPr>
        <w:br/>
        <w:t>Determination of Eligibility (Evaluation Summary Report) with signature and date.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BIE needs clarification, the school is contacted (e.g., if the parent consent had a different date than was indicated on the uploaded document). In response, schools provide clarification and/or upload required documents in NASIS</w:t>
      </w:r>
    </w:p>
    <w:p w14:paraId="4F981BFF" w14:textId="77777777" w:rsidR="00C86164" w:rsidRPr="00781112" w:rsidRDefault="00C86164" w:rsidP="00C86164">
      <w:pPr>
        <w:rPr>
          <w:rFonts w:cs="Arial"/>
          <w:b/>
          <w:color w:val="000000" w:themeColor="text1"/>
          <w:szCs w:val="16"/>
        </w:rPr>
      </w:pPr>
      <w:bookmarkStart w:id="57" w:name="_Toc381956339"/>
      <w:bookmarkStart w:id="58" w:name="_Toc384383357"/>
      <w:bookmarkStart w:id="59"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for SY 2020-21 were verified corrected in accordance with OSEP Memo 09-02 within one year of issuing the findings. All findings of noncompliance identified in FFY 2020 were verified as corrected through BIE's review of subsequent data in NASIS special education module within the required one year timeline. Subsequent data review consisted of 1-5 additional initial evaluations sampled for each of the schools with identified noncompliance and verified that these schools were correctly implementing the regulatory requirement at 100% compliance rate.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BIE verified correction of each instance of noncompliance (41 findings) for this indicator in FFY 2020 by reviewing the data and verifying that all 41 eligible and ineligible students had their evaluations completed. Each of the files was reviewed through NASIS and verified that all eligible students' evaluations were completed although late.  </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BIE reported less than 100% compliance for FFY 2020, the BIE must report on the status of correction of noncompliance identified in FFY 2020 for this indicator. When reporting on the correction of noncompliance, the BIE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BIE data system; and (2) has corrected each individual case of noncompliance, unless the child is no longer within the jurisdiction of the LEA, consistent with OSEP Memo 09-02.  In the FFY 2021 SPP/APR, the BIE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BIE did not identify any findings of noncompliance in FFY 2020, although its FFY 2020 data reflect less than 100% compliance, provide an explanation of why the BIE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BIE reported less than 100% compliance for FFY 2021, the BIE must report on the status of correction of noncompliance identified in FFY 2021 for this indicator. When reporting on the correction of noncompliance, the BIE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BIE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BIE did not identify any findings of noncompliance in FFY 2021, although its FFY 2021 data reflect less than 100% compliance, provide an explanation of why the BIE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57"/>
      <w:bookmarkEnd w:id="58"/>
      <w:bookmarkEnd w:id="59"/>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0" w:name="_Toc384383358"/>
      <w:bookmarkStart w:id="61"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60"/>
    <w:bookmarkEnd w:id="61"/>
    <w:p w14:paraId="79824C1D" w14:textId="3C301685" w:rsidR="00FE7D29" w:rsidRPr="00781112" w:rsidRDefault="00056350" w:rsidP="00123D76">
      <w:pPr>
        <w:pStyle w:val="Heading2"/>
      </w:pPr>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YES</w:t>
      </w:r>
    </w:p>
    <w:p w14:paraId="27D98FA0" w14:textId="2B00F8EB" w:rsidR="00043AC9" w:rsidRPr="00781112" w:rsidRDefault="00CB482B" w:rsidP="004369B2">
      <w:pPr>
        <w:rPr>
          <w:b/>
          <w:color w:val="000000" w:themeColor="text1"/>
        </w:rPr>
      </w:pPr>
      <w:r w:rsidRPr="00781112">
        <w:rPr>
          <w:b/>
          <w:color w:val="000000" w:themeColor="text1"/>
        </w:rPr>
        <w:t xml:space="preserve">Provide an explanation of why it is not applicable below. </w:t>
      </w:r>
    </w:p>
    <w:p w14:paraId="6067BAAD" w14:textId="4CE13AD0" w:rsidR="00043AC9" w:rsidRPr="00781112" w:rsidRDefault="00043AC9" w:rsidP="004369B2">
      <w:pPr>
        <w:rPr>
          <w:color w:val="000000" w:themeColor="text1"/>
        </w:rPr>
      </w:pPr>
      <w:r w:rsidRPr="00781112">
        <w:rPr>
          <w:color w:val="000000" w:themeColor="text1"/>
        </w:rPr>
        <w:t>The indicator is not applicable to the BIE because BIE does not operate IDEA Part C program.</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OSEP notes that this indicator is not applicable.</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2" w:name="_Toc384383363"/>
      <w:bookmarkStart w:id="6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w:t>
      </w:r>
      <w:proofErr w:type="gramStart"/>
      <w:r w:rsidRPr="00781112">
        <w:rPr>
          <w:rFonts w:cs="Arial"/>
          <w:color w:val="000000" w:themeColor="text1"/>
          <w:szCs w:val="16"/>
        </w:rPr>
        <w:t>State’s</w:t>
      </w:r>
      <w:proofErr w:type="gramEnd"/>
      <w:r w:rsidRPr="00781112">
        <w:rPr>
          <w:rFonts w:cs="Arial"/>
          <w:color w:val="000000" w:themeColor="text1"/>
          <w:szCs w:val="16"/>
        </w:rPr>
        <w:t xml:space="preserve">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are from a </w:t>
      </w:r>
      <w:proofErr w:type="gramStart"/>
      <w:r w:rsidRPr="00781112">
        <w:rPr>
          <w:rFonts w:cs="Arial"/>
          <w:i/>
          <w:iCs/>
          <w:color w:val="000000" w:themeColor="text1"/>
          <w:szCs w:val="16"/>
        </w:rPr>
        <w:t>State</w:t>
      </w:r>
      <w:proofErr w:type="gramEnd"/>
      <w:r w:rsidRPr="00781112">
        <w:rPr>
          <w:rFonts w:cs="Arial"/>
          <w:i/>
          <w:iCs/>
          <w:color w:val="000000" w:themeColor="text1"/>
          <w:szCs w:val="16"/>
        </w:rPr>
        <w:t xml:space="preserv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533DE15A" w14:textId="77777777" w:rsidR="002F48B8" w:rsidRPr="00781112" w:rsidRDefault="002F48B8" w:rsidP="00286BDF">
      <w:pPr>
        <w:rPr>
          <w:rFonts w:cs="Arial"/>
          <w:color w:val="000000" w:themeColor="text1"/>
          <w:szCs w:val="16"/>
        </w:rPr>
      </w:pPr>
    </w:p>
    <w:p w14:paraId="43E6D66A" w14:textId="21025B37" w:rsidR="00D04044" w:rsidRPr="00781112" w:rsidRDefault="00056350" w:rsidP="00123D76">
      <w:pPr>
        <w:pStyle w:val="Heading2"/>
      </w:pPr>
      <w:bookmarkStart w:id="64" w:name="_Toc384383364"/>
      <w:bookmarkStart w:id="65" w:name="_Toc392159332"/>
      <w:bookmarkEnd w:id="62"/>
      <w:bookmarkEnd w:id="6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59.14%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14.98%</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8.39%</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16.67%</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20.41%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20.56%</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64"/>
    <w:bookmarkEnd w:id="65"/>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187</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400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20.56%</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46.75%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lastRenderedPageBreak/>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BIE utilized NASIS to conduct IEP file reviews (April-June 2022) for 60 high schools located in 20 states. The IEP file review was conducted on a sample of students aged 16 years and older including those enrolled in middle and high school. The IEP file review is one of DPA’s desktop monitoring activities. The data collection system for School Year 2021-2022 consisted of drawing a representative sample of IEPs from every school. For high schools with less than 10 students aged 16 and above, the DPA sampled a minimum of 3 files per school. For high schools with greater than 10 students aged 16 and above, DPA sampled a minimum of 25% of IEPs. All IEPs of students aged 16 and above were assigned a number. A random number generator was used to draw the sample of IEPs. A total of 400 IEPs were sampled during SY 2021-2022. Three DPA special education reviewers were trained and achieved 100% Inter-Rater Agreement before scoring independently. Each reviewer used the 8-item National Secondary Transition Technical Assistance Center (NSTTAC) Checklist Form A to collect the data for each IEP reviewed. Data was entered into an online database for analysis.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66"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255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255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BIE verified correction of noncompliance based on the review of subsequent data in the NASIS special education module (IEPs, supporting signature/data documents and forms) within the required one-year timeline. Using the 8-item NSTTAC Form A, the BIE concluded: subsequent data review of 3-5 additional current NASIS IEPs and supporting signature date documents and forms sampled for each of the schools having identified findings of noncompliance and verified that schools were correctly implementing the specific regulatory requirements (at 100% compliance rate).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w:t>
      </w:r>
      <w:proofErr w:type="gramStart"/>
      <w:r w:rsidRPr="00781112">
        <w:rPr>
          <w:rFonts w:cs="Arial"/>
          <w:b/>
          <w:color w:val="000000" w:themeColor="text1"/>
          <w:szCs w:val="16"/>
        </w:rPr>
        <w:t>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BIE reviewed all individual cases identified in FFY 2020 through the NASIS database and verified that 100%, or all the secondary IEPs for the identified cases (for students still under the jurisdiction of each school) were corrected consistent with 34 CFR §300.320(b) measurable post-secondary goals related to training, education, employment, and where appropriate, independent living skills; §300.320(b)(2) transition services (including courses of study) needed to assist the child in reaching post-secondary goals; §300.321(b)(1) inviting the student to attend his/her Individualized Education Program (IEP) team meeting if a purpose of the meeting will be the consideration of the post-secondary goals and transition services.</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BIE reported less than 100% compliance for FFY 2020, the BIE must report on the status of correction of noncompliance identified in FFY 2020 for this indicator. When reporting on the correction of noncompliance, the BIE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BIE data system; and (2) has corrected each individual case of noncompliance, unless the child is no longer within the jurisdiction of the LEA, consistent with OSEP Memo 09-02.  In the FFY 2021 SPP/APR, the BIE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BIE did not identify any findings of noncompliance in FFY 2020, although its FFY 2020 data reflect less than 100% compliance, provide an explanation of why the BIE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BIE reported less than 100% compliance for FFY 2021, the BIE must report on the status of correction of noncompliance identified in FFY 2021 for this indicator. When reporting on the correction of noncompliance, the BIE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BIE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BIE did not identify any findings of noncompliance in FFY 2021, although its FFY 2021 data reflect less than 100% compliance, provide an explanation of why the BIE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66"/>
    </w:p>
    <w:p w14:paraId="22761492" w14:textId="77777777" w:rsidR="005C50DB" w:rsidRPr="00781112" w:rsidRDefault="005C50DB" w:rsidP="00A018D4">
      <w:pPr>
        <w:rPr>
          <w:szCs w:val="20"/>
        </w:rPr>
      </w:pPr>
      <w:bookmarkStart w:id="6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68"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68"/>
    <w:p w14:paraId="3FE9961A" w14:textId="1EDBA086" w:rsidR="000301BA" w:rsidRPr="00781112" w:rsidRDefault="00172058" w:rsidP="00123D76">
      <w:pPr>
        <w:pStyle w:val="Heading2"/>
      </w:pPr>
      <w:r w:rsidRPr="00781112">
        <w:t>14 - Indicator Data</w:t>
      </w:r>
    </w:p>
    <w:bookmarkEnd w:id="6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16.96%</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16.96%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20.24%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18.36%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25.26%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20.65%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16.96%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33.91%</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33.91%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55.47%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67.53%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48.91%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33.91%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72.50%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66.09%</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66.09%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65.18%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63.28%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82.47%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74.46%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66.09%</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18.37%</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19.78%</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21.18%</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22.59%</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24.00%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40.13%</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46.35%</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52.56%</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58.78%</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65.00%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69.27%</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72.45%</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75.64%</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78.82%</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82.00%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 xml:space="preserve">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w:t>
      </w:r>
      <w:r w:rsidRPr="00781112">
        <w:rPr>
          <w:rFonts w:cs="Arial"/>
          <w:color w:val="000000" w:themeColor="text1"/>
          <w:szCs w:val="16"/>
        </w:rPr>
        <w:lastRenderedPageBreak/>
        <w:t>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69" w:name="_Toc392159337"/>
    </w:p>
    <w:bookmarkEnd w:id="69"/>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398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186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46.73%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73</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38</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186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16.96%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18.37%</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13.98%</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99</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186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33.91%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40.13%</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53.23%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142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186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66.09%</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69.27%</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76.34%</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 xml:space="preserve">During SY 2020-2021, the students included within Post-School Outcomes interviews included disproportionately less students who graduated with a regular diploma due to COVID-19 and other contributing factors (e.g., environmental closures). For this indicator, students were interviewed who left during SY 2020-2021, which reflect a decrease in students with disabilities who graduated with a regular diploma and an increase in students who left BIE-funded high schools by dropping out. We expect this to negatively impact the number of students who enroll in higher education within one year of leaving high school. The reasons for reduction in the number of students graduating with a regular diploma and the increase in students who dropped out are related to school closures and school’s operating status further impacted by Tribal Executive Orders and State Departments of Health. For more information about the reasons for slippage in B1 and B2, please review those sections of this report. Additionally, during this reporting period, </w:t>
            </w:r>
            <w:proofErr w:type="gramStart"/>
            <w:r w:rsidRPr="00781112">
              <w:rPr>
                <w:rFonts w:cs="Arial"/>
                <w:color w:val="000000" w:themeColor="text1"/>
                <w:szCs w:val="16"/>
              </w:rPr>
              <w:t>colleges</w:t>
            </w:r>
            <w:proofErr w:type="gramEnd"/>
            <w:r w:rsidRPr="00781112">
              <w:rPr>
                <w:rFonts w:cs="Arial"/>
                <w:color w:val="000000" w:themeColor="text1"/>
                <w:szCs w:val="16"/>
              </w:rPr>
              <w:t xml:space="preserve"> and universities, including Tribal Colleges and Universities, had challenges with providing in person instruction. Leavers indicated through the Post-School Outcomes surveys </w:t>
            </w:r>
            <w:r w:rsidRPr="00781112">
              <w:rPr>
                <w:rFonts w:cs="Arial"/>
                <w:color w:val="000000" w:themeColor="text1"/>
                <w:szCs w:val="16"/>
              </w:rPr>
              <w:lastRenderedPageBreak/>
              <w:t xml:space="preserve">experiencing challenges with enrollment and receiving appropriate supports as students with disabilities. Leavers also indicated significant challenges with employment due to COVID-19.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51.57%</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46.73%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BIE DPA will follow guidance originally published by the National Post-school Outcomes Center (NPSO) and disseminated by the National Technical Assistance Center on Transition-Collaborative related to Contacting Hard to Find Youth. Strategies include (1) providing pre-notification to inform students and families about the survey multiple times during the year leading up to the survey; (2) creating familiarity to help students and families become familiar with the survey; (3) showing interest when conducting the survey being attentive to youth as individuals as they share their experiences; and (4) providing incentives to give former students a reason to participate in the survey, for example, reminding students that the information they share will help other students with disabilities; providing information about jobs, colleges, and services student may be eligible for.</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Overall, the response rate from FFY 2021 data indicates an overall response rate of 46.73% which is a decrease from the previous two years. Staff at BIE-funded schools utilized BIE’s Native American Student Information System (NASIS) to collect these data for the first time during FFY 2021 collection window. To support the completion of the post-school outcomes collection, BIE DPA staff provided a recorded webinar and targeted technical assistance to schools in need of additional support. Some of the targeted technical assistance included support to utilize the online tool, understanding the purpose of the indicator, confirming students meet the definition of a leaver and answering other student specific questions. Additionally, BIE-funded schools were provided extensions to complete the data collection and successful practices from other BIE-funded schools were shared. </w:t>
      </w:r>
      <w:r w:rsidRPr="00B551F2">
        <w:br/>
      </w:r>
      <w:r w:rsidRPr="00B551F2">
        <w:br/>
        <w:t xml:space="preserve">Using the same methodology used to calculate representativeness, there may be nonresponse bias for students who were dropouts. </w:t>
      </w:r>
      <w:r w:rsidRPr="00B551F2">
        <w:br/>
      </w:r>
      <w:r w:rsidRPr="00B551F2">
        <w:br/>
        <w:t xml:space="preserve">The following are </w:t>
      </w:r>
      <w:proofErr w:type="gramStart"/>
      <w:r w:rsidRPr="00B551F2">
        <w:t>steps</w:t>
      </w:r>
      <w:proofErr w:type="gramEnd"/>
      <w:r w:rsidRPr="00B551F2">
        <w:t xml:space="preserve"> the BIE is taking to reduce any identified bias and promote response from a broad cross section of youth who are no longer in secondary school and had IEPs in effect at the time they left school.</w:t>
      </w:r>
      <w:r w:rsidRPr="00B551F2">
        <w:br/>
      </w:r>
      <w:r w:rsidRPr="00B551F2">
        <w:br/>
        <w:t>Revise the materials used on webinars presented to schools. Aside from what we provide schools in terms of support to collect these data, be more purposeful in assisting schools to collect data from underrepresented groups.</w:t>
      </w:r>
      <w:r w:rsidRPr="00B551F2">
        <w:br/>
        <w:t>- Share data with schools highlighting the underrepresentation of dropouts in the data.</w:t>
      </w:r>
      <w:r w:rsidRPr="00B551F2">
        <w:br/>
        <w:t>- Troubleshoot with schools participating in the webinar the strategies to locate and collect data from dropout students.</w:t>
      </w:r>
      <w:r w:rsidRPr="00B551F2">
        <w:br/>
      </w:r>
      <w:r w:rsidRPr="00B551F2">
        <w:br/>
        <w:t>Other strategies to improve response rates:</w:t>
      </w:r>
      <w:r w:rsidRPr="00B551F2">
        <w:br/>
        <w:t>- Encourage school personnel to share ideas for locating student leavers and administering the post-school outcomes survey.</w:t>
      </w:r>
      <w:r w:rsidRPr="00B551F2">
        <w:br/>
        <w:t>- Collect accurate, complete, and multiple contacts for students still in school.</w:t>
      </w:r>
      <w:r w:rsidRPr="00B551F2">
        <w:br/>
        <w:t>- Teach students about the interview process.</w:t>
      </w:r>
      <w:r w:rsidRPr="00B551F2">
        <w:br/>
        <w:t>- Provide multiple pre-notifications to students and parents (i.e., flyers or postcards at IEP meetings, videos or social media, letters or informational briefs).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All students enrolled in BIE-funded schools are American Indian/Alaska Native, making the respondents representative of the race/ethnicity of the students who left school. In addition to the analysis by race/ethnicity, BIE utilized disability category, gender and exit reason which were previously reviewed and approved by BIE’s Stakeholders. </w:t>
      </w:r>
      <w:r w:rsidRPr="008D51F2">
        <w:br/>
      </w:r>
      <w:r w:rsidRPr="008D51F2">
        <w:br/>
        <w:t xml:space="preserve">According to the NPSO Response Calculator, differences between the Respondent Group and the Target Leaver Group of ±3% are important. Negative differences indicate an under-representativeness of the group and positive differences indicate over-representativeness. The analysis shows </w:t>
      </w:r>
      <w:proofErr w:type="gramStart"/>
      <w:r w:rsidRPr="008D51F2">
        <w:t>with the exception of</w:t>
      </w:r>
      <w:proofErr w:type="gramEnd"/>
      <w:r w:rsidRPr="008D51F2">
        <w:t xml:space="preserve"> Dropouts, respondents were representative, that being the difference in each category including race/ethnicity gender and disability categories analyzed was +/-3.0%. Dropouts were underrepresented at -4.04% an improvement from -5.12% reported in the previous year (FFY 2020).</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To address groups underrepresented, BIE will continue to invest in a Community of Practice for high school staff. For the SY 2022-2023, particular focus has been given to supporting students at risk of dropping out and contacting dropouts during the upcoming data collection. BIE will invest in providing guidance and training to schools to support their implementation of Check &amp; Connect. All BIE-funded high schools will be invited to participate and share their experiences supporting students who are at risk for dropping out. BIE will continue to utilize weekly checkpoints to determine representativeness of </w:t>
      </w:r>
      <w:r w:rsidRPr="008D51F2">
        <w:rPr>
          <w:b w:val="0"/>
        </w:rPr>
        <w:lastRenderedPageBreak/>
        <w:t>responses to date. BIE will measure the following demographics: exit reason, disability, and gender. BIE will provide targeted communication to schools and regions with underrepresented groups.</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BIE used +/- 3% discrepancy in the proportion of responders compared to target group to determine representativeness.</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0" w:name="_Toc382082390"/>
      <w:bookmarkStart w:id="71"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COVID-19 impacted actual data collected and the post-school outcomes for students. Some student quotes obtained during student interviews regarding enrollment with higher education or pursuing employment: “Enrolled in technical school but caught COVID and had to quit.” “It was too hard to continue schooling, work, and try to take care of a baby.” “Currently on the wait list for a higher ed engineering program.” “Due to working at a job, she was unable to complete her lessons dur to COVID.” BIE-funded schools and DPA staff continue to address improvement activities on this indicator through each BIE-funded school’s Local School Performance Plan (LSPP).</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BIE must report whether the FFY 2021 data are representative of the demographics of youth who are no longer in secondary school and had IEPs in effect at the time they left school, and, if not, the actions the BIE is taking to address this issue. The BIE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9F69E7" w:rsidP="000A2C83">
      <w:pPr>
        <w:rPr>
          <w:rFonts w:cs="Arial"/>
          <w:color w:val="000000" w:themeColor="text1"/>
          <w:szCs w:val="16"/>
        </w:rPr>
      </w:pP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BIE must report whether the FFY 2022 data are representative of the demographics of youth who are no longer in secondary school and had IEPs in effect at the time they left school, and, if not, the actions the BIE is taking to address this issue. The BIE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0"/>
      <w:bookmarkEnd w:id="71"/>
    </w:p>
    <w:p w14:paraId="7EA31497" w14:textId="77777777" w:rsidR="005B0B58" w:rsidRPr="00781112" w:rsidRDefault="005B0B58" w:rsidP="00A018D4">
      <w:pPr>
        <w:rPr>
          <w:color w:val="000000" w:themeColor="text1"/>
          <w:szCs w:val="20"/>
        </w:rPr>
      </w:pPr>
      <w:bookmarkStart w:id="72" w:name="_Toc381786822"/>
      <w:bookmarkStart w:id="73" w:name="_Toc382731911"/>
      <w:bookmarkStart w:id="74" w:name="_Toc382731912"/>
      <w:bookmarkStart w:id="75" w:name="_Toc392159340"/>
      <w:bookmarkEnd w:id="72"/>
      <w:bookmarkEnd w:id="7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74"/>
    <w:bookmarkEnd w:id="7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76" w:name="_Toc382731913"/>
      <w:bookmarkStart w:id="77"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4A9EF114" w:rsidR="000A2C83" w:rsidRPr="00781112" w:rsidRDefault="002B7490" w:rsidP="000A2C83">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bookmarkEnd w:id="76"/>
    <w:bookmarkEnd w:id="7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06890" w:rsidP="00A018D4">
            <w:pPr>
              <w:jc w:val="center"/>
              <w:rPr>
                <w:rFonts w:cs="Arial"/>
                <w:color w:val="000000" w:themeColor="text1"/>
                <w:szCs w:val="16"/>
              </w:rPr>
            </w:pP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The BIE reported fewer than ten resolution sessions held in FFY 2021. The BIE is not required to provide targets until any fiscal year in which ten or more resolution sessions were held.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BIE reported fewer than ten resolution sessions held in FFY 2021. The BIE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78" w:name="_Toc382731916"/>
      <w:bookmarkStart w:id="7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08FA3D63" w14:textId="77777777" w:rsidR="002F48B8" w:rsidRPr="00781112" w:rsidRDefault="002F48B8" w:rsidP="00286BDF">
      <w:pPr>
        <w:rPr>
          <w:rFonts w:cs="Arial"/>
          <w:color w:val="000000" w:themeColor="text1"/>
          <w:szCs w:val="16"/>
        </w:rPr>
      </w:pP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78"/>
    <w:bookmarkEnd w:id="7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rFonts w:cs="Arial"/>
          <w:color w:val="000000" w:themeColor="text1"/>
          <w:szCs w:val="16"/>
        </w:rPr>
        <w:br/>
      </w:r>
      <w:r w:rsidRPr="00781112">
        <w:rPr>
          <w:rFonts w:cs="Arial"/>
          <w:color w:val="000000" w:themeColor="text1"/>
          <w:szCs w:val="16"/>
        </w:rPr>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lastRenderedPageBreak/>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p>
        </w:tc>
        <w:tc>
          <w:tcPr>
            <w:tcW w:w="916" w:type="pct"/>
          </w:tcPr>
          <w:p w14:paraId="2C484D83" w14:textId="77BCE060" w:rsidR="006D0A52" w:rsidRPr="00781112" w:rsidRDefault="006D0A52" w:rsidP="00C91F30">
            <w:pPr>
              <w:jc w:val="center"/>
              <w:rPr>
                <w:rFonts w:cs="Arial"/>
                <w:color w:val="000000" w:themeColor="text1"/>
                <w:szCs w:val="16"/>
              </w:rPr>
            </w:pPr>
          </w:p>
        </w:tc>
        <w:tc>
          <w:tcPr>
            <w:tcW w:w="916" w:type="pct"/>
          </w:tcPr>
          <w:p w14:paraId="6CD274F3" w14:textId="076582AE" w:rsidR="006D0A52" w:rsidRPr="00781112" w:rsidRDefault="006D0A52" w:rsidP="00C91F30">
            <w:pPr>
              <w:jc w:val="center"/>
              <w:rPr>
                <w:rFonts w:cs="Arial"/>
                <w:color w:val="000000" w:themeColor="text1"/>
                <w:szCs w:val="16"/>
              </w:rPr>
            </w:pPr>
          </w:p>
        </w:tc>
        <w:tc>
          <w:tcPr>
            <w:tcW w:w="916" w:type="pct"/>
          </w:tcPr>
          <w:p w14:paraId="60DD90BA" w14:textId="5816204A" w:rsidR="006D0A52" w:rsidRPr="00781112" w:rsidRDefault="006D0A52" w:rsidP="00C91F30">
            <w:pPr>
              <w:jc w:val="center"/>
              <w:rPr>
                <w:rFonts w:cs="Arial"/>
                <w:color w:val="000000" w:themeColor="text1"/>
                <w:szCs w:val="16"/>
              </w:rPr>
            </w:pPr>
          </w:p>
        </w:tc>
        <w:tc>
          <w:tcPr>
            <w:tcW w:w="916" w:type="pct"/>
          </w:tcPr>
          <w:p w14:paraId="2F06128D" w14:textId="63E3880D" w:rsidR="006D0A52" w:rsidRPr="00781112" w:rsidRDefault="006D0A52"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33.33%</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States are not required to establish baseline or targets if the number of mediation sessions is less than 10. The BIE reported fewer than ten mediation sessions held in FFY 2021. The BIE is not required to provide targets until any fiscal year in which ten or more mediation sessions were held.</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BIE reported fewer than ten mediations held in FFY 2021. The BIE is not required to provide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BIE’s State Identified Measurable Result (SIMR) is to increase the percentage of youth engaged in post-secondary activities including education, training, and/or employment as measured by APR Indicator B14C (all youth enrolled in higher education, competitively employed, enrolled in other post-secondary education or training, or some other employment).  </w:t>
      </w:r>
    </w:p>
    <w:p w14:paraId="43CABCA3" w14:textId="77777777" w:rsidR="00AE1972" w:rsidRPr="00781112" w:rsidRDefault="00AE1972" w:rsidP="00AE1972">
      <w:pPr>
        <w:rPr>
          <w:b/>
          <w:bCs/>
        </w:rPr>
      </w:pPr>
      <w:bookmarkStart w:id="80" w:name="_Hlk85195358"/>
      <w:r w:rsidRPr="00781112">
        <w:rPr>
          <w:b/>
          <w:bCs/>
        </w:rPr>
        <w:t>Has the SiMR changed since the last SSIP submission? (yes/no)</w:t>
      </w:r>
    </w:p>
    <w:p w14:paraId="53B392AE" w14:textId="5D60E4A2" w:rsidR="00AE1972" w:rsidRDefault="00AE1972" w:rsidP="00AE1972">
      <w:r w:rsidRPr="00781112">
        <w:t>NO</w:t>
      </w:r>
    </w:p>
    <w:bookmarkEnd w:id="8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https://www.bie.edu/sites/default/files/documents/BIE_Theory_of_Action.pdf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66.09%</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69.27%</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72.45%</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75.64%</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78.82%</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82.00%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 Enrolled in higher education, or in some other postsecondary education or training program; or competitively employed or in some other employment (1+2+3+4)</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respondent youth</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142</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186</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66.09%</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69.27%</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76.34%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source is from the SPP/APR Indicator 14C</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lastRenderedPageBreak/>
        <w:t xml:space="preserve">School staff collected data by September 2022 on students who left school during 2020-2021, timing the data collection so that at least one year has passed since the students left school. The collection included all youth who had an IEP in effect at the time they left school, including those who graduated with a regular diploma or some other credential, dropped out, or aged out. The school staff called all leavers and asked survey questions to determine their post school activity. Responses were reported in the BIE's online data collection tool through BIE’s Native American Student Information System (NASIS); BIE school staff utilized this online tool for the first time with the FFY 2021 data collection. BIE State staff stayed in contact with schools to provide technical assistance throughout the collection window. Following its closure, BIE calculated and analyzed the data to determine trends within and across schools. Representativeness was calculated for race/ethnicity, gender, disability category and exit reasons. The data were representative in all subgroups except dropout.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proofErr w:type="gramStart"/>
      <w:r w:rsidRPr="00781112">
        <w:rPr>
          <w:color w:val="000000" w:themeColor="text1"/>
        </w:rPr>
        <w:t>A number of</w:t>
      </w:r>
      <w:proofErr w:type="gramEnd"/>
      <w:r w:rsidRPr="00781112">
        <w:rPr>
          <w:color w:val="000000" w:themeColor="text1"/>
        </w:rPr>
        <w:t xml:space="preserve"> schools experienced challenges with this data collection during the reporting period because of the impact of the COVID-19 Pandemic. Forty-five percent of high schools did not document any attempts made to contact their school’s SY 2020-2021 leavers. The data collected during this reporting period were collected by school staff who teleworked from their homes and not at the school buildings. The remote and rural locations of schools, staff and students may have also impacted the data. Additionally, high speed internet, broad band connectivity and lack of internet services may have impacted this data collection. The BIE utilized a new data collection tool for the second year and some school staff have been unable to attend the scheduled training or could not access the webinar due to internet connectivity. Additionally, </w:t>
      </w:r>
      <w:proofErr w:type="gramStart"/>
      <w:r w:rsidRPr="00781112">
        <w:rPr>
          <w:color w:val="000000" w:themeColor="text1"/>
        </w:rPr>
        <w:t>a number of</w:t>
      </w:r>
      <w:proofErr w:type="gramEnd"/>
      <w:r w:rsidRPr="00781112">
        <w:rPr>
          <w:color w:val="000000" w:themeColor="text1"/>
        </w:rPr>
        <w:t xml:space="preserve"> students either started education or employment but did not meet criteria to be included. As the nation, including tribal communities, experienced an economic downfall and recession during the reporting period, the SY 2020-2021 may have also experienced these challenges.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https://www.bie.edu/sites/default/files/documents/BIE_State_Systemic_Improvement_Plan_Evaluation_Plan.pdf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To improve BIE’s data process on post-school outcomes (PSO), a new process to collect PSO data was utilized for the FFY 2021 submission. The process allows for the analysis of data and disaggregation by school and student characteristics. As part of BIE’s general supervision updates, the Division of Performance and Accountability (DPA) is working to improve communication, </w:t>
      </w:r>
      <w:proofErr w:type="gramStart"/>
      <w:r w:rsidRPr="00781112">
        <w:rPr>
          <w:color w:val="000000" w:themeColor="text1"/>
        </w:rPr>
        <w:t>collaboration</w:t>
      </w:r>
      <w:proofErr w:type="gramEnd"/>
      <w:r w:rsidRPr="00781112">
        <w:rPr>
          <w:color w:val="000000" w:themeColor="text1"/>
        </w:rPr>
        <w:t xml:space="preserve"> and coordination with Education Resource Center (ERC) school leadership teams by presenting special education updates and establishing office hours. It opened the doors for ERCs to discuss various issues schools, provided monthly targeted technical assistance, and connected DPA staff with schools who are points of contact for specific responsibilities. </w:t>
      </w:r>
      <w:r w:rsidRPr="00781112">
        <w:rPr>
          <w:color w:val="000000" w:themeColor="text1"/>
        </w:rPr>
        <w:br/>
      </w:r>
      <w:r w:rsidRPr="00781112">
        <w:rPr>
          <w:color w:val="000000" w:themeColor="text1"/>
        </w:rPr>
        <w:br/>
        <w:t xml:space="preserve">Specifically related to activities that impact the SiMR, during the FFY 2021 SSIP reporting period the DPA continued to invest in improvements to its secondary transition process, working to improve its schools’ performance on post-secondary transition planning, as measured by indicator SPP/APR Indicator 13. DPA staff has designed other professional development activities intended for high school-level special education staff to connect and network, engage in professional learning, problem solve, and share strategies supporting secondary transition and PSO. </w:t>
      </w:r>
      <w:r w:rsidRPr="00781112">
        <w:rPr>
          <w:color w:val="000000" w:themeColor="text1"/>
        </w:rPr>
        <w:br/>
      </w:r>
      <w:r w:rsidRPr="00781112">
        <w:rPr>
          <w:color w:val="000000" w:themeColor="text1"/>
        </w:rPr>
        <w:br/>
        <w:t>The BIE Strategic Direction is a BIE-wide improvement plan focused on improving student outcomes for all BIE-funded schools. Goal 4 of the Strategic Direction focuses on post-secondary milestone actions. In FFY 2021, Goal 4 was changed to become more focused on secondary transition planning and services to reflect the current work in the SSIP and to improve compliance with secondary transition IDEA requirements. Below are examples of the specific actions (Milestones 4.2.2, 4.3.1, and 4.3.2) related to Goal 4 implemented in the reporting period:</w:t>
      </w:r>
      <w:r w:rsidRPr="00781112">
        <w:rPr>
          <w:color w:val="000000" w:themeColor="text1"/>
        </w:rPr>
        <w:br/>
      </w:r>
      <w:r w:rsidRPr="00781112">
        <w:rPr>
          <w:color w:val="000000" w:themeColor="text1"/>
        </w:rPr>
        <w:br/>
        <w:t xml:space="preserve">Action 1:  Ensuring compliant secondary transition, IEP planning, processes and services for BIE students pursuing college, career technical training using Southwestern Indian Polytechnic Institute (SIPI), Haskell Indian Nations University (HINU) and Tribal Colleges.   </w:t>
      </w:r>
      <w:r w:rsidRPr="00781112">
        <w:rPr>
          <w:color w:val="000000" w:themeColor="text1"/>
        </w:rPr>
        <w:br/>
        <w:t xml:space="preserve">Action 2:  Secondary students transitioning to HINU, SIPI or Tribal Colleges will be encouraged to reach out to Disability Support Services at the college they will attend to set up reasonable accommodations in advance, to support successful transition. </w:t>
      </w:r>
      <w:r w:rsidRPr="00781112">
        <w:rPr>
          <w:color w:val="000000" w:themeColor="text1"/>
        </w:rPr>
        <w:br/>
        <w:t xml:space="preserve">Action 3:  Hosting informational webinars for ADDs and ERCs on available resources for students at HINU, </w:t>
      </w:r>
      <w:proofErr w:type="gramStart"/>
      <w:r w:rsidRPr="00781112">
        <w:rPr>
          <w:color w:val="000000" w:themeColor="text1"/>
        </w:rPr>
        <w:t>SIPI</w:t>
      </w:r>
      <w:proofErr w:type="gramEnd"/>
      <w:r w:rsidRPr="00781112">
        <w:rPr>
          <w:color w:val="000000" w:themeColor="text1"/>
        </w:rPr>
        <w:t xml:space="preserve"> and Tribal Colleges.    </w:t>
      </w:r>
      <w:r w:rsidRPr="00781112">
        <w:rPr>
          <w:color w:val="000000" w:themeColor="text1"/>
        </w:rPr>
        <w:br/>
        <w:t>Action 4:  Improve information sharing between BIE-funded High Schools and BIE operated colleges HINU, SIPI, and Tribal Colleges to recruit and transition high school students interested in attending SIPI, HINU or Tribal Colleges.</w:t>
      </w:r>
      <w:r w:rsidRPr="00781112">
        <w:rPr>
          <w:color w:val="000000" w:themeColor="text1"/>
        </w:rPr>
        <w:br/>
        <w:t xml:space="preserve">Action 5:  Use of webinars, Team Meetings and Zoom on scholarships, admission requirements, costs to attend, selecting a degree or other topics related to transitioning from high school to college.   </w:t>
      </w:r>
      <w:r w:rsidRPr="00781112">
        <w:rPr>
          <w:color w:val="000000" w:themeColor="text1"/>
        </w:rPr>
        <w:br/>
      </w:r>
      <w:r w:rsidRPr="00781112">
        <w:rPr>
          <w:color w:val="000000" w:themeColor="text1"/>
        </w:rPr>
        <w:br/>
        <w:t>The planned evaluation activities including data collection, measures, and expected outcomes related to evaluation questions identified and outlined in SSIP Phase II remain the same. This will provide further information on how DPA will collect data for the evaluation of SSIP and Strategic Direction activities</w:t>
      </w:r>
      <w:r w:rsidRPr="00781112">
        <w:rPr>
          <w:color w:val="000000" w:themeColor="text1"/>
        </w:rPr>
        <w:br/>
      </w:r>
      <w:r w:rsidRPr="00781112">
        <w:rPr>
          <w:color w:val="000000" w:themeColor="text1"/>
        </w:rPr>
        <w:br/>
        <w:t xml:space="preserve">The plans also include stakeholders identifying expected outcomes for each tier (universal, targeted, intensive) of technical assistance and evaluating the actual outcomes whether met or not. Each tier of the technical assistance would be customized with a focus of keeping </w:t>
      </w:r>
      <w:proofErr w:type="gramStart"/>
      <w:r w:rsidRPr="00781112">
        <w:rPr>
          <w:color w:val="000000" w:themeColor="text1"/>
        </w:rPr>
        <w:t>the end result</w:t>
      </w:r>
      <w:proofErr w:type="gramEnd"/>
      <w:r w:rsidRPr="00781112">
        <w:rPr>
          <w:color w:val="000000" w:themeColor="text1"/>
        </w:rPr>
        <w:t xml:space="preserve"> in mind.</w:t>
      </w:r>
      <w:r w:rsidRPr="00781112">
        <w:rPr>
          <w:color w:val="000000" w:themeColor="text1"/>
        </w:rPr>
        <w:br/>
      </w:r>
      <w:r w:rsidRPr="00781112">
        <w:rPr>
          <w:color w:val="000000" w:themeColor="text1"/>
        </w:rPr>
        <w:br/>
      </w:r>
      <w:r w:rsidRPr="00781112">
        <w:rPr>
          <w:color w:val="000000" w:themeColor="text1"/>
        </w:rPr>
        <w:lastRenderedPageBreak/>
        <w:t xml:space="preserve">The DPA developed and implemented a secondary transition community of practice (CoP) for BIE-funded high school special educators to support secondary transition for students with disabilities. The CoP connects high schools to network with one another, engage in high quality professional learning, collaboratively problem solve, and share improvement strategies around successfully supporting secondary transition for students with disabilities. </w:t>
      </w:r>
      <w:r w:rsidRPr="00781112">
        <w:rPr>
          <w:color w:val="000000" w:themeColor="text1"/>
        </w:rPr>
        <w:br/>
      </w:r>
      <w:r w:rsidRPr="00781112">
        <w:rPr>
          <w:color w:val="000000" w:themeColor="text1"/>
        </w:rPr>
        <w:br/>
        <w:t>DPA Special Education and Supplemental Education Programs established office hours to place strategically throughout the school year. This was a way for ERC staff and Education Program Administrators to meet with DPA staff to discuss various issues schools are having. Two or three specific topics (including timely special education and related services, contracting issues, extended school year, compensatory education services, evaluations, reopening schools) were discussed and targeted technical assistance was provided.</w:t>
      </w:r>
      <w:r w:rsidRPr="00781112">
        <w:rPr>
          <w:color w:val="000000" w:themeColor="text1"/>
        </w:rPr>
        <w:br/>
      </w:r>
      <w:r w:rsidRPr="00781112">
        <w:rPr>
          <w:color w:val="000000" w:themeColor="text1"/>
        </w:rPr>
        <w:br/>
        <w:t xml:space="preserve">DPA has taken the lead to strengthen collaboration with ADDs, Education Program Administrators (EPA), ERC staff, School Operations, and the Chief Academic Office by developing a proposed BIE Framework for Differentiated, Coordinated Accountability and Support. The draft framework was used to begin conversation on how various departments and divisions can provide technical assistance and support by defining roles and responsibilities that leverage with the BIE Strategic Direction. </w:t>
      </w:r>
      <w:r w:rsidRPr="00781112">
        <w:rPr>
          <w:color w:val="000000" w:themeColor="text1"/>
        </w:rPr>
        <w:br/>
      </w:r>
      <w:r w:rsidRPr="00781112">
        <w:rPr>
          <w:color w:val="000000" w:themeColor="text1"/>
        </w:rPr>
        <w:br/>
        <w:t>A series of technical assistance development activities (quality secondary transition IEPs, PSO) continues to be provided including sharing transition data, community of practices, correction of noncompliance, disseminated NSTAAC form to high schools, and offering two new asynchronous professional development opportunities for high school special education teachers and staff. These activities helped strengthen partnerships between DPA Special Education and ERC offices for positive student outcomes—a shared responsibility. The purpose is to increase knowledge and self-efficacy of ERC staff and relevant high school level staff. DPA is continuing to collaborate with WestEd to plan, develop, and implement improvement activities.</w:t>
      </w:r>
      <w:r w:rsidRPr="00781112">
        <w:rPr>
          <w:color w:val="000000" w:themeColor="text1"/>
        </w:rPr>
        <w:br/>
      </w:r>
      <w:r w:rsidRPr="00781112">
        <w:rPr>
          <w:color w:val="000000" w:themeColor="text1"/>
        </w:rPr>
        <w:br/>
        <w:t>The BIE developed a needs assessment survey, which has been approved by the Office of Management and Budget (OMB). The needs assessment survey was designed to collect information from high school special education staff on professional development and evidence-based practices. The survey is being deployed in this current year and the information collected will inform strategies to be implemented in the next SSIP.</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In supporting BIE-funded high schools, BIE continues to make progress implementing infrastructure improvement activities through short-term and intermediates outcomes.</w:t>
      </w:r>
      <w:r w:rsidRPr="00781112">
        <w:rPr>
          <w:color w:val="000000" w:themeColor="text1"/>
        </w:rPr>
        <w:br/>
      </w:r>
      <w:r w:rsidRPr="00781112">
        <w:rPr>
          <w:color w:val="000000" w:themeColor="text1"/>
        </w:rPr>
        <w:br/>
        <w:t>Short-Term Outcomes:</w:t>
      </w:r>
      <w:r w:rsidRPr="00781112">
        <w:rPr>
          <w:color w:val="000000" w:themeColor="text1"/>
        </w:rPr>
        <w:br/>
      </w:r>
      <w:r w:rsidRPr="00781112">
        <w:rPr>
          <w:color w:val="000000" w:themeColor="text1"/>
        </w:rPr>
        <w:br/>
        <w:t>Communication with ERCs continues to increase and strengthen. Monthly technical assistance (TA) calls with ERC staff and school leadership teams are continuing to provide relevant information on IDEA (i.e., postsecondary planning data, learning about needs to provide targeted support in areas directly impacting the SiMR). Additional high school staff, ERC staff, Associate Deputy Director (ADD) staff, and members of the Tribal communities have been added to the listserv and they are now regularly receiving communication. The TA calls will continue in SY 2022-23 with an emphasis on providing targeted support to ERC staff.</w:t>
      </w:r>
      <w:r w:rsidRPr="00781112">
        <w:rPr>
          <w:color w:val="000000" w:themeColor="text1"/>
        </w:rPr>
        <w:br/>
      </w:r>
      <w:r w:rsidRPr="00781112">
        <w:rPr>
          <w:color w:val="000000" w:themeColor="text1"/>
        </w:rPr>
        <w:br/>
        <w:t>Intermediate outcomes:</w:t>
      </w:r>
      <w:r w:rsidRPr="00781112">
        <w:rPr>
          <w:color w:val="000000" w:themeColor="text1"/>
        </w:rPr>
        <w:br/>
      </w:r>
      <w:r w:rsidRPr="00781112">
        <w:rPr>
          <w:color w:val="000000" w:themeColor="text1"/>
        </w:rPr>
        <w:br/>
        <w:t>The BIE continues to align the SSIP work with the BIE Strategic Direction Goal 4 (post-secondary and career readiness) to improve post-school outcomes for students with disabilities. The Strategic Direction milestone action 4.2.5 focuses on improving secondary transition planning and services.</w:t>
      </w:r>
      <w:r w:rsidRPr="00781112">
        <w:rPr>
          <w:color w:val="000000" w:themeColor="text1"/>
        </w:rPr>
        <w:br/>
      </w:r>
      <w:r w:rsidRPr="00781112">
        <w:rPr>
          <w:color w:val="000000" w:themeColor="text1"/>
        </w:rPr>
        <w:br/>
        <w:t xml:space="preserve">In order for the BIE SSIP to sustain its successes and efforts, the following are some considerations to carry out the continued implementation of improvement strategies and evidence-based strategies to achieve the SiMR: </w:t>
      </w:r>
      <w:r w:rsidRPr="00781112">
        <w:rPr>
          <w:color w:val="000000" w:themeColor="text1"/>
        </w:rPr>
        <w:br/>
      </w:r>
      <w:r w:rsidRPr="00781112">
        <w:rPr>
          <w:color w:val="000000" w:themeColor="text1"/>
        </w:rPr>
        <w:br/>
        <w:t>1.</w:t>
      </w:r>
      <w:r w:rsidRPr="00781112">
        <w:rPr>
          <w:color w:val="000000" w:themeColor="text1"/>
        </w:rPr>
        <w:tab/>
        <w:t xml:space="preserve">Ensure stable BIE SSIP leadership and ongoing communication to keep BIE Senior Leadership team and other SSIP stakeholders informed about SSIP activities and progress. </w:t>
      </w:r>
      <w:r w:rsidRPr="00781112">
        <w:rPr>
          <w:color w:val="000000" w:themeColor="text1"/>
        </w:rPr>
        <w:br/>
        <w:t>2.</w:t>
      </w:r>
      <w:r w:rsidRPr="00781112">
        <w:rPr>
          <w:color w:val="000000" w:themeColor="text1"/>
        </w:rPr>
        <w:tab/>
        <w:t xml:space="preserve">Continue to merge and leverage the BIE SSIP and the BIE Strategic Director improvement activities and milestone actions. </w:t>
      </w:r>
      <w:r w:rsidRPr="00781112">
        <w:rPr>
          <w:color w:val="000000" w:themeColor="text1"/>
        </w:rPr>
        <w:br/>
        <w:t>3.</w:t>
      </w:r>
      <w:r w:rsidRPr="00781112">
        <w:rPr>
          <w:color w:val="000000" w:themeColor="text1"/>
        </w:rPr>
        <w:tab/>
        <w:t xml:space="preserve">Make the best use of people resources to achieve the SSIP SiMR and strategies and disseminate a list of resources related to for BIE-funded high schools. </w:t>
      </w:r>
      <w:r w:rsidRPr="00781112">
        <w:rPr>
          <w:color w:val="000000" w:themeColor="text1"/>
        </w:rPr>
        <w:br/>
        <w:t xml:space="preserve">4. Document and organize the information and data </w:t>
      </w:r>
      <w:proofErr w:type="gramStart"/>
      <w:r w:rsidRPr="00781112">
        <w:rPr>
          <w:color w:val="000000" w:themeColor="text1"/>
        </w:rPr>
        <w:t>collected—list</w:t>
      </w:r>
      <w:proofErr w:type="gramEnd"/>
      <w:r w:rsidRPr="00781112">
        <w:rPr>
          <w:color w:val="000000" w:themeColor="text1"/>
        </w:rPr>
        <w:t xml:space="preserve"> of strategies and activities.</w:t>
      </w:r>
      <w:r w:rsidRPr="00781112">
        <w:rPr>
          <w:color w:val="000000" w:themeColor="text1"/>
        </w:rPr>
        <w:br/>
        <w:t>5.</w:t>
      </w:r>
      <w:r w:rsidRPr="00781112">
        <w:rPr>
          <w:color w:val="000000" w:themeColor="text1"/>
        </w:rPr>
        <w:tab/>
        <w:t xml:space="preserve">Ensure that BIE staff and stakeholders are ready to respond to a changing environment (i.e., national emergencies, COVID-19, school closures, educational opportunities). </w:t>
      </w:r>
      <w:r w:rsidRPr="00781112">
        <w:rPr>
          <w:color w:val="000000" w:themeColor="text1"/>
        </w:rPr>
        <w:br/>
        <w:t>6.</w:t>
      </w:r>
      <w:r w:rsidRPr="00781112">
        <w:rPr>
          <w:color w:val="000000" w:themeColor="text1"/>
        </w:rPr>
        <w:tab/>
        <w:t xml:space="preserve">Provide ongoing technical assistance and guidance to 60 BIE-funded high schools in 20 states to build the capacity of BIE-funded high schools to improve post-school outcomes and secondary transition planning and services for students with disabilities. </w:t>
      </w:r>
      <w:r w:rsidRPr="00781112">
        <w:rPr>
          <w:color w:val="000000" w:themeColor="text1"/>
        </w:rPr>
        <w:br/>
        <w:t>7.</w:t>
      </w:r>
      <w:r w:rsidRPr="00781112">
        <w:rPr>
          <w:color w:val="000000" w:themeColor="text1"/>
        </w:rPr>
        <w:tab/>
        <w:t xml:space="preserve">Collect ongoing progress monitoring data to support on-going use of evidence-based practices and inform decision-making for the next year of SSIP implementation. </w:t>
      </w:r>
      <w:r w:rsidRPr="00781112">
        <w:rPr>
          <w:color w:val="000000" w:themeColor="text1"/>
        </w:rPr>
        <w:br/>
        <w:t>8.</w:t>
      </w:r>
      <w:r w:rsidRPr="00781112">
        <w:rPr>
          <w:color w:val="000000" w:themeColor="text1"/>
        </w:rPr>
        <w:tab/>
        <w:t xml:space="preserve">Continue strong partnerships with OSEP-funded technical assistance providers (i.e., National Technical Assistance Center on Transition, IDEA Data Center, National Center for Systemic Improvement). </w:t>
      </w:r>
      <w:r w:rsidRPr="00781112">
        <w:rPr>
          <w:color w:val="000000" w:themeColor="text1"/>
        </w:rPr>
        <w:br/>
        <w:t>9.</w:t>
      </w:r>
      <w:r w:rsidRPr="00781112">
        <w:rPr>
          <w:color w:val="000000" w:themeColor="text1"/>
        </w:rPr>
        <w:tab/>
        <w:t xml:space="preserve">Continue commitment to achieving the SSIP SiMR that support students with disabilities. </w:t>
      </w:r>
      <w:r w:rsidRPr="00781112">
        <w:rPr>
          <w:color w:val="000000" w:themeColor="text1"/>
        </w:rPr>
        <w:br/>
      </w:r>
      <w:r w:rsidRPr="00781112">
        <w:rPr>
          <w:color w:val="000000" w:themeColor="text1"/>
        </w:rPr>
        <w:br/>
        <w:t xml:space="preserve">DPA’s Cooperative Agreement with WestEd and collaboration with other TA centers provides support, guidance, technical assistance, and professional development at the Education Resource Center (ERC) and local school levels in the areas of secondary transition and postschool outcomes. Our ability to disseminate information on graduation data, dropout data, secondary transition, PSO, guidance documents, and resources continues to increase more widely </w:t>
      </w:r>
      <w:proofErr w:type="gramStart"/>
      <w:r w:rsidRPr="00781112">
        <w:rPr>
          <w:color w:val="000000" w:themeColor="text1"/>
        </w:rPr>
        <w:t>through the use of</w:t>
      </w:r>
      <w:proofErr w:type="gramEnd"/>
      <w:r w:rsidRPr="00781112">
        <w:rPr>
          <w:color w:val="000000" w:themeColor="text1"/>
        </w:rPr>
        <w:t xml:space="preserve"> electronic communication and direct contact via webinars and communities of practice. We have added additional support to this effort by drafting a guidance document to support to high school transition planning and services.</w:t>
      </w:r>
      <w:r w:rsidRPr="00781112">
        <w:rPr>
          <w:color w:val="000000" w:themeColor="text1"/>
        </w:rPr>
        <w:br/>
      </w:r>
      <w:r w:rsidRPr="00781112">
        <w:rPr>
          <w:color w:val="000000" w:themeColor="text1"/>
        </w:rPr>
        <w:br/>
        <w:t>Despite the lingering challenges of the impact of the pandemic in Tribal communities across the country, BIE continues to make progress toward achieving and implementing some of the intended improvements including filling vacant special education staff positions to support the work in PSO and secondary transition. Our capacity to continue implementing improvement strategies to promote youth with disabilities engagement after high school shows progress towards the targets for SPP/APR Indicator 14.</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lastRenderedPageBreak/>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BIE anticipates additional SSIP activities to be implemented in SY 2022-2023 to provide support to 60 BIE-funded high schools. The plans for next year include continued training of ERC staff in completing the tasks with timelines for completion and continued communication with stakeholders regarding leveraging SSIP and BIE Strategic Direction activities. The planned evaluation activities including data collection, measures, and expected outcomes will remain the same. This will provide further information on how DPA will collect data for the evaluation of SSIP and BIE Strategic Direction activities.</w:t>
      </w:r>
      <w:r w:rsidRPr="00781112">
        <w:rPr>
          <w:color w:val="000000" w:themeColor="text1"/>
        </w:rPr>
        <w:br/>
      </w:r>
      <w:r w:rsidRPr="00781112">
        <w:rPr>
          <w:color w:val="000000" w:themeColor="text1"/>
        </w:rPr>
        <w:br/>
        <w:t xml:space="preserve">The plans will also include stakeholders identifying expected outcomes for each tier (universal, targeted, intensive) of technical assistance and evaluating the actual outcomes. Each tier of the technical assistance would focus of keeping </w:t>
      </w:r>
      <w:proofErr w:type="gramStart"/>
      <w:r w:rsidRPr="00781112">
        <w:rPr>
          <w:color w:val="000000" w:themeColor="text1"/>
        </w:rPr>
        <w:t>the end result</w:t>
      </w:r>
      <w:proofErr w:type="gramEnd"/>
      <w:r w:rsidRPr="00781112">
        <w:rPr>
          <w:color w:val="000000" w:themeColor="text1"/>
        </w:rPr>
        <w:t xml:space="preserve"> in mind.</w:t>
      </w:r>
      <w:r w:rsidRPr="00781112">
        <w:rPr>
          <w:color w:val="000000" w:themeColor="text1"/>
        </w:rPr>
        <w:br/>
      </w:r>
      <w:r w:rsidRPr="00781112">
        <w:rPr>
          <w:color w:val="000000" w:themeColor="text1"/>
        </w:rPr>
        <w:br/>
        <w:t>The DPA continues to implement a secondary transition community of practice (CoP) for BIE- funded high school special educators to support secondary transition for students with disabilities. The CoP connects high schools to network with one another, engage in high quality professional learning, collaboratively problem solve, and share improvement strategies around successfully supporting secondary transition for students with disabilities. For the SY 2022-2023, the CoP has shifted the focus to include more discussion on evidence-based practices and supporting students who are at risk of dropping out as well as capturing their post-school outcomes as part of Indicator 14.</w:t>
      </w:r>
      <w:r w:rsidRPr="00781112">
        <w:rPr>
          <w:color w:val="000000" w:themeColor="text1"/>
        </w:rPr>
        <w:br/>
      </w:r>
      <w:r w:rsidRPr="00781112">
        <w:rPr>
          <w:color w:val="000000" w:themeColor="text1"/>
        </w:rPr>
        <w:br/>
        <w:t>DPA Special Education and Supplemental Education Programs are proposing to establish office hours to occur each month. This would be a way for ERC staff, Associate Deputy Directors, Education Program Administrators to meet with DPA staff to discuss various issues schools are having. Two or three specific topics (including timely special education and related services, contracting issues, extended school year, compensatory education services, evaluations, reopening schools) could be discussed and would provide targeted technical assistance.</w:t>
      </w:r>
      <w:r w:rsidRPr="00781112">
        <w:rPr>
          <w:color w:val="000000" w:themeColor="text1"/>
        </w:rPr>
        <w:br/>
      </w:r>
      <w:r w:rsidRPr="00781112">
        <w:rPr>
          <w:color w:val="000000" w:themeColor="text1"/>
        </w:rPr>
        <w:br/>
        <w:t>DPA will continue to strengthen collaboration with Associate Deputy Directors, Education Program Administrators (EPA), ERC staff, School Operations, and the Chief Academic Office by continuing to communicate the proposed BIE Framework for Differentiated, Coordinated Accountability and Support and how various departments and divisions can provide technical assistance and support by defining roles and responsibilities that leverage with the BIE Strategic Direction. Conversations will continue during the next SSIP reporting period.</w:t>
      </w:r>
      <w:r w:rsidRPr="00781112">
        <w:rPr>
          <w:color w:val="000000" w:themeColor="text1"/>
        </w:rPr>
        <w:br/>
      </w:r>
      <w:r w:rsidRPr="00781112">
        <w:rPr>
          <w:color w:val="000000" w:themeColor="text1"/>
        </w:rPr>
        <w:br/>
        <w:t xml:space="preserve">A needs assessment was signed and received OMB approval and will be used to collect information from high school special education staff on professional development and evidence-based practices. </w:t>
      </w:r>
      <w:r w:rsidRPr="00781112">
        <w:rPr>
          <w:color w:val="000000" w:themeColor="text1"/>
        </w:rPr>
        <w:br/>
      </w:r>
      <w:r w:rsidRPr="00781112">
        <w:rPr>
          <w:color w:val="000000" w:themeColor="text1"/>
        </w:rPr>
        <w:br/>
        <w:t>Annually, DPA provides training to BIE-funded schools on completing the summary of performance for students and supporting secondary students transitioning higher education. Within the Strategic Direction, BIE has a focus on transitioning to HINU, SIPI or Tribal Colleges and encouraging them reach out to Disability Support Services at the college they will attend to set up reasonable accommodations in advance, to support successful transition.</w:t>
      </w:r>
      <w:r w:rsidRPr="00781112">
        <w:rPr>
          <w:color w:val="000000" w:themeColor="text1"/>
        </w:rPr>
        <w:br/>
      </w:r>
      <w:r w:rsidRPr="00781112">
        <w:rPr>
          <w:color w:val="000000" w:themeColor="text1"/>
        </w:rPr>
        <w:br/>
        <w:t xml:space="preserve">With the updates to NASIS and including the Post-School Outcomes module to increase staff capacity to use the data collected including the number of surveys and results of the surveys across multiple indicators (Post-School Outcomes, secondary transition, graduation, dropout). Ways of getting the special education programs to look at their data, to look at areas for improvement. BIE-funded schools also complete annual Local School Performance Plans (LSPP) to highlight improvement activities for growth areas. A summary of the improvement areas identified by BIE-funded schools related to Post-School Outcomes within the BIE-funded schools’ LSPPs includes the following: </w:t>
      </w:r>
      <w:r w:rsidRPr="00781112">
        <w:rPr>
          <w:color w:val="000000" w:themeColor="text1"/>
        </w:rPr>
        <w:br/>
        <w:t>• Maintaining an ongoing record of the number of students in post-secondary education and employed after graduation</w:t>
      </w:r>
      <w:r w:rsidRPr="00781112">
        <w:rPr>
          <w:color w:val="000000" w:themeColor="text1"/>
        </w:rPr>
        <w:br/>
        <w:t>• Analyzing the percentage of responses from leavers during Post-School Outcomes data collection</w:t>
      </w:r>
      <w:r w:rsidRPr="00781112">
        <w:rPr>
          <w:color w:val="000000" w:themeColor="text1"/>
        </w:rPr>
        <w:br/>
        <w:t>• Developing and maintaining student database utilized by special education staff</w:t>
      </w:r>
      <w:r w:rsidRPr="00781112">
        <w:rPr>
          <w:color w:val="000000" w:themeColor="text1"/>
        </w:rPr>
        <w:br/>
        <w:t>• Maintaining contact with leavers through social media</w:t>
      </w:r>
      <w:r w:rsidRPr="00781112">
        <w:rPr>
          <w:color w:val="000000" w:themeColor="text1"/>
        </w:rPr>
        <w:br/>
        <w:t>• Staying in contact with recent graduates and soon-to-be graduates about plans to be employed, pursue further education and updating contact information</w:t>
      </w:r>
      <w:r w:rsidRPr="00781112">
        <w:rPr>
          <w:color w:val="000000" w:themeColor="text1"/>
        </w:rPr>
        <w:br/>
        <w:t>• Utilizing specific staff to maintain contact with Leavers</w:t>
      </w:r>
      <w:r w:rsidRPr="00781112">
        <w:rPr>
          <w:color w:val="000000" w:themeColor="text1"/>
        </w:rPr>
        <w:br/>
        <w:t>• Collaborating with community based organizations, agencies and other support systems (e.g. Alamo Community Services WIOA program)</w:t>
      </w:r>
      <w:r w:rsidRPr="00781112">
        <w:rPr>
          <w:color w:val="000000" w:themeColor="text1"/>
        </w:rPr>
        <w:br/>
        <w:t>• Setting up schedules in advance with graduates to reconnect with Leavers</w:t>
      </w:r>
      <w:r w:rsidRPr="00781112">
        <w:rPr>
          <w:color w:val="000000" w:themeColor="text1"/>
        </w:rPr>
        <w:br/>
        <w:t>• Utilizing online learning and other lessons for students to explore careers, post-secondary options and their interests (e.g. Oregon Career Information Systems)</w:t>
      </w:r>
      <w:r w:rsidRPr="00781112">
        <w:rPr>
          <w:color w:val="000000" w:themeColor="text1"/>
        </w:rPr>
        <w:br/>
        <w:t>• Ensuring each graduate has a completed Summary of Performance which is provided to the student prior to graduation</w:t>
      </w:r>
      <w:r w:rsidRPr="00781112">
        <w:rPr>
          <w:color w:val="000000" w:themeColor="text1"/>
        </w:rPr>
        <w:br/>
        <w:t>• Developing a system to update the results of the Post-School Outcomes data on a monthly basis</w:t>
      </w:r>
      <w:r w:rsidRPr="00781112">
        <w:rPr>
          <w:color w:val="000000" w:themeColor="text1"/>
        </w:rPr>
        <w:br/>
        <w:t>• Establishing job shadowing and vocational opportunities on and off campus</w:t>
      </w:r>
      <w:r w:rsidRPr="00781112">
        <w:rPr>
          <w:color w:val="000000" w:themeColor="text1"/>
        </w:rPr>
        <w:br/>
        <w:t>• Holding weekly meetings with students to discuss post-secondary issues and student concerns prior to graduation</w:t>
      </w:r>
      <w:r w:rsidRPr="00781112">
        <w:rPr>
          <w:color w:val="000000" w:themeColor="text1"/>
        </w:rPr>
        <w:br/>
        <w:t>• Working with students accepted to college to advocate for accommodations</w:t>
      </w:r>
      <w:r w:rsidRPr="00781112">
        <w:rPr>
          <w:color w:val="000000" w:themeColor="text1"/>
        </w:rPr>
        <w:br/>
        <w:t>• Collaborating with Vocational Rehabilitation for IEP meetings, implementing paid work programs, gathering information on college visits, and determining the student’s eligibility for VR services</w:t>
      </w:r>
      <w:r w:rsidRPr="00781112">
        <w:rPr>
          <w:color w:val="000000" w:themeColor="text1"/>
        </w:rPr>
        <w:br/>
        <w:t>• Utilizing Tribal Community Internships for Juniors and Seniors to explore careers within the Tribe and encourage college/career interests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Several evidence-based practices to teach self-determination and student participation in the IEP process have been disseminated to 60 high schools Several for (e.g., ChoiceMaker Curriculum, Steps to Self-Determination Curriculum, The Self-Directed IEP). BIE also provides recommendations on evidence-based practices supporting the SiMR through What Works Clearinghouse and the NTACT:C website. The BIE continued to collaborate with LRP Publications for three web-based education resources, tools and research-based online training for all BIE staff and all BIE-funded schools during the reporting period.</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The BIE is continuing to support BIE-funded high schools in implementing evidence-based improvement strategies that result in improved post-school outcomes for youth with disabilities. A tiered model (universal, targeted, intensive) provided technical assistance and professional development to schools.</w:t>
      </w:r>
      <w:r w:rsidRPr="00781112">
        <w:rPr>
          <w:color w:val="000000" w:themeColor="text1"/>
        </w:rPr>
        <w:br/>
      </w:r>
      <w:r w:rsidRPr="00781112">
        <w:rPr>
          <w:color w:val="000000" w:themeColor="text1"/>
        </w:rPr>
        <w:br/>
        <w:t>In order to achieve the SIMR, a theory of action has activities in each of the three strands that include analysis, building the capacity of the schools, and specific school-based activities that impact the overall improvement in PSO.</w:t>
      </w:r>
      <w:r w:rsidRPr="00781112">
        <w:rPr>
          <w:color w:val="000000" w:themeColor="text1"/>
        </w:rPr>
        <w:br/>
      </w:r>
      <w:r w:rsidRPr="00781112">
        <w:rPr>
          <w:color w:val="000000" w:themeColor="text1"/>
        </w:rPr>
        <w:br/>
      </w:r>
      <w:r w:rsidRPr="00781112">
        <w:rPr>
          <w:color w:val="000000" w:themeColor="text1"/>
        </w:rPr>
        <w:lastRenderedPageBreak/>
        <w:t xml:space="preserve">A logic model also depicts linkages between the inputs, outputs, and outcomes. The inputs support the implementation of existing activities and resources (Native Star, NASIS, IDEA Part B funds) that are leveraged to ensure maximum impact of the SSIP work. During this reporting period, extensive focus has been on improving secondary transition compliance and developing data protocols for secondary transition and PSO. A student interview protocol was incorporated into and utilized within the NASIS special education module. </w:t>
      </w:r>
      <w:r w:rsidRPr="00781112">
        <w:rPr>
          <w:color w:val="000000" w:themeColor="text1"/>
        </w:rPr>
        <w:br/>
      </w:r>
      <w:r w:rsidRPr="00781112">
        <w:rPr>
          <w:color w:val="000000" w:themeColor="text1"/>
        </w:rPr>
        <w:br/>
        <w:t>Ten DPA special education staff members continued to provide coaching, mentoring, technical assistance, and guidance to 60 high schools in the correction of findings of noncompliance identified during the annual review of transition IEPs and fiscal/programmatic reviews.</w:t>
      </w:r>
      <w:r w:rsidRPr="00781112">
        <w:rPr>
          <w:color w:val="000000" w:themeColor="text1"/>
        </w:rPr>
        <w:br/>
      </w:r>
      <w:r w:rsidRPr="00781112">
        <w:rPr>
          <w:color w:val="000000" w:themeColor="text1"/>
        </w:rPr>
        <w:br/>
        <w:t>As DPA continues to improve the percentage and schools focus on transition planning and services, DPA continues to see an increase in the number of youth engaged one year out of high school. DPA will continue to ensure valid, reliable, and quality PSO data for reporting and improving evidence-based practices (self-determination curriculum, self-advocacy, self-directed IEP process, ChoiceMaker Curriculum, NTACT newsletter, LRP Publication) to promote youth with disabilities engagement after leaving high school.</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1"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1"/>
    <w:p w14:paraId="3E043DB7" w14:textId="7C3B2CD4" w:rsidR="00AE1972" w:rsidRPr="00781112" w:rsidRDefault="00AE1972" w:rsidP="00AE1972">
      <w:pPr>
        <w:rPr>
          <w:b/>
          <w:bCs/>
        </w:rPr>
      </w:pPr>
      <w:proofErr w:type="gramStart"/>
      <w:r w:rsidRPr="00781112">
        <w:rPr>
          <w:color w:val="000000" w:themeColor="text1"/>
        </w:rPr>
        <w:t>In order to</w:t>
      </w:r>
      <w:proofErr w:type="gramEnd"/>
      <w:r w:rsidRPr="00781112">
        <w:rPr>
          <w:color w:val="000000" w:themeColor="text1"/>
        </w:rPr>
        <w:t xml:space="preserve"> achieve the SIMR, the BIE, in partnership with SSIP stakeholders, developed and continues to utilize a theory of action with three major strands of improvement: </w:t>
      </w:r>
      <w:r w:rsidRPr="00781112">
        <w:rPr>
          <w:color w:val="000000" w:themeColor="text1"/>
        </w:rPr>
        <w:br/>
        <w:t>1.</w:t>
      </w:r>
      <w:r w:rsidRPr="00781112">
        <w:rPr>
          <w:color w:val="000000" w:themeColor="text1"/>
        </w:rPr>
        <w:tab/>
        <w:t xml:space="preserve">Marketing the value of staying in school, </w:t>
      </w:r>
      <w:r w:rsidRPr="00781112">
        <w:rPr>
          <w:color w:val="000000" w:themeColor="text1"/>
        </w:rPr>
        <w:br/>
        <w:t>2.</w:t>
      </w:r>
      <w:r w:rsidRPr="00781112">
        <w:rPr>
          <w:color w:val="000000" w:themeColor="text1"/>
        </w:rPr>
        <w:tab/>
        <w:t xml:space="preserve">Providing professional development in improving transition planning and services, and </w:t>
      </w:r>
      <w:r w:rsidRPr="00781112">
        <w:rPr>
          <w:color w:val="000000" w:themeColor="text1"/>
        </w:rPr>
        <w:br/>
        <w:t>3.</w:t>
      </w:r>
      <w:r w:rsidRPr="00781112">
        <w:rPr>
          <w:color w:val="000000" w:themeColor="text1"/>
        </w:rPr>
        <w:tab/>
        <w:t xml:space="preserve">Increasing school’s use of data for program improvement. </w:t>
      </w:r>
      <w:r w:rsidRPr="00781112">
        <w:rPr>
          <w:color w:val="000000" w:themeColor="text1"/>
        </w:rPr>
        <w:br/>
      </w:r>
      <w:r w:rsidRPr="00781112">
        <w:rPr>
          <w:color w:val="000000" w:themeColor="text1"/>
        </w:rPr>
        <w:br/>
        <w:t>Each of the three improvement strategy strands has multiple strategies and activities to support and result in improved outcomes. For example, if the BIE does this, then schools will do this, then teachers will do this, then students will do this, then the result will be an increase in the percentage of students engaged in post-secondary activities including education, training, and/or employment as measured by the post-school outcomes survey. Activities occur in each strand to include analysis, building the capacity of the schools, and specific school-based activities. While each activity has some impact on a component of post-school outcomes, the entirety of the set of strands and activities result in overall improvement in post-school outcomes by the completion of the SSIP.</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401B3AF7" w:rsidR="00AE1972" w:rsidRPr="00781112" w:rsidRDefault="00AE1972" w:rsidP="00AE1972">
      <w:pPr>
        <w:rPr>
          <w:b/>
          <w:bCs/>
        </w:rPr>
      </w:pPr>
      <w:r w:rsidRPr="00781112">
        <w:rPr>
          <w:color w:val="000000" w:themeColor="text1"/>
        </w:rPr>
        <w:t xml:space="preserve">The DPA has designed a needs assessment data collection protocol to gather information on fidelity and implementation of evidence-based practices and to identify priorities for professional development. It will provide DPA with information to evaluate and monitor fidelity of implementation of evidence-based practices. The assessment tool was approved by The Office of Management and Budget (OMB). Due to COVID disruptions, the survey was not implemented in FFY 2020 as originally planned. </w:t>
      </w:r>
      <w:r w:rsidRPr="00781112">
        <w:rPr>
          <w:color w:val="000000" w:themeColor="text1"/>
        </w:rPr>
        <w:br/>
      </w:r>
      <w:r w:rsidRPr="00781112">
        <w:rPr>
          <w:color w:val="000000" w:themeColor="text1"/>
        </w:rPr>
        <w:br/>
        <w:t xml:space="preserve">The DPA is also exploring, in partnership with the DPA Supplemental Education Program (SEP), the implementation of a software that allows schools to automate the improvement plan process and the management and documentation of federal programs. Within this process, schools will be able to manage and document formative and summative review of processes including evidence-based practices. This is in the planning stages </w:t>
      </w:r>
      <w:proofErr w:type="gramStart"/>
      <w:r w:rsidRPr="00781112">
        <w:rPr>
          <w:color w:val="000000" w:themeColor="text1"/>
        </w:rPr>
        <w:t>at this time</w:t>
      </w:r>
      <w:proofErr w:type="gramEnd"/>
      <w:r w:rsidRPr="00781112">
        <w:rPr>
          <w:color w:val="000000" w:themeColor="text1"/>
        </w:rPr>
        <w:t xml:space="preserve">.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BIE is looking at the graduation data, dropout data, secondary transition data, and all other SPP/APR indicators. As demonstrated by the tree of influence, all indicators contribute to post-school outcomes for students with disabilities.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During the next reporting period, DPA plans to collect information on each evidence-based practice that have been implemented by school-based staff. DPA will also collect the level of fidelity of implementation as measured by the approved needs assessment survey. The DPA special education and supplemental education programs will continue to provide technical assistance on selection and implementation of evidence-based practices related to improving postschool outcomes. Additionally, the BIE will continue to implement the Strategic Direction which also includes a focus on implementing evidence-based practices across </w:t>
      </w:r>
      <w:proofErr w:type="gramStart"/>
      <w:r w:rsidRPr="00781112">
        <w:rPr>
          <w:color w:val="000000" w:themeColor="text1"/>
        </w:rPr>
        <w:t>all of</w:t>
      </w:r>
      <w:proofErr w:type="gramEnd"/>
      <w:r w:rsidRPr="00781112">
        <w:rPr>
          <w:color w:val="000000" w:themeColor="text1"/>
        </w:rPr>
        <w:t xml:space="preserve"> BIE-funded schools nationwide. The anticipated outcomes of BIE’s support and technical assistance to school-based staff in implementing the evidence-based practices will positively impact the SiMR, postschool outcomes for all students and the BIE Strategic Direction.</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BIE worked to review and revise its Strategic Direction and Goal 4 (postsecondary and career readiness: All students will graduate high school ready to think globally and succeed in postsecondary study and careers) continues to be aligned with BIE's SiMR.  Additionally, the FFY 2021 data indicates progress for students with disabilities who left BIE-funded schools. COVID-19 continues to impact Indian Country as evidenced through Indicator 14a showing a decline while 14b and 14c, which is the SiMR increased. Recent meetings with key stakeholders reinforced their desire to continue implementation of the SSIP as planned.</w:t>
      </w: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BIE stakeholders are an integral part of State Performance Plan/Annual Performance Report (SPP/APR). The stakeholders include representation from parents of students with disabilities in BIE-funded schools, BIA Advisory Board for Exceptional Children members, BIE-funded schools, ADD region staff, Education Resource Center staff, national Native American parent organization, supplemental education program, Tribal enterprises, Vocational Rehabilitation programs including Tribal Vocational Rehabilitation, Tribal education departments, Tribal college, and the Indian Health Service. The BIE provides annual training and orientation to all members of the BIA’s Advisory Board for Exceptional Children to advise DPA-IDEA on special education programs including the SPP/APR. </w:t>
      </w:r>
      <w:r w:rsidRPr="00781112">
        <w:rPr>
          <w:color w:val="000000" w:themeColor="text1"/>
        </w:rPr>
        <w:br/>
      </w:r>
      <w:r w:rsidRPr="00781112">
        <w:rPr>
          <w:color w:val="000000" w:themeColor="text1"/>
        </w:rPr>
        <w:lastRenderedPageBreak/>
        <w:br/>
        <w:t>The stakeholders review and analyze SPP/APR indicator data to support the BIE in determining baselines, establishing targets when appropriate, based on the review of data and information provided by the BIE. In FFY 2021, stakeholders decided to maintain the results indicators' targets as they were set in FFY 2020 except for indicator 3A and 8. The BIE set new baseline and targets for indicator 8 and new targets for indicator 3A. Stakeholder input and guidance is obtained through their participation in virtual or face-to-face meetings. In the meetings, they engage in questions and answers regarding quantitative and qualitative data. During the meetings, stakeholders reach consensus about targets, baselines, data, and scaling up efforts. Meeting notes are emailed out to the stakeholders for their review to provide stakeholders an additional opportunity to provide clarifications or make further recommendations. This iterative feedback process allows each member of the stakeholder group to be heard and ensures that what is included in the SPP/APR (including the SSIP) represents decisions and recommendations made by the group. The BIE regularly seeks their feedback through these activities.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BIE stakeholders, including the BIA Advisory Board for Exceptional Children and the BIE Strategic Direction Goal 4 milestone leads, are an integral part of the SPP/APR for improvement efforts in secondary transition and post-school outcomes. They are selected for their knowledge of strategies related to secondary transition and post-school outcomes programs for students with disabilities at the high school level, knowledge of evaluation methods, knowledge of general education, and knowledge of Tribal colleges and universities. Part of their work includes advising on collaboration, asking others what they think about issues, and listening to what they have to say during public comment sessions.</w:t>
      </w:r>
      <w:r w:rsidRPr="00781112">
        <w:rPr>
          <w:color w:val="000000" w:themeColor="text1"/>
        </w:rPr>
        <w:br/>
      </w:r>
      <w:r w:rsidRPr="00781112">
        <w:rPr>
          <w:color w:val="000000" w:themeColor="text1"/>
        </w:rPr>
        <w:br/>
        <w:t>The BIE invited stakeholders to be involved on a transformative partnership as part of the implementation of SSIP strategies. This includes inviting stakeholders to general supervision meetings to help increase communication, strengthen collaboration, and assist in defining roles and responsibilities at all levels across the BIE, which directly impacts DPA work with schools and the SSIP implementation. Their engagement included working with DPA and the SSIP team in general supervision meetings connected with improving post-secondary transition and post-school outcomes. These activities allowed stakeholders to discuss common objectives targeting the improvement efforts toward positive outcomes for students with disabilities. Other improvements were based on suggestions in how BIE departments and divisions communicate and collaborate. As an example, BIE DPA staff meetings have been planned and implemented jointly between the two DPA offices (IDEA and Supplemental Education Program – SEP). These meetings include common strategies between the two DPA offices with a goal of improving data and performance for all students on graduation and dropout rates.</w:t>
      </w:r>
      <w:r w:rsidRPr="00781112">
        <w:rPr>
          <w:color w:val="000000" w:themeColor="text1"/>
        </w:rPr>
        <w:br/>
      </w:r>
      <w:r w:rsidRPr="00781112">
        <w:rPr>
          <w:color w:val="000000" w:themeColor="text1"/>
        </w:rPr>
        <w:br/>
        <w:t>Through a cooperative agreement, DPA has prioritized evidence-based practices and experiences at BIE-funded high schools through a specifically designed Community of Practice. The Community of Practice was focused on supporting secondary transition during SY 2021-2022 and for SY 2022-2023 has shifted to focus on the implementation of evidence-based practices supporting post-school outcomes for students with disabilities in BIE-funded schools. The BIE invites staff and administrators from all BIE-funded high schools to the monthly convenings. During SY 2022-2023, participants were engaged in what are evidence-based practices, how to select evidence-based practices for high school students and a focus on self-determination. An improvement from last year and of specific importance regarding the Community of Practice and its sustainability within the BIE, for SY 2022-2023 the Community of Practice has been co-facilitated by DPA staff as well as outside partners.</w:t>
      </w:r>
      <w:r w:rsidRPr="00781112">
        <w:rPr>
          <w:color w:val="000000" w:themeColor="text1"/>
        </w:rPr>
        <w:br/>
      </w:r>
      <w:r w:rsidRPr="00781112">
        <w:rPr>
          <w:color w:val="000000" w:themeColor="text1"/>
        </w:rPr>
        <w:br/>
        <w:t>Strategies were discussed that will continue to contribute to improvement of the SiMR performance and improving secondary transition planning and services, graduation and dropout data for students with disabilities in BIE-funded high schools. To achieve this BIE designed and implemented targeted webinars to BIE-funded high schools as a strategy to engage and inform a broader group of stakeholders.</w:t>
      </w:r>
      <w:r w:rsidRPr="00781112">
        <w:rPr>
          <w:color w:val="000000" w:themeColor="text1"/>
        </w:rPr>
        <w:br/>
      </w:r>
      <w:r w:rsidRPr="00781112">
        <w:rPr>
          <w:color w:val="000000" w:themeColor="text1"/>
        </w:rPr>
        <w:br/>
        <w:t>Other BIE stakeholders (Associate Deputy Directors, ERC staff, Education Program Administrators, Chief Academic Office) have been invited as partners to review and update the DPA Framework for Differentiated, Coordinated Accountability and Support.</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Not Applicable.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Not applicable.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Not applicable.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167D3A05" w14:textId="77777777" w:rsidR="002F48B8" w:rsidRDefault="002F48B8">
      <w:pPr>
        <w:spacing w:before="0" w:after="200" w:line="276" w:lineRule="auto"/>
        <w:rPr>
          <w:rFonts w:eastAsiaTheme="majorEastAsia" w:cstheme="majorBidi"/>
          <w:b/>
          <w:bCs/>
          <w:color w:val="000000" w:themeColor="text1"/>
          <w:sz w:val="20"/>
          <w:szCs w:val="28"/>
        </w:rPr>
      </w:pPr>
      <w:r>
        <w:rPr>
          <w:color w:val="000000" w:themeColor="text1"/>
        </w:rPr>
        <w:br w:type="page"/>
      </w:r>
    </w:p>
    <w:p w14:paraId="47A15380" w14:textId="6FB1E3CE"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Eugene Thompson</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Supervisory Education Specialist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eugene.thompson@bie.edu</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202-860-5812</w:t>
      </w:r>
    </w:p>
    <w:bookmarkEnd w:id="8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2:38:42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238FA02" w14:textId="57057E71" w:rsidR="008A68E4" w:rsidRPr="008A68E4" w:rsidRDefault="008A68E4" w:rsidP="008A68E4">
      <w:pPr>
        <w:rPr>
          <w:b/>
          <w:bCs/>
          <w:sz w:val="20"/>
          <w:szCs w:val="28"/>
        </w:rPr>
      </w:pPr>
      <w:r w:rsidRPr="008A68E4">
        <w:rPr>
          <w:b/>
          <w:bCs/>
          <w:sz w:val="20"/>
          <w:szCs w:val="28"/>
        </w:rPr>
        <w:t>Bureau of Indian Education</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13"/>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50.00%</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Intervention</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8</w:t>
            </w:r>
          </w:p>
        </w:tc>
        <w:tc>
          <w:tcPr>
            <w:tcW w:w="1260" w:type="pct"/>
          </w:tcPr>
          <w:p w14:paraId="39A51C38" w14:textId="16E843D2" w:rsidR="00E1330D" w:rsidRPr="00210AC6" w:rsidRDefault="00E1330D" w:rsidP="00E1330D">
            <w:pPr>
              <w:rPr>
                <w:rFonts w:cs="Arial"/>
                <w:szCs w:val="16"/>
              </w:rPr>
            </w:pPr>
            <w:r w:rsidRPr="00210AC6">
              <w:rPr>
                <w:rFonts w:cs="Arial"/>
                <w:szCs w:val="16"/>
              </w:rPr>
              <w:t>4</w:t>
            </w:r>
          </w:p>
        </w:tc>
        <w:tc>
          <w:tcPr>
            <w:tcW w:w="1218" w:type="pct"/>
          </w:tcPr>
          <w:p w14:paraId="0E3866D0" w14:textId="74D5D84B" w:rsidR="00E1330D" w:rsidRPr="00210AC6" w:rsidRDefault="00E1330D" w:rsidP="00E1330D">
            <w:pPr>
              <w:rPr>
                <w:rFonts w:cs="Arial"/>
                <w:szCs w:val="16"/>
              </w:rPr>
            </w:pPr>
            <w:r w:rsidRPr="00210AC6">
              <w:rPr>
                <w:rFonts w:cs="Arial"/>
                <w:szCs w:val="16"/>
              </w:rPr>
              <w:t>50.00%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10</w:t>
            </w:r>
          </w:p>
        </w:tc>
        <w:tc>
          <w:tcPr>
            <w:tcW w:w="1260" w:type="pct"/>
          </w:tcPr>
          <w:p w14:paraId="0A360C78" w14:textId="7DE98E29" w:rsidR="00E1330D" w:rsidRPr="00210AC6" w:rsidRDefault="00E1330D" w:rsidP="00E1330D">
            <w:pPr>
              <w:rPr>
                <w:rFonts w:cs="Arial"/>
                <w:szCs w:val="16"/>
              </w:rPr>
            </w:pPr>
            <w:r w:rsidRPr="00210AC6">
              <w:rPr>
                <w:rFonts w:cs="Arial"/>
                <w:szCs w:val="16"/>
              </w:rPr>
              <w:t>5</w:t>
            </w:r>
          </w:p>
        </w:tc>
        <w:tc>
          <w:tcPr>
            <w:tcW w:w="1218" w:type="pct"/>
          </w:tcPr>
          <w:p w14:paraId="568903BA" w14:textId="193CF7F1" w:rsidR="00E1330D" w:rsidRPr="00210AC6" w:rsidRDefault="00E1330D" w:rsidP="00E1330D">
            <w:pPr>
              <w:rPr>
                <w:rFonts w:cs="Arial"/>
                <w:szCs w:val="16"/>
              </w:rPr>
            </w:pPr>
            <w:r w:rsidRPr="00210AC6">
              <w:rPr>
                <w:rFonts w:cs="Arial"/>
                <w:szCs w:val="16"/>
              </w:rPr>
              <w:t>50.00%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RSTCFFY"/>
      </w:tblPr>
      <w:tblGrid>
        <w:gridCol w:w="7207"/>
        <w:gridCol w:w="1801"/>
        <w:gridCol w:w="1801"/>
      </w:tblGrid>
      <w:tr w:rsidR="00416FE7" w:rsidRPr="00210AC6" w14:paraId="129ABDB3" w14:textId="77777777" w:rsidTr="001B435C">
        <w:trPr>
          <w:tblHeader/>
        </w:trPr>
        <w:tc>
          <w:tcPr>
            <w:tcW w:w="3334" w:type="pct"/>
          </w:tcPr>
          <w:p w14:paraId="0DF8673F" w14:textId="77777777" w:rsidR="00416FE7" w:rsidRPr="00210AC6" w:rsidRDefault="00416FE7" w:rsidP="001B435C">
            <w:pPr>
              <w:rPr>
                <w:rFonts w:cs="Arial"/>
                <w:b/>
                <w:bCs/>
                <w:szCs w:val="16"/>
              </w:rPr>
            </w:pPr>
            <w:r w:rsidRPr="00210AC6">
              <w:rPr>
                <w:rFonts w:cs="Arial"/>
                <w:b/>
                <w:bCs/>
                <w:szCs w:val="16"/>
              </w:rPr>
              <w:t>Reading Assessment Elements</w:t>
            </w:r>
          </w:p>
        </w:tc>
        <w:tc>
          <w:tcPr>
            <w:tcW w:w="833" w:type="pct"/>
          </w:tcPr>
          <w:p w14:paraId="0D9D9E94" w14:textId="77777777" w:rsidR="00416FE7" w:rsidRPr="00210AC6" w:rsidRDefault="00416FE7" w:rsidP="001B435C">
            <w:pPr>
              <w:rPr>
                <w:rFonts w:cs="Arial"/>
                <w:b/>
                <w:bCs/>
                <w:szCs w:val="16"/>
              </w:rPr>
            </w:pPr>
            <w:r w:rsidRPr="00210AC6">
              <w:rPr>
                <w:rFonts w:cs="Arial"/>
                <w:b/>
                <w:bCs/>
                <w:szCs w:val="16"/>
              </w:rPr>
              <w:t>Performance (%)</w:t>
            </w:r>
          </w:p>
        </w:tc>
        <w:tc>
          <w:tcPr>
            <w:tcW w:w="833" w:type="pct"/>
          </w:tcPr>
          <w:p w14:paraId="72D93A33" w14:textId="77777777" w:rsidR="00416FE7" w:rsidRPr="00210AC6" w:rsidRDefault="00416FE7" w:rsidP="001B435C">
            <w:pPr>
              <w:rPr>
                <w:rFonts w:cs="Arial"/>
                <w:b/>
                <w:bCs/>
                <w:szCs w:val="16"/>
              </w:rPr>
            </w:pPr>
            <w:r w:rsidRPr="00210AC6">
              <w:rPr>
                <w:rFonts w:cs="Arial"/>
                <w:b/>
                <w:bCs/>
                <w:szCs w:val="16"/>
              </w:rPr>
              <w:t>Score</w:t>
            </w:r>
          </w:p>
        </w:tc>
      </w:tr>
      <w:tr w:rsidR="00416FE7" w:rsidRPr="00210AC6" w14:paraId="3576F7AF" w14:textId="77777777" w:rsidTr="001B435C">
        <w:tc>
          <w:tcPr>
            <w:tcW w:w="3334" w:type="pct"/>
          </w:tcPr>
          <w:p w14:paraId="556C4994" w14:textId="3CB87F35" w:rsidR="00416FE7" w:rsidRPr="00210AC6" w:rsidRDefault="00416FE7" w:rsidP="00416FE7">
            <w:pPr>
              <w:rPr>
                <w:rFonts w:cs="Arial"/>
                <w:b/>
                <w:bCs/>
                <w:szCs w:val="16"/>
              </w:rPr>
            </w:pPr>
            <w:r w:rsidRPr="00210AC6">
              <w:rPr>
                <w:rFonts w:cs="Arial"/>
                <w:b/>
                <w:bCs/>
                <w:szCs w:val="16"/>
              </w:rPr>
              <w:t>Average Percentage of 3rd through 8th Grade Children with Disabilities Participating in Regular Statewide Assessments</w:t>
            </w:r>
          </w:p>
        </w:tc>
        <w:tc>
          <w:tcPr>
            <w:tcW w:w="833" w:type="pct"/>
          </w:tcPr>
          <w:p w14:paraId="364F8C88" w14:textId="1031B68F" w:rsidR="00416FE7" w:rsidRPr="00210AC6" w:rsidRDefault="00416FE7" w:rsidP="00416FE7">
            <w:pPr>
              <w:rPr>
                <w:rFonts w:cs="Arial"/>
                <w:szCs w:val="16"/>
              </w:rPr>
            </w:pPr>
            <w:r w:rsidRPr="00210AC6">
              <w:rPr>
                <w:rFonts w:cs="Arial"/>
                <w:szCs w:val="16"/>
              </w:rPr>
              <w:t>92%</w:t>
            </w:r>
          </w:p>
        </w:tc>
        <w:tc>
          <w:tcPr>
            <w:tcW w:w="833" w:type="pct"/>
          </w:tcPr>
          <w:p w14:paraId="24CF081D" w14:textId="4C5055FB" w:rsidR="00416FE7" w:rsidRPr="00210AC6" w:rsidRDefault="00416FE7" w:rsidP="00416FE7">
            <w:pPr>
              <w:rPr>
                <w:rFonts w:cs="Arial"/>
                <w:szCs w:val="16"/>
              </w:rPr>
            </w:pPr>
            <w:r w:rsidRPr="00210AC6">
              <w:rPr>
                <w:rFonts w:cs="Arial"/>
                <w:szCs w:val="16"/>
              </w:rPr>
              <w:t>2</w:t>
            </w:r>
          </w:p>
        </w:tc>
      </w:tr>
      <w:tr w:rsidR="0090140E" w:rsidRPr="00210AC6" w14:paraId="3147F33B" w14:textId="77777777" w:rsidTr="001B435C">
        <w:tc>
          <w:tcPr>
            <w:tcW w:w="3334" w:type="pct"/>
          </w:tcPr>
          <w:p w14:paraId="3008C26D" w14:textId="2D6A08DB"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5B179EDF" w14:textId="5100C431" w:rsidR="0090140E" w:rsidRPr="00210AC6" w:rsidRDefault="0090140E" w:rsidP="0090140E">
            <w:pPr>
              <w:rPr>
                <w:rFonts w:cs="Arial"/>
                <w:szCs w:val="16"/>
              </w:rPr>
            </w:pPr>
            <w:r w:rsidRPr="00210AC6">
              <w:rPr>
                <w:rFonts w:cs="Arial"/>
                <w:szCs w:val="16"/>
              </w:rPr>
              <w:t>N/A</w:t>
            </w:r>
          </w:p>
        </w:tc>
        <w:tc>
          <w:tcPr>
            <w:tcW w:w="833" w:type="pct"/>
          </w:tcPr>
          <w:p w14:paraId="3436B198" w14:textId="56799CF9" w:rsidR="0090140E" w:rsidRPr="00210AC6" w:rsidRDefault="0090140E" w:rsidP="0090140E">
            <w:pPr>
              <w:rPr>
                <w:rFonts w:cs="Arial"/>
                <w:szCs w:val="16"/>
              </w:rPr>
            </w:pPr>
            <w:r w:rsidRPr="00210AC6">
              <w:rPr>
                <w:rFonts w:cs="Arial"/>
                <w:szCs w:val="16"/>
              </w:rPr>
              <w:t>N/A</w:t>
            </w:r>
          </w:p>
        </w:tc>
      </w:tr>
      <w:tr w:rsidR="0090140E" w:rsidRPr="00210AC6" w14:paraId="478FBE68" w14:textId="77777777" w:rsidTr="001B435C">
        <w:tc>
          <w:tcPr>
            <w:tcW w:w="3334" w:type="pct"/>
          </w:tcPr>
          <w:p w14:paraId="304ADE33" w14:textId="2701A6F9"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433B141B" w14:textId="03820D43" w:rsidR="0090140E" w:rsidRPr="00210AC6" w:rsidRDefault="0090140E" w:rsidP="0090140E">
            <w:pPr>
              <w:rPr>
                <w:rFonts w:cs="Arial"/>
                <w:szCs w:val="16"/>
              </w:rPr>
            </w:pPr>
            <w:r w:rsidRPr="00210AC6">
              <w:rPr>
                <w:rFonts w:cs="Arial"/>
                <w:szCs w:val="16"/>
              </w:rPr>
              <w:t>N/A</w:t>
            </w:r>
          </w:p>
        </w:tc>
        <w:tc>
          <w:tcPr>
            <w:tcW w:w="833" w:type="pct"/>
          </w:tcPr>
          <w:p w14:paraId="4C7F37E2" w14:textId="4C87E6B3" w:rsidR="0090140E" w:rsidRPr="00210AC6" w:rsidRDefault="0090140E" w:rsidP="0090140E">
            <w:pPr>
              <w:rPr>
                <w:rFonts w:cs="Arial"/>
                <w:szCs w:val="16"/>
              </w:rPr>
            </w:pPr>
            <w:r w:rsidRPr="00210AC6">
              <w:rPr>
                <w:rFonts w:cs="Arial"/>
                <w:szCs w:val="16"/>
              </w:rPr>
              <w:t>N/A</w:t>
            </w:r>
          </w:p>
        </w:tc>
      </w:tr>
      <w:tr w:rsidR="0090140E" w:rsidRPr="00210AC6" w14:paraId="426AD3A6" w14:textId="77777777" w:rsidTr="001B435C">
        <w:tc>
          <w:tcPr>
            <w:tcW w:w="3334" w:type="pct"/>
          </w:tcPr>
          <w:p w14:paraId="7088656F" w14:textId="1FF99233"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3BA8425E" w14:textId="5F95FFDB" w:rsidR="0090140E" w:rsidRPr="00210AC6" w:rsidRDefault="0090140E" w:rsidP="0090140E">
            <w:pPr>
              <w:rPr>
                <w:rFonts w:cs="Arial"/>
                <w:szCs w:val="16"/>
              </w:rPr>
            </w:pPr>
            <w:r w:rsidRPr="00210AC6">
              <w:rPr>
                <w:rFonts w:cs="Arial"/>
                <w:szCs w:val="16"/>
              </w:rPr>
              <w:t>N/A</w:t>
            </w:r>
          </w:p>
        </w:tc>
        <w:tc>
          <w:tcPr>
            <w:tcW w:w="833" w:type="pct"/>
          </w:tcPr>
          <w:p w14:paraId="4106F17B" w14:textId="5036CD08" w:rsidR="0090140E" w:rsidRPr="00210AC6" w:rsidRDefault="0090140E" w:rsidP="0090140E">
            <w:pPr>
              <w:rPr>
                <w:rFonts w:cs="Arial"/>
                <w:szCs w:val="16"/>
              </w:rPr>
            </w:pPr>
            <w:r w:rsidRPr="00210AC6">
              <w:rPr>
                <w:rFonts w:cs="Arial"/>
                <w:szCs w:val="16"/>
              </w:rPr>
              <w:t>N/A</w:t>
            </w:r>
          </w:p>
        </w:tc>
      </w:tr>
      <w:tr w:rsidR="0090140E" w:rsidRPr="00210AC6" w14:paraId="338082DF" w14:textId="77777777" w:rsidTr="001B435C">
        <w:tc>
          <w:tcPr>
            <w:tcW w:w="3334" w:type="pct"/>
          </w:tcPr>
          <w:p w14:paraId="17466A96" w14:textId="40A60D61"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0373C9D2" w14:textId="6A5FEB8E" w:rsidR="0090140E" w:rsidRPr="00210AC6" w:rsidRDefault="0090140E" w:rsidP="0090140E">
            <w:pPr>
              <w:rPr>
                <w:rFonts w:cs="Arial"/>
                <w:szCs w:val="16"/>
              </w:rPr>
            </w:pPr>
            <w:r w:rsidRPr="00210AC6">
              <w:rPr>
                <w:rFonts w:cs="Arial"/>
                <w:szCs w:val="16"/>
              </w:rPr>
              <w:t>N/A</w:t>
            </w:r>
          </w:p>
        </w:tc>
        <w:tc>
          <w:tcPr>
            <w:tcW w:w="833" w:type="pct"/>
          </w:tcPr>
          <w:p w14:paraId="0C124227" w14:textId="33EC939D" w:rsidR="0090140E" w:rsidRPr="00210AC6" w:rsidRDefault="0090140E" w:rsidP="0090140E">
            <w:pPr>
              <w:rPr>
                <w:rFonts w:cs="Arial"/>
                <w:szCs w:val="16"/>
              </w:rPr>
            </w:pPr>
            <w:r w:rsidRPr="00210AC6">
              <w:rPr>
                <w:rFonts w:cs="Arial"/>
                <w:szCs w:val="16"/>
              </w:rPr>
              <w:t>N/A</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ENSTERSTCFFY"/>
      </w:tblPr>
      <w:tblGrid>
        <w:gridCol w:w="7205"/>
        <w:gridCol w:w="1803"/>
        <w:gridCol w:w="1801"/>
      </w:tblGrid>
      <w:tr w:rsidR="00FB3CF2" w:rsidRPr="00210AC6" w14:paraId="35694EA8" w14:textId="77777777" w:rsidTr="001B435C">
        <w:trPr>
          <w:tblHeader/>
        </w:trPr>
        <w:tc>
          <w:tcPr>
            <w:tcW w:w="3333" w:type="pct"/>
          </w:tcPr>
          <w:p w14:paraId="50A1F6F7" w14:textId="77777777" w:rsidR="00FB3CF2" w:rsidRPr="00210AC6" w:rsidRDefault="00FB3CF2" w:rsidP="001B435C">
            <w:pPr>
              <w:rPr>
                <w:rFonts w:cs="Arial"/>
                <w:b/>
                <w:bCs/>
                <w:szCs w:val="16"/>
              </w:rPr>
            </w:pPr>
            <w:r w:rsidRPr="00210AC6">
              <w:rPr>
                <w:rFonts w:cs="Arial"/>
                <w:b/>
                <w:bCs/>
                <w:szCs w:val="16"/>
              </w:rPr>
              <w:t>Math Assessment Elements</w:t>
            </w:r>
          </w:p>
        </w:tc>
        <w:tc>
          <w:tcPr>
            <w:tcW w:w="834" w:type="pct"/>
          </w:tcPr>
          <w:p w14:paraId="708C308D" w14:textId="77777777" w:rsidR="00FB3CF2" w:rsidRPr="00210AC6" w:rsidRDefault="00FB3CF2" w:rsidP="001B435C">
            <w:pPr>
              <w:rPr>
                <w:rFonts w:cs="Arial"/>
                <w:b/>
                <w:bCs/>
                <w:szCs w:val="16"/>
              </w:rPr>
            </w:pPr>
            <w:r w:rsidRPr="00210AC6">
              <w:rPr>
                <w:rFonts w:cs="Arial"/>
                <w:b/>
                <w:bCs/>
                <w:szCs w:val="16"/>
              </w:rPr>
              <w:t>Performance (%)</w:t>
            </w:r>
          </w:p>
        </w:tc>
        <w:tc>
          <w:tcPr>
            <w:tcW w:w="833" w:type="pct"/>
          </w:tcPr>
          <w:p w14:paraId="4D2F94B9" w14:textId="77777777" w:rsidR="00FB3CF2" w:rsidRPr="00210AC6" w:rsidRDefault="00FB3CF2" w:rsidP="001B435C">
            <w:pPr>
              <w:rPr>
                <w:rFonts w:cs="Arial"/>
                <w:b/>
                <w:bCs/>
                <w:szCs w:val="16"/>
              </w:rPr>
            </w:pPr>
            <w:r w:rsidRPr="00210AC6">
              <w:rPr>
                <w:rFonts w:cs="Arial"/>
                <w:b/>
                <w:bCs/>
                <w:szCs w:val="16"/>
              </w:rPr>
              <w:t>Score</w:t>
            </w:r>
          </w:p>
        </w:tc>
      </w:tr>
      <w:tr w:rsidR="00FB3CF2" w:rsidRPr="00210AC6" w14:paraId="3E7BFA2B" w14:textId="77777777" w:rsidTr="001B435C">
        <w:tc>
          <w:tcPr>
            <w:tcW w:w="3333" w:type="pct"/>
          </w:tcPr>
          <w:p w14:paraId="23FB4785" w14:textId="05AB80ED" w:rsidR="00FB3CF2" w:rsidRPr="00210AC6" w:rsidRDefault="00FB3CF2" w:rsidP="00FB3CF2">
            <w:pPr>
              <w:rPr>
                <w:rFonts w:cs="Arial"/>
                <w:b/>
                <w:bCs/>
                <w:szCs w:val="16"/>
              </w:rPr>
            </w:pPr>
            <w:r w:rsidRPr="00210AC6">
              <w:rPr>
                <w:rFonts w:cs="Arial"/>
                <w:b/>
                <w:bCs/>
                <w:szCs w:val="16"/>
              </w:rPr>
              <w:t>Average Percentage of 3rd through 8th Grade Children with Disabilities Participating in Regular Statewide Assessments</w:t>
            </w:r>
          </w:p>
        </w:tc>
        <w:tc>
          <w:tcPr>
            <w:tcW w:w="834" w:type="pct"/>
          </w:tcPr>
          <w:p w14:paraId="79F36D8A" w14:textId="7CB47D3A" w:rsidR="00FB3CF2" w:rsidRPr="00210AC6" w:rsidRDefault="00FB3CF2" w:rsidP="00FB3CF2">
            <w:pPr>
              <w:rPr>
                <w:rFonts w:cs="Arial"/>
                <w:szCs w:val="16"/>
              </w:rPr>
            </w:pPr>
            <w:r w:rsidRPr="00210AC6">
              <w:rPr>
                <w:rFonts w:cs="Arial"/>
                <w:szCs w:val="16"/>
              </w:rPr>
              <w:t>92%</w:t>
            </w:r>
          </w:p>
        </w:tc>
        <w:tc>
          <w:tcPr>
            <w:tcW w:w="833" w:type="pct"/>
          </w:tcPr>
          <w:p w14:paraId="0ABE3821" w14:textId="13CF98A7" w:rsidR="00FB3CF2" w:rsidRPr="00210AC6" w:rsidRDefault="00FB3CF2" w:rsidP="00FB3CF2">
            <w:pPr>
              <w:rPr>
                <w:rFonts w:cs="Arial"/>
                <w:szCs w:val="16"/>
              </w:rPr>
            </w:pPr>
            <w:r w:rsidRPr="00210AC6">
              <w:rPr>
                <w:rFonts w:cs="Arial"/>
                <w:szCs w:val="16"/>
              </w:rPr>
              <w:t>2</w:t>
            </w:r>
          </w:p>
        </w:tc>
      </w:tr>
      <w:tr w:rsidR="0090140E" w:rsidRPr="00210AC6" w14:paraId="7544199D" w14:textId="77777777" w:rsidTr="001B435C">
        <w:tc>
          <w:tcPr>
            <w:tcW w:w="3333" w:type="pct"/>
          </w:tcPr>
          <w:p w14:paraId="35391598" w14:textId="35CA2AA2" w:rsidR="0090140E" w:rsidRPr="00210AC6" w:rsidRDefault="0090140E" w:rsidP="0090140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69FE371E" w14:textId="6385F06E" w:rsidR="0090140E" w:rsidRPr="00210AC6" w:rsidRDefault="0090140E" w:rsidP="0090140E">
            <w:pPr>
              <w:rPr>
                <w:rFonts w:cs="Arial"/>
                <w:szCs w:val="16"/>
              </w:rPr>
            </w:pPr>
            <w:r w:rsidRPr="00210AC6">
              <w:rPr>
                <w:rFonts w:cs="Arial"/>
                <w:szCs w:val="16"/>
              </w:rPr>
              <w:t>N/A</w:t>
            </w:r>
          </w:p>
        </w:tc>
        <w:tc>
          <w:tcPr>
            <w:tcW w:w="833" w:type="pct"/>
          </w:tcPr>
          <w:p w14:paraId="58955E00" w14:textId="69CA2D1A" w:rsidR="0090140E" w:rsidRPr="00210AC6" w:rsidRDefault="0090140E" w:rsidP="0090140E">
            <w:pPr>
              <w:rPr>
                <w:rFonts w:cs="Arial"/>
                <w:szCs w:val="16"/>
              </w:rPr>
            </w:pPr>
            <w:r w:rsidRPr="00210AC6">
              <w:rPr>
                <w:rFonts w:cs="Arial"/>
                <w:szCs w:val="16"/>
              </w:rPr>
              <w:t>N/A</w:t>
            </w:r>
          </w:p>
        </w:tc>
      </w:tr>
      <w:tr w:rsidR="0090140E" w:rsidRPr="00210AC6" w14:paraId="0BD5E8F2" w14:textId="77777777" w:rsidTr="001B435C">
        <w:tc>
          <w:tcPr>
            <w:tcW w:w="3333" w:type="pct"/>
          </w:tcPr>
          <w:p w14:paraId="5097804A" w14:textId="4DF88846" w:rsidR="0090140E" w:rsidRPr="00210AC6" w:rsidRDefault="0090140E" w:rsidP="0090140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F217238" w14:textId="56C788CA" w:rsidR="0090140E" w:rsidRPr="00210AC6" w:rsidRDefault="0090140E" w:rsidP="0090140E">
            <w:pPr>
              <w:rPr>
                <w:rFonts w:cs="Arial"/>
                <w:szCs w:val="16"/>
              </w:rPr>
            </w:pPr>
            <w:r w:rsidRPr="00210AC6">
              <w:rPr>
                <w:rFonts w:cs="Arial"/>
                <w:szCs w:val="16"/>
              </w:rPr>
              <w:t>N/A</w:t>
            </w:r>
          </w:p>
        </w:tc>
        <w:tc>
          <w:tcPr>
            <w:tcW w:w="833" w:type="pct"/>
          </w:tcPr>
          <w:p w14:paraId="2127B84B" w14:textId="4A266A7B" w:rsidR="0090140E" w:rsidRPr="00210AC6" w:rsidRDefault="0090140E" w:rsidP="0090140E">
            <w:pPr>
              <w:rPr>
                <w:rFonts w:cs="Arial"/>
                <w:szCs w:val="16"/>
              </w:rPr>
            </w:pPr>
            <w:r w:rsidRPr="00210AC6">
              <w:rPr>
                <w:rFonts w:cs="Arial"/>
                <w:szCs w:val="16"/>
              </w:rPr>
              <w:t>N/A</w:t>
            </w:r>
          </w:p>
        </w:tc>
      </w:tr>
      <w:tr w:rsidR="0090140E" w:rsidRPr="00210AC6" w14:paraId="3B695D67" w14:textId="77777777" w:rsidTr="001B435C">
        <w:tc>
          <w:tcPr>
            <w:tcW w:w="3333" w:type="pct"/>
          </w:tcPr>
          <w:p w14:paraId="28563B45" w14:textId="15A1F044" w:rsidR="0090140E" w:rsidRPr="00210AC6" w:rsidRDefault="0090140E" w:rsidP="0090140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F2C981E" w14:textId="7AA9357D" w:rsidR="0090140E" w:rsidRPr="00210AC6" w:rsidRDefault="0090140E" w:rsidP="0090140E">
            <w:pPr>
              <w:rPr>
                <w:rFonts w:cs="Arial"/>
                <w:szCs w:val="16"/>
              </w:rPr>
            </w:pPr>
            <w:r w:rsidRPr="00210AC6">
              <w:rPr>
                <w:rFonts w:cs="Arial"/>
                <w:szCs w:val="16"/>
              </w:rPr>
              <w:t>N/A</w:t>
            </w:r>
          </w:p>
        </w:tc>
        <w:tc>
          <w:tcPr>
            <w:tcW w:w="833" w:type="pct"/>
          </w:tcPr>
          <w:p w14:paraId="3CD46667" w14:textId="5759BB05" w:rsidR="0090140E" w:rsidRPr="00210AC6" w:rsidRDefault="0090140E" w:rsidP="0090140E">
            <w:pPr>
              <w:rPr>
                <w:rFonts w:cs="Arial"/>
                <w:szCs w:val="16"/>
              </w:rPr>
            </w:pPr>
            <w:r w:rsidRPr="00210AC6">
              <w:rPr>
                <w:rFonts w:cs="Arial"/>
                <w:szCs w:val="16"/>
              </w:rPr>
              <w:t>N/A</w:t>
            </w:r>
          </w:p>
        </w:tc>
      </w:tr>
      <w:tr w:rsidR="0090140E" w:rsidRPr="00210AC6" w14:paraId="5C3515FD" w14:textId="77777777" w:rsidTr="001B435C">
        <w:tc>
          <w:tcPr>
            <w:tcW w:w="3333" w:type="pct"/>
          </w:tcPr>
          <w:p w14:paraId="5431060B" w14:textId="76DEE8D9" w:rsidR="0090140E" w:rsidRPr="00210AC6" w:rsidRDefault="0090140E" w:rsidP="0090140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7C1B4BA" w14:textId="4D60A5ED" w:rsidR="0090140E" w:rsidRPr="00210AC6" w:rsidRDefault="0090140E" w:rsidP="0090140E">
            <w:pPr>
              <w:rPr>
                <w:rFonts w:cs="Arial"/>
                <w:szCs w:val="16"/>
              </w:rPr>
            </w:pPr>
            <w:r w:rsidRPr="00210AC6">
              <w:rPr>
                <w:rFonts w:cs="Arial"/>
                <w:szCs w:val="16"/>
              </w:rPr>
              <w:t>N/A</w:t>
            </w:r>
          </w:p>
        </w:tc>
        <w:tc>
          <w:tcPr>
            <w:tcW w:w="833" w:type="pct"/>
          </w:tcPr>
          <w:p w14:paraId="5D3F3084" w14:textId="613D0819" w:rsidR="0090140E" w:rsidRPr="00210AC6" w:rsidRDefault="0090140E" w:rsidP="0090140E">
            <w:pPr>
              <w:rPr>
                <w:rFonts w:cs="Arial"/>
                <w:szCs w:val="16"/>
              </w:rPr>
            </w:pPr>
            <w:r w:rsidRPr="00210AC6">
              <w:rPr>
                <w:rFonts w:cs="Arial"/>
                <w:szCs w:val="16"/>
              </w:rPr>
              <w:t>N/A</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STERSTCFFYEXIT"/>
      </w:tblPr>
      <w:tblGrid>
        <w:gridCol w:w="4899"/>
        <w:gridCol w:w="2954"/>
        <w:gridCol w:w="2937"/>
      </w:tblGrid>
      <w:tr w:rsidR="0075626F" w14:paraId="4A2A926A" w14:textId="77777777">
        <w:trPr>
          <w:divId w:val="380713603"/>
          <w:tblHeader/>
        </w:trPr>
        <w:tc>
          <w:tcPr>
            <w:tcW w:w="2270" w:type="pct"/>
            <w:tcBorders>
              <w:top w:val="single" w:sz="4" w:space="0" w:color="auto"/>
              <w:left w:val="single" w:sz="4" w:space="0" w:color="auto"/>
              <w:bottom w:val="single" w:sz="4" w:space="0" w:color="auto"/>
              <w:right w:val="single" w:sz="4" w:space="0" w:color="auto"/>
            </w:tcBorders>
            <w:hideMark/>
          </w:tcPr>
          <w:p w14:paraId="27B73411" w14:textId="77777777" w:rsidR="0075626F" w:rsidRDefault="0075626F" w:rsidP="0075626F">
            <w:pPr>
              <w:rPr>
                <w:rFonts w:eastAsiaTheme="majorEastAsia" w:cs="Arial"/>
                <w:b/>
                <w:bCs/>
                <w:szCs w:val="16"/>
              </w:rPr>
            </w:pPr>
            <w:r>
              <w:rPr>
                <w:rFonts w:cs="Arial"/>
                <w:b/>
                <w:bCs/>
                <w:szCs w:val="16"/>
              </w:rPr>
              <w:t>Exiting Data Elements</w:t>
            </w:r>
          </w:p>
        </w:tc>
        <w:tc>
          <w:tcPr>
            <w:tcW w:w="1369" w:type="pct"/>
            <w:tcBorders>
              <w:top w:val="single" w:sz="4" w:space="0" w:color="auto"/>
              <w:left w:val="single" w:sz="4" w:space="0" w:color="auto"/>
              <w:bottom w:val="single" w:sz="4" w:space="0" w:color="auto"/>
              <w:right w:val="single" w:sz="4" w:space="0" w:color="auto"/>
            </w:tcBorders>
            <w:hideMark/>
          </w:tcPr>
          <w:p w14:paraId="3A553EC7" w14:textId="77777777" w:rsidR="0075626F" w:rsidRDefault="0075626F" w:rsidP="0075626F">
            <w:pPr>
              <w:rPr>
                <w:rFonts w:cs="Arial"/>
                <w:b/>
                <w:bCs/>
                <w:szCs w:val="16"/>
              </w:rPr>
            </w:pPr>
            <w:r>
              <w:rPr>
                <w:rFonts w:cs="Arial"/>
                <w:b/>
                <w:bCs/>
                <w:szCs w:val="16"/>
              </w:rPr>
              <w:t>Performance (%)</w:t>
            </w:r>
          </w:p>
        </w:tc>
        <w:tc>
          <w:tcPr>
            <w:tcW w:w="1361" w:type="pct"/>
            <w:tcBorders>
              <w:top w:val="single" w:sz="4" w:space="0" w:color="auto"/>
              <w:left w:val="single" w:sz="4" w:space="0" w:color="auto"/>
              <w:bottom w:val="single" w:sz="4" w:space="0" w:color="auto"/>
              <w:right w:val="single" w:sz="4" w:space="0" w:color="auto"/>
            </w:tcBorders>
            <w:hideMark/>
          </w:tcPr>
          <w:p w14:paraId="73562085" w14:textId="77777777" w:rsidR="0075626F" w:rsidRDefault="0075626F" w:rsidP="0075626F">
            <w:pPr>
              <w:rPr>
                <w:rFonts w:cs="Arial"/>
                <w:b/>
                <w:bCs/>
                <w:szCs w:val="16"/>
              </w:rPr>
            </w:pPr>
            <w:r>
              <w:rPr>
                <w:rFonts w:cs="Arial"/>
                <w:b/>
                <w:bCs/>
                <w:szCs w:val="16"/>
              </w:rPr>
              <w:t>Score</w:t>
            </w:r>
          </w:p>
        </w:tc>
      </w:tr>
      <w:tr w:rsidR="0075626F" w14:paraId="33823BAC"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5E3FCF56" w14:textId="77777777" w:rsidR="0075626F" w:rsidRDefault="0075626F" w:rsidP="0075626F">
            <w:pPr>
              <w:rPr>
                <w:rFonts w:cs="Arial"/>
                <w:b/>
                <w:bCs/>
                <w:szCs w:val="16"/>
              </w:rPr>
            </w:pPr>
            <w:r>
              <w:rPr>
                <w:rFonts w:cs="Arial"/>
                <w:b/>
                <w:bCs/>
                <w:szCs w:val="16"/>
              </w:rPr>
              <w:t>Percentage of Children with Disabilities who Dropped Out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5102067C" w14:textId="77777777" w:rsidR="0075626F" w:rsidRDefault="0075626F" w:rsidP="0075626F">
            <w:pPr>
              <w:rPr>
                <w:rFonts w:cs="Arial"/>
                <w:szCs w:val="16"/>
              </w:rPr>
            </w:pPr>
            <w:r>
              <w:rPr>
                <w:rFonts w:cs="Arial"/>
                <w:szCs w:val="16"/>
              </w:rPr>
              <w:t>29</w:t>
            </w:r>
          </w:p>
        </w:tc>
        <w:tc>
          <w:tcPr>
            <w:tcW w:w="1361" w:type="pct"/>
            <w:tcBorders>
              <w:top w:val="single" w:sz="4" w:space="0" w:color="auto"/>
              <w:left w:val="single" w:sz="4" w:space="0" w:color="auto"/>
              <w:bottom w:val="single" w:sz="4" w:space="0" w:color="auto"/>
              <w:right w:val="single" w:sz="4" w:space="0" w:color="auto"/>
            </w:tcBorders>
            <w:hideMark/>
          </w:tcPr>
          <w:p w14:paraId="55BFA0A2" w14:textId="77777777" w:rsidR="0075626F" w:rsidRDefault="0075626F" w:rsidP="0075626F">
            <w:pPr>
              <w:rPr>
                <w:rFonts w:cs="Arial"/>
                <w:szCs w:val="16"/>
              </w:rPr>
            </w:pPr>
            <w:r>
              <w:rPr>
                <w:rFonts w:cs="Arial"/>
                <w:szCs w:val="16"/>
              </w:rPr>
              <w:t>0</w:t>
            </w:r>
          </w:p>
        </w:tc>
      </w:tr>
      <w:tr w:rsidR="0075626F" w14:paraId="6039F87A" w14:textId="77777777">
        <w:trPr>
          <w:divId w:val="380713603"/>
        </w:trPr>
        <w:tc>
          <w:tcPr>
            <w:tcW w:w="2270" w:type="pct"/>
            <w:tcBorders>
              <w:top w:val="single" w:sz="4" w:space="0" w:color="auto"/>
              <w:left w:val="single" w:sz="4" w:space="0" w:color="auto"/>
              <w:bottom w:val="single" w:sz="4" w:space="0" w:color="auto"/>
              <w:right w:val="single" w:sz="4" w:space="0" w:color="auto"/>
            </w:tcBorders>
            <w:hideMark/>
          </w:tcPr>
          <w:p w14:paraId="263800A4" w14:textId="0AB6A99C" w:rsidR="0075626F" w:rsidRDefault="0075626F" w:rsidP="0075626F">
            <w:pPr>
              <w:rPr>
                <w:rFonts w:cs="Arial"/>
                <w:b/>
                <w:bCs/>
                <w:szCs w:val="16"/>
              </w:rPr>
            </w:pPr>
            <w:r>
              <w:rPr>
                <w:rFonts w:cs="Arial"/>
                <w:b/>
                <w:bCs/>
                <w:szCs w:val="16"/>
              </w:rPr>
              <w:t>Percentage of Children with Disabilities who Graduated with a Regular High School Diploma Over Previous 3 Years**</w:t>
            </w:r>
          </w:p>
        </w:tc>
        <w:tc>
          <w:tcPr>
            <w:tcW w:w="1369" w:type="pct"/>
            <w:tcBorders>
              <w:top w:val="single" w:sz="4" w:space="0" w:color="auto"/>
              <w:left w:val="single" w:sz="4" w:space="0" w:color="auto"/>
              <w:bottom w:val="single" w:sz="4" w:space="0" w:color="auto"/>
              <w:right w:val="single" w:sz="4" w:space="0" w:color="auto"/>
            </w:tcBorders>
            <w:hideMark/>
          </w:tcPr>
          <w:p w14:paraId="4D7D4E2C" w14:textId="77777777" w:rsidR="0075626F" w:rsidRDefault="0075626F" w:rsidP="0075626F">
            <w:pPr>
              <w:rPr>
                <w:rFonts w:cs="Arial"/>
                <w:szCs w:val="16"/>
              </w:rPr>
            </w:pPr>
            <w:r>
              <w:rPr>
                <w:rFonts w:cs="Arial"/>
                <w:szCs w:val="16"/>
              </w:rPr>
              <w:t>69</w:t>
            </w:r>
          </w:p>
        </w:tc>
        <w:tc>
          <w:tcPr>
            <w:tcW w:w="1361" w:type="pct"/>
            <w:tcBorders>
              <w:top w:val="single" w:sz="4" w:space="0" w:color="auto"/>
              <w:left w:val="single" w:sz="4" w:space="0" w:color="auto"/>
              <w:bottom w:val="single" w:sz="4" w:space="0" w:color="auto"/>
              <w:right w:val="single" w:sz="4" w:space="0" w:color="auto"/>
            </w:tcBorders>
            <w:hideMark/>
          </w:tcPr>
          <w:p w14:paraId="5B2CC978"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4"/>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N/A</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N/A</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N/A</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N/A</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N/A</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N/A</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82.19%</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1</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N/A</w:t>
            </w:r>
          </w:p>
        </w:tc>
        <w:tc>
          <w:tcPr>
            <w:tcW w:w="832" w:type="pct"/>
          </w:tcPr>
          <w:p w14:paraId="6054F9DF" w14:textId="6A2554B4" w:rsidR="00AA1152" w:rsidRPr="00210AC6" w:rsidRDefault="00AA1152" w:rsidP="00AA1152">
            <w:pPr>
              <w:rPr>
                <w:rFonts w:cs="Arial"/>
                <w:szCs w:val="16"/>
              </w:rPr>
            </w:pPr>
            <w:r w:rsidRPr="00210AC6">
              <w:rPr>
                <w:rFonts w:cs="Arial"/>
                <w:szCs w:val="16"/>
              </w:rPr>
              <w:t>N/A</w:t>
            </w:r>
          </w:p>
        </w:tc>
        <w:tc>
          <w:tcPr>
            <w:tcW w:w="832" w:type="pct"/>
          </w:tcPr>
          <w:p w14:paraId="3702D281" w14:textId="352F6EC2" w:rsidR="00AA1152" w:rsidRPr="00210AC6" w:rsidRDefault="00AA1152" w:rsidP="00AA1152">
            <w:pPr>
              <w:rPr>
                <w:rFonts w:cs="Arial"/>
                <w:szCs w:val="16"/>
              </w:rPr>
            </w:pPr>
            <w:r w:rsidRPr="00210AC6">
              <w:rPr>
                <w:rFonts w:cs="Arial"/>
                <w:szCs w:val="16"/>
              </w:rPr>
              <w:t>N/A</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46.75%</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97.31%</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N/A</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N/A</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0</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Yes, 3 or more years</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52C3D505" w14:textId="77777777" w:rsidR="008A68E4" w:rsidRPr="008A68E4" w:rsidRDefault="008A68E4" w:rsidP="008A68E4">
      <w:pPr>
        <w:rPr>
          <w:b/>
          <w:bCs/>
          <w:sz w:val="20"/>
          <w:szCs w:val="28"/>
        </w:rPr>
      </w:pPr>
      <w:r w:rsidRPr="008A68E4">
        <w:rPr>
          <w:b/>
          <w:bCs/>
          <w:sz w:val="20"/>
          <w:szCs w:val="28"/>
        </w:rPr>
        <w:t>Bureau of Indian Education</w:t>
      </w:r>
    </w:p>
    <w:p w14:paraId="1C145314" w14:textId="77777777" w:rsidR="008A68E4" w:rsidRPr="008A68E4" w:rsidRDefault="008A68E4" w:rsidP="008A68E4"/>
    <w:p w14:paraId="27E7D5D5" w14:textId="314242AE" w:rsidR="00110BB6" w:rsidRDefault="00110BB6" w:rsidP="00110BB6">
      <w:pPr>
        <w:jc w:val="center"/>
      </w:pPr>
      <w:r>
        <w:t>FFY 2021 APR</w:t>
      </w:r>
      <w:r w:rsidR="00A47134">
        <w:rPr>
          <w:rStyle w:val="FootnoteReference"/>
        </w:rPr>
        <w:footnoteReference w:id="15"/>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N/A</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15</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20</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6"/>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20</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44.76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6</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46.00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0.9731</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97.31</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570D98F5" w14:textId="77777777" w:rsidR="008A68E4" w:rsidRDefault="008A68E4">
      <w:pPr>
        <w:spacing w:before="0" w:after="200" w:line="276" w:lineRule="auto"/>
      </w:pPr>
    </w:p>
    <w:p w14:paraId="10BA59E7" w14:textId="4684D711" w:rsidR="0058254D" w:rsidRDefault="008A68E4">
      <w:pPr>
        <w:spacing w:before="0" w:after="200" w:line="276" w:lineRule="auto"/>
      </w:pPr>
      <w:r>
        <w:object w:dxaOrig="1540" w:dyaOrig="997" w14:anchorId="0BBB03EC">
          <v:shape id="_x0000_i1026" type="#_x0000_t75" alt="BIE-B-DR-2021-22" style="width:79.2pt;height:50.4pt" o:ole="">
            <v:imagedata r:id="rId12" o:title=""/>
          </v:shape>
          <o:OLEObject Type="Embed" ProgID="Acrobat.Document.DC" ShapeID="_x0000_i1026" DrawAspect="Icon" ObjectID="_1753181284"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290E086E" w:rsidR="00D84A0A" w:rsidRPr="00D733C3" w:rsidRDefault="00000000">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83" w:name="Introduction"/>
      <w:bookmarkStart w:id="84" w:name="_Hlk124349373"/>
      <w:bookmarkEnd w:id="3"/>
      <w:bookmarkEnd w:id="83"/>
      <w:bookmarkEnd w:id="84"/>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E74F" w14:textId="77777777" w:rsidR="001D2BF5" w:rsidRDefault="001D2BF5" w:rsidP="000802F7">
      <w:pPr>
        <w:spacing w:before="0" w:after="0"/>
      </w:pPr>
      <w:r>
        <w:separator/>
      </w:r>
    </w:p>
  </w:endnote>
  <w:endnote w:type="continuationSeparator" w:id="0">
    <w:p w14:paraId="63F2758B" w14:textId="77777777" w:rsidR="001D2BF5" w:rsidRDefault="001D2BF5" w:rsidP="000802F7">
      <w:pPr>
        <w:spacing w:before="0" w:after="0"/>
      </w:pPr>
      <w:r>
        <w:continuationSeparator/>
      </w:r>
    </w:p>
  </w:endnote>
  <w:endnote w:type="continuationNotice" w:id="1">
    <w:p w14:paraId="3F35B662" w14:textId="77777777" w:rsidR="001D2BF5" w:rsidRDefault="001D2B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FF43" w14:textId="77777777" w:rsidR="001D2BF5" w:rsidRDefault="001D2BF5" w:rsidP="000802F7">
      <w:pPr>
        <w:spacing w:before="0" w:after="0"/>
      </w:pPr>
      <w:r>
        <w:separator/>
      </w:r>
    </w:p>
  </w:footnote>
  <w:footnote w:type="continuationSeparator" w:id="0">
    <w:p w14:paraId="61943974" w14:textId="77777777" w:rsidR="001D2BF5" w:rsidRDefault="001D2BF5" w:rsidP="000802F7">
      <w:pPr>
        <w:spacing w:before="0" w:after="0"/>
      </w:pPr>
      <w:r>
        <w:continuationSeparator/>
      </w:r>
    </w:p>
  </w:footnote>
  <w:footnote w:type="continuationNotice" w:id="1">
    <w:p w14:paraId="0537756B" w14:textId="77777777" w:rsidR="001D2BF5" w:rsidRDefault="001D2BF5">
      <w:pPr>
        <w:spacing w:before="0" w:after="0"/>
      </w:pPr>
    </w:p>
  </w:footnote>
  <w:footnote w:id="2">
    <w:p w14:paraId="3D0792DB" w14:textId="1AFBEAB8" w:rsidR="008A68E4" w:rsidRPr="00D4496B" w:rsidRDefault="008A68E4" w:rsidP="008A68E4">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D4496B">
        <w:rPr>
          <w:rFonts w:cs="Arial"/>
          <w:szCs w:val="16"/>
        </w:rPr>
        <w:t>ent data source to report data under this indicator.</w:t>
      </w:r>
      <w:bookmarkEnd w:id="5"/>
    </w:p>
  </w:footnote>
  <w:footnote w:id="3">
    <w:p w14:paraId="35F5AFEF" w14:textId="7EC9E013" w:rsidR="00D4496B" w:rsidRDefault="00D4496B">
      <w:pPr>
        <w:pStyle w:val="FootnoteText"/>
      </w:pPr>
      <w:r w:rsidRPr="00D4496B">
        <w:rPr>
          <w:rStyle w:val="FootnoteReference"/>
          <w:sz w:val="16"/>
          <w:szCs w:val="16"/>
        </w:rPr>
        <w:footnoteRef/>
      </w:r>
      <w:r w:rsidRPr="00D4496B">
        <w:rPr>
          <w:sz w:val="16"/>
          <w:szCs w:val="16"/>
        </w:rPr>
        <w:t xml:space="preserve"> </w:t>
      </w:r>
      <w:r w:rsidRPr="00D4496B">
        <w:rPr>
          <w:rFonts w:cs="Arial"/>
          <w:sz w:val="16"/>
          <w:szCs w:val="16"/>
        </w:rPr>
        <w:t>Percentage blurred due to privacy protection.</w:t>
      </w:r>
    </w:p>
  </w:footnote>
  <w:footnote w:id="4">
    <w:p w14:paraId="2AEA3395" w14:textId="63FFDD65" w:rsidR="008A68E4" w:rsidRPr="008A68E4" w:rsidRDefault="008A68E4" w:rsidP="008A68E4">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5">
    <w:p w14:paraId="498914A7" w14:textId="6AC38D9D" w:rsidR="00A84994" w:rsidRDefault="00A84994" w:rsidP="00A84994">
      <w:pPr>
        <w:pStyle w:val="FootnoteText"/>
      </w:pPr>
      <w:r>
        <w:rPr>
          <w:rStyle w:val="FootnoteReference"/>
        </w:rPr>
        <w:footnoteRef/>
      </w:r>
      <w:r>
        <w:t xml:space="preserve"> </w:t>
      </w:r>
      <w:r w:rsidRPr="00FB1E78">
        <w:rPr>
          <w:sz w:val="16"/>
          <w:szCs w:val="16"/>
        </w:rPr>
        <w:t>Data suppressed due to small cell size.</w:t>
      </w:r>
    </w:p>
  </w:footnote>
  <w:footnote w:id="6">
    <w:p w14:paraId="4118E562" w14:textId="25DFF6E2" w:rsidR="00FB1E78" w:rsidRDefault="00FB1E78">
      <w:pPr>
        <w:pStyle w:val="FootnoteText"/>
      </w:pPr>
      <w:r w:rsidRPr="00FB1E78">
        <w:rPr>
          <w:rStyle w:val="FootnoteReference"/>
          <w:sz w:val="16"/>
          <w:szCs w:val="16"/>
        </w:rPr>
        <w:footnoteRef/>
      </w:r>
      <w:r w:rsidRPr="00FB1E78">
        <w:rPr>
          <w:sz w:val="16"/>
          <w:szCs w:val="16"/>
        </w:rPr>
        <w:t xml:space="preserve"> Data suppressed due to small cell size.</w:t>
      </w:r>
    </w:p>
  </w:footnote>
  <w:footnote w:id="7">
    <w:p w14:paraId="466B059E" w14:textId="4C20CF91" w:rsidR="00CB6F92" w:rsidRDefault="00CB6F92" w:rsidP="00CB6F92">
      <w:pPr>
        <w:pStyle w:val="FootnoteText"/>
      </w:pPr>
      <w:r w:rsidRPr="00FB1E78">
        <w:rPr>
          <w:rStyle w:val="FootnoteReference"/>
          <w:sz w:val="16"/>
          <w:szCs w:val="16"/>
        </w:rPr>
        <w:footnoteRef/>
      </w:r>
      <w:r w:rsidRPr="00FB1E78">
        <w:rPr>
          <w:sz w:val="16"/>
          <w:szCs w:val="16"/>
        </w:rPr>
        <w:t xml:space="preserve"> Data suppressed due to small cell size.</w:t>
      </w:r>
    </w:p>
  </w:footnote>
  <w:footnote w:id="8">
    <w:p w14:paraId="2270D68A" w14:textId="65A74BE1" w:rsidR="00F73936" w:rsidRDefault="00F73936">
      <w:pPr>
        <w:pStyle w:val="FootnoteText"/>
      </w:pPr>
      <w:r w:rsidRPr="00F73936">
        <w:rPr>
          <w:rStyle w:val="FootnoteReference"/>
          <w:sz w:val="16"/>
          <w:szCs w:val="16"/>
        </w:rPr>
        <w:footnoteRef/>
      </w:r>
      <w:r w:rsidRPr="00F73936">
        <w:rPr>
          <w:sz w:val="16"/>
          <w:szCs w:val="16"/>
        </w:rPr>
        <w:t xml:space="preserve"> Data suppressed due to small cell size.</w:t>
      </w:r>
    </w:p>
  </w:footnote>
  <w:footnote w:id="9">
    <w:p w14:paraId="2683FC65" w14:textId="2CCE9F50" w:rsidR="00F73936" w:rsidRDefault="00F73936">
      <w:pPr>
        <w:pStyle w:val="FootnoteText"/>
      </w:pPr>
      <w:r w:rsidRPr="00F73936">
        <w:rPr>
          <w:rStyle w:val="FootnoteReference"/>
          <w:sz w:val="16"/>
          <w:szCs w:val="16"/>
        </w:rPr>
        <w:footnoteRef/>
      </w:r>
      <w:r w:rsidRPr="00F73936">
        <w:rPr>
          <w:sz w:val="16"/>
          <w:szCs w:val="16"/>
        </w:rPr>
        <w:t xml:space="preserve"> Data suppressed due to small cell size.</w:t>
      </w:r>
    </w:p>
  </w:footnote>
  <w:footnote w:id="10">
    <w:p w14:paraId="403763D1" w14:textId="1FB2C1C3" w:rsidR="00E81BA2" w:rsidRPr="00E81BA2" w:rsidRDefault="00E81BA2">
      <w:pPr>
        <w:pStyle w:val="FootnoteText"/>
        <w:rPr>
          <w:sz w:val="16"/>
          <w:szCs w:val="16"/>
        </w:rPr>
      </w:pPr>
      <w:r w:rsidRPr="00E81BA2">
        <w:rPr>
          <w:rStyle w:val="FootnoteReference"/>
          <w:sz w:val="16"/>
          <w:szCs w:val="16"/>
        </w:rPr>
        <w:footnoteRef/>
      </w:r>
      <w:r w:rsidRPr="00E81BA2">
        <w:rPr>
          <w:sz w:val="16"/>
          <w:szCs w:val="16"/>
        </w:rPr>
        <w:t xml:space="preserve"> Data suppressed due to small cell size.</w:t>
      </w:r>
    </w:p>
  </w:footnote>
  <w:footnote w:id="11">
    <w:p w14:paraId="56603835" w14:textId="7CBD9A9C" w:rsidR="00E81BA2" w:rsidRPr="00E81BA2" w:rsidRDefault="00E81BA2">
      <w:pPr>
        <w:pStyle w:val="FootnoteText"/>
        <w:rPr>
          <w:sz w:val="16"/>
          <w:szCs w:val="16"/>
        </w:rPr>
      </w:pPr>
      <w:r w:rsidRPr="00E81BA2">
        <w:rPr>
          <w:rStyle w:val="FootnoteReference"/>
          <w:sz w:val="16"/>
          <w:szCs w:val="16"/>
        </w:rPr>
        <w:footnoteRef/>
      </w:r>
      <w:r w:rsidRPr="00E81BA2">
        <w:rPr>
          <w:sz w:val="16"/>
          <w:szCs w:val="16"/>
        </w:rPr>
        <w:t xml:space="preserve"> Data suppressed due to small cell size.</w:t>
      </w:r>
    </w:p>
  </w:footnote>
  <w:footnote w:id="12">
    <w:p w14:paraId="38E3666E" w14:textId="388D0160" w:rsidR="00E81BA2" w:rsidRDefault="00E81BA2">
      <w:pPr>
        <w:pStyle w:val="FootnoteText"/>
      </w:pPr>
      <w:r w:rsidRPr="00E81BA2">
        <w:rPr>
          <w:rStyle w:val="FootnoteReference"/>
          <w:sz w:val="16"/>
          <w:szCs w:val="16"/>
        </w:rPr>
        <w:footnoteRef/>
      </w:r>
      <w:r w:rsidRPr="00E81BA2">
        <w:rPr>
          <w:sz w:val="16"/>
          <w:szCs w:val="16"/>
        </w:rPr>
        <w:t xml:space="preserve"> Data suppressed due to small cell size.</w:t>
      </w:r>
    </w:p>
  </w:footnote>
  <w:footnote w:id="13">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4">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5">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 xml:space="preserve">a </w:t>
      </w:r>
      <w:proofErr w:type="gramStart"/>
      <w:r w:rsidR="00E211BF" w:rsidRPr="00606A3B">
        <w:rPr>
          <w:rFonts w:eastAsia="Times New Roman" w:cs="Arial"/>
          <w:szCs w:val="16"/>
        </w:rPr>
        <w:t>State's</w:t>
      </w:r>
      <w:proofErr w:type="gramEnd"/>
      <w:r w:rsidR="00E211BF" w:rsidRPr="00606A3B">
        <w:rPr>
          <w:rFonts w:eastAsia="Times New Roman" w:cs="Arial"/>
          <w:szCs w:val="16"/>
        </w:rPr>
        <w:t xml:space="preserve">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6">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8D0CC6" w:rsidRPr="008D0CC6">
        <w:rPr>
          <w:color w:val="000000" w:themeColor="text1"/>
          <w:sz w:val="16"/>
          <w:szCs w:val="16"/>
        </w:rPr>
        <w:t>State's</w:t>
      </w:r>
      <w:proofErr w:type="gramEnd"/>
      <w:r w:rsidR="008D0CC6" w:rsidRPr="008D0CC6">
        <w:rPr>
          <w:color w:val="000000" w:themeColor="text1"/>
          <w:sz w:val="16"/>
          <w:szCs w:val="16"/>
        </w:rPr>
        <w:t xml:space="preserve">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00000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BF5"/>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2D55"/>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48B8"/>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B95"/>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064"/>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A12"/>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3E4"/>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8E4"/>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07B06"/>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2C6"/>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3480"/>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2B35"/>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994"/>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6F92"/>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96B"/>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1BA2"/>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C0C"/>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3936"/>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E78"/>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f4f48c-d55d-4625-8121-08fdad9dc02e">
      <UserInfo>
        <DisplayName/>
        <AccountId xsi:nil="true"/>
        <AccountType/>
      </UserInfo>
    </SharedWithUsers>
    <MediaLengthInSeconds xmlns="89bf3613-0818-48da-aadf-73420b6d03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1CA274-08EA-4FEB-83A9-D2165BDBAFBC}"/>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24</TotalTime>
  <Pages>76</Pages>
  <Words>41434</Words>
  <Characters>236177</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Elledge, Amy</cp:lastModifiedBy>
  <cp:revision>6</cp:revision>
  <cp:lastPrinted>2014-08-19T16:56:00Z</cp:lastPrinted>
  <dcterms:created xsi:type="dcterms:W3CDTF">2023-08-10T17:37:00Z</dcterms:created>
  <dcterms:modified xsi:type="dcterms:W3CDTF">2023-08-10T18:00:00Z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_ExtendedDescription">
    <vt:lpwstr/>
  </property>
  <property fmtid="{D5CDD505-2E9C-101B-9397-08002B2CF9AE}" pid="29" name="TriggerFlowInfo">
    <vt:lpwstr/>
  </property>
</Properties>
</file>