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American Samoa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This Annual Performance Report (APR) describes how the American Samoa (AS) Part C program, under the American Samoa Department of Health, carried out early intervention services for zero to three population with special needs during the reporting period of July 1, </w:t>
      </w:r>
      <w:proofErr w:type="gramStart"/>
      <w:r w:rsidRPr="00ED172B">
        <w:rPr>
          <w:color w:val="000000" w:themeColor="text1"/>
        </w:rPr>
        <w:t>2019</w:t>
      </w:r>
      <w:proofErr w:type="gramEnd"/>
      <w:r w:rsidRPr="00ED172B">
        <w:rPr>
          <w:color w:val="000000" w:themeColor="text1"/>
        </w:rPr>
        <w:t xml:space="preserve"> to June 30, 2020. The AS Part C program maintains a unitary system and its Lead Agency is the Department of Health. There is only one Part C program who is both the State and Local for the territory of American Samoa who staffs 6 government employees (2 who are EI providers, a data entry tech, an administrative assistant, a program manager, and the program coordinator) and 4 contracted specialists (Occupational, Physical, Speech therapist, and a psychologist). This APR was put together collaboratively by the Part C stakeholders and then submitted to its Interagency Coordinating Council for their review and certification.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During this reporting period, the AS Part C Program's data collection was slightly impacted by the measles and the COVID-19 restrictions. During both the measles outbreak and the COVID-19 pandemic, the AS Part C program had to place referrals and services on hold for a while to avoid any spread of the virus. Some of the families refused face-to-face services because of concerns of the contagiousness of the measles and telehealth was not readily available for some families resulting in some denial of services, multiple cancelations, and no shows.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American Samoa Early Intervention Program submitted its General Supervision systems document to OSEP in previous SPP/APR submissions and should be on file.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br/>
        <w:t xml:space="preserve">The American Samoa Part C Program continues to receive technical assistance primarily from its OSEP contact as well as OSEP funded projects with data collections, data analysis, and the use of data to implement </w:t>
      </w:r>
      <w:proofErr w:type="gramStart"/>
      <w:r w:rsidRPr="00ED172B">
        <w:rPr>
          <w:color w:val="000000" w:themeColor="text1"/>
          <w:szCs w:val="16"/>
        </w:rPr>
        <w:t>evidence based</w:t>
      </w:r>
      <w:proofErr w:type="gramEnd"/>
      <w:r w:rsidRPr="00ED172B">
        <w:rPr>
          <w:color w:val="000000" w:themeColor="text1"/>
          <w:szCs w:val="16"/>
        </w:rPr>
        <w:t xml:space="preserve"> practices for the improvement of child and family outcomes. These TA centers include the IDEA Early Childhood Data Systems (</w:t>
      </w:r>
      <w:proofErr w:type="spellStart"/>
      <w:r w:rsidRPr="00ED172B">
        <w:rPr>
          <w:color w:val="000000" w:themeColor="text1"/>
          <w:szCs w:val="16"/>
        </w:rPr>
        <w:t>DaSy</w:t>
      </w:r>
      <w:proofErr w:type="spellEnd"/>
      <w:r w:rsidRPr="00ED172B">
        <w:rPr>
          <w:color w:val="000000" w:themeColor="text1"/>
          <w:szCs w:val="16"/>
        </w:rPr>
        <w:t xml:space="preserve">) and the Early Childhood TA center (ECTA). In addition, these TA centers have provided extensive support to the American Samoa's efforts to the continued development and implementation of </w:t>
      </w:r>
      <w:proofErr w:type="spellStart"/>
      <w:r w:rsidRPr="00ED172B">
        <w:rPr>
          <w:color w:val="000000" w:themeColor="text1"/>
          <w:szCs w:val="16"/>
        </w:rPr>
        <w:t>it's</w:t>
      </w:r>
      <w:proofErr w:type="spellEnd"/>
      <w:r w:rsidRPr="00ED172B">
        <w:rPr>
          <w:color w:val="000000" w:themeColor="text1"/>
          <w:szCs w:val="16"/>
        </w:rPr>
        <w:t xml:space="preserve"> SSIP through monthly calls providing direct TA and providing various training resources towards SSIP activities. These </w:t>
      </w:r>
      <w:proofErr w:type="gramStart"/>
      <w:r w:rsidRPr="00ED172B">
        <w:rPr>
          <w:color w:val="000000" w:themeColor="text1"/>
          <w:szCs w:val="16"/>
        </w:rPr>
        <w:t>TA's</w:t>
      </w:r>
      <w:proofErr w:type="gramEnd"/>
      <w:r w:rsidRPr="00ED172B">
        <w:rPr>
          <w:color w:val="000000" w:themeColor="text1"/>
          <w:szCs w:val="16"/>
        </w:rPr>
        <w:t xml:space="preserve"> also provide various support to the Program Coordinator in the preparation of the Annual Performance Report and the Grant Application via monthly calls, emails, and supporting documents for any questions, program related inquiries or clarifications that the Coordinator might have or need. The American Samoa Part C program also participated in webinars and learning collaboratives/community of practices which provided an on-going opportunity to hear how other programs are doing and what strategies/ideas they are utilizing that AS Part C could use to potentially enhance its system.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American Samoa Early Intervention program SSIP coordinator recently resigned, but she worked closely with the TA centers and the program coordinator in the development and implementation of its SSIP through monthly calls and various training resources towards SSIP activities. The program coordinator and the former SSIP Coordinator is following the comprehensive developmental system that was formalized and updated utilizing </w:t>
      </w:r>
      <w:proofErr w:type="gramStart"/>
      <w:r w:rsidRPr="00ED172B">
        <w:rPr>
          <w:color w:val="000000" w:themeColor="text1"/>
          <w:szCs w:val="16"/>
        </w:rPr>
        <w:t>evidence based</w:t>
      </w:r>
      <w:proofErr w:type="gramEnd"/>
      <w:r w:rsidRPr="00ED172B">
        <w:rPr>
          <w:color w:val="000000" w:themeColor="text1"/>
          <w:szCs w:val="16"/>
        </w:rPr>
        <w:t xml:space="preserve"> practices. In addition, a </w:t>
      </w:r>
      <w:proofErr w:type="gramStart"/>
      <w:r w:rsidRPr="00ED172B">
        <w:rPr>
          <w:color w:val="000000" w:themeColor="text1"/>
          <w:szCs w:val="16"/>
        </w:rPr>
        <w:t>week long</w:t>
      </w:r>
      <w:proofErr w:type="gramEnd"/>
      <w:r w:rsidRPr="00ED172B">
        <w:rPr>
          <w:color w:val="000000" w:themeColor="text1"/>
          <w:szCs w:val="16"/>
        </w:rPr>
        <w:t xml:space="preserve"> orientation is provided to any new staff. Every month, a training is provided by one of the program specialists with a topic identified as one of the area of needs for the service providers. These trainings are recorded and uploaded to the program drive for reference or refreshers for the staff. The Early Interventions Online Curriculum modules are a requirement for every new staff to compete. </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w:t>
      </w:r>
      <w:proofErr w:type="gramStart"/>
      <w:r w:rsidRPr="00ED172B">
        <w:rPr>
          <w:color w:val="000000" w:themeColor="text1"/>
          <w:szCs w:val="16"/>
        </w:rPr>
        <w:t>Home</w:t>
      </w:r>
      <w:proofErr w:type="gramEnd"/>
      <w:r w:rsidRPr="00ED172B">
        <w:rPr>
          <w:color w:val="000000" w:themeColor="text1"/>
          <w:szCs w:val="16"/>
        </w:rPr>
        <w:t xml:space="preserve"> visit program, Parent Support Group, Department of Human and Social Services, and the Department of Education. The AS Part C program with support from </w:t>
      </w:r>
      <w:proofErr w:type="spellStart"/>
      <w:r w:rsidRPr="00ED172B">
        <w:rPr>
          <w:color w:val="000000" w:themeColor="text1"/>
          <w:szCs w:val="16"/>
        </w:rPr>
        <w:t>it's</w:t>
      </w:r>
      <w:proofErr w:type="spellEnd"/>
      <w:r w:rsidRPr="00ED172B">
        <w:rPr>
          <w:color w:val="000000" w:themeColor="text1"/>
          <w:szCs w:val="16"/>
        </w:rPr>
        <w:t xml:space="preserve">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American Samoa Part C Program Annual Performance Report for FFY 2016 to FFY 2019 are made available on its website under Resources, Reports and Documents (https://www.helpinghands-as.org/copy-of-services). The AS Part C program also put out a public notice on the local newspaper and on the program website that the FFY 2018 Determinants letter is available on its website and in its office for public review and commenting (https://www.helpinghands-as.org/public-awareness). Also, through public service announcements the public will be informed that the AS Part C FFY 2019 SPP/APR will be available for public viewing in its office and through </w:t>
      </w:r>
      <w:proofErr w:type="spellStart"/>
      <w:r w:rsidRPr="00ED172B">
        <w:rPr>
          <w:color w:val="000000" w:themeColor="text1"/>
          <w:szCs w:val="16"/>
        </w:rPr>
        <w:t>it's</w:t>
      </w:r>
      <w:proofErr w:type="spellEnd"/>
      <w:r w:rsidRPr="00ED172B">
        <w:rPr>
          <w:color w:val="000000" w:themeColor="text1"/>
          <w:szCs w:val="16"/>
        </w:rPr>
        <w:t xml:space="preserve"> Lead Agency and posted on its website once updates are completed.</w:t>
      </w:r>
    </w:p>
    <w:p w14:paraId="6A6F1771" w14:textId="3EDEB232" w:rsidR="003A4D77" w:rsidRPr="00A40EE1" w:rsidRDefault="00571E72" w:rsidP="00C15786">
      <w:pPr>
        <w:pStyle w:val="Heading2"/>
      </w:pPr>
      <w:r w:rsidRPr="00A40EE1">
        <w:lastRenderedPageBreak/>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 has not publicly reported on the FFY 2017 (July 1, 2017-June 30, 2018</w:t>
      </w:r>
      <w:proofErr w:type="gramStart"/>
      <w:r w:rsidRPr="00ED172B">
        <w:rPr>
          <w:color w:val="000000" w:themeColor="text1"/>
        </w:rPr>
        <w:t>)  and</w:t>
      </w:r>
      <w:proofErr w:type="gramEnd"/>
      <w:r w:rsidRPr="00ED172B">
        <w:rPr>
          <w:color w:val="000000" w:themeColor="text1"/>
        </w:rPr>
        <w:t xml:space="preserve"> FFY 2016 (July 1, 2016-June 30, 2017) performance of each EIS program or provider located in the State on the targets in the State’s performance plan as required by sections 616(b)(2)(C)(ii)(I) and 642 of IDEA.  With its FFY 2019 SPP/APR, the State must provide a Web link demonstrating that the State reported to the public on the performance of each early intervention service program or provider located in the State on the targets in the SPP/APR for FFY 2017 and FFY 2016. In addition, the State must report with its FFY 2019 SPP/APR, how and where the State reported to the public on the FFY 2018 performance of each early intervention service program or provider located in the State on the targets in the SPP/APR.  </w:t>
      </w:r>
      <w:r w:rsidRPr="00ED172B">
        <w:rPr>
          <w:color w:val="000000" w:themeColor="text1"/>
        </w:rPr>
        <w:br/>
      </w:r>
      <w:r w:rsidRPr="00ED172B">
        <w:rPr>
          <w:color w:val="000000" w:themeColor="text1"/>
        </w:rPr>
        <w:br/>
        <w:t>In the FFY 2019 SPP/APR, the State must report FFY 2019 data for the State-identified Measurable Result (</w:t>
      </w:r>
      <w:proofErr w:type="spellStart"/>
      <w:r w:rsidRPr="00ED172B">
        <w:rPr>
          <w:color w:val="000000" w:themeColor="text1"/>
        </w:rPr>
        <w:t>SiMR</w:t>
      </w:r>
      <w:proofErr w:type="spellEnd"/>
      <w:r w:rsidRPr="00ED172B">
        <w:rPr>
          <w:color w:val="000000" w:themeColor="text1"/>
        </w:rPr>
        <w:t xml:space="preserve">).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w:t>
      </w:r>
      <w:proofErr w:type="spellStart"/>
      <w:r w:rsidRPr="00ED172B">
        <w:rPr>
          <w:color w:val="000000" w:themeColor="text1"/>
        </w:rPr>
        <w:t>SiMR</w:t>
      </w:r>
      <w:proofErr w:type="spellEnd"/>
      <w:r w:rsidRPr="00ED172B">
        <w:rPr>
          <w:color w:val="000000" w:themeColor="text1"/>
        </w:rPr>
        <w:t xml:space="preserve">; and (4) any supporting data that demonstrates that implementation of these activities is impacting the State’s capacity to improve its </w:t>
      </w:r>
      <w:proofErr w:type="spellStart"/>
      <w:r w:rsidRPr="00ED172B">
        <w:rPr>
          <w:color w:val="000000" w:themeColor="text1"/>
        </w:rPr>
        <w:t>SiMR</w:t>
      </w:r>
      <w:proofErr w:type="spellEnd"/>
      <w:r w:rsidRPr="00ED172B">
        <w:rPr>
          <w:color w:val="000000" w:themeColor="text1"/>
        </w:rPr>
        <w:t xml:space="preserve"> data.</w:t>
      </w:r>
      <w:r w:rsidRPr="00ED172B">
        <w:rPr>
          <w:color w:val="000000" w:themeColor="text1"/>
        </w:rPr>
        <w:br/>
      </w:r>
      <w:r w:rsidRPr="00ED172B">
        <w:rPr>
          <w:color w:val="000000" w:themeColor="text1"/>
        </w:rPr>
        <w:br/>
        <w:t>OSEP notes that one or more of the attachments included in American Samoa’s  FFY 2018 SPP/APR submission are not in compliance with Section 508 of the Rehabilitation Act of 1973, as amended (Section 508), and will not be posted on the U.S. Department of Education’s IDEA website. Therefore, American Samoa must make the attachment(s) available to the public as soon as practicable, but no later than 120 days after the date of the determination letter.</w:t>
      </w:r>
      <w:r w:rsidRPr="00ED172B">
        <w:rPr>
          <w:color w:val="000000" w:themeColor="text1"/>
        </w:rPr>
        <w:br/>
      </w:r>
      <w:r w:rsidRPr="00ED172B">
        <w:rPr>
          <w:color w:val="000000" w:themeColor="text1"/>
        </w:rPr>
        <w:br/>
        <w:t xml:space="preserve">The State's IDEA Part C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ED172B">
        <w:rPr>
          <w:color w:val="000000" w:themeColor="text1"/>
        </w:rPr>
        <w:t>in order to</w:t>
      </w:r>
      <w:proofErr w:type="gramEnd"/>
      <w:r w:rsidRPr="00ED172B">
        <w:rPr>
          <w:color w:val="000000" w:themeColor="text1"/>
        </w:rPr>
        <w:t xml:space="preserve"> improve its performance. The State must report, with its FFY 2019 SPP/APR submission, due February 1, 2021, on: (1) the technical assistance sources from which the State received assistance; and (2) the actions the State took </w:t>
      </w:r>
      <w:proofErr w:type="gramStart"/>
      <w:r w:rsidRPr="00ED172B">
        <w:rPr>
          <w:color w:val="000000" w:themeColor="text1"/>
        </w:rPr>
        <w:t>as a result of</w:t>
      </w:r>
      <w:proofErr w:type="gramEnd"/>
      <w:r w:rsidRPr="00ED172B">
        <w:rPr>
          <w:color w:val="000000" w:themeColor="text1"/>
        </w:rPr>
        <w:t xml:space="preserve"> that technical assistance.</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American Samoa Early Intervention Program (ASEIP) has a unitary system. The Lead Agency is the American Samoa Department of Health (ASDOH) and under the ASDOH there is one Early Intervention (EI) Program that is both State and Local, serving the entire territory of American Samoa. Therefore, data submitted in its FFY 2016 and FFY 2017 reflects the data of the State and Local EI program. The American Samoa Part C Program Annual Performance Report for FFY 2016 to FFY 2019 is made available on its website under Resources, Reports and Documents (https://www.helpinghands-as.org/copy-of-services). </w:t>
      </w:r>
      <w:r w:rsidRPr="00ED172B">
        <w:rPr>
          <w:color w:val="000000" w:themeColor="text1"/>
        </w:rPr>
        <w:br/>
      </w:r>
      <w:r w:rsidRPr="00ED172B">
        <w:rPr>
          <w:color w:val="000000" w:themeColor="text1"/>
        </w:rPr>
        <w:br/>
        <w:t xml:space="preserve">The American Samoa Part C program utilized the SSIP template that was </w:t>
      </w:r>
      <w:proofErr w:type="gramStart"/>
      <w:r w:rsidRPr="00ED172B">
        <w:rPr>
          <w:color w:val="000000" w:themeColor="text1"/>
        </w:rPr>
        <w:t>provided</w:t>
      </w:r>
      <w:proofErr w:type="gramEnd"/>
      <w:r w:rsidRPr="00ED172B">
        <w:rPr>
          <w:color w:val="000000" w:themeColor="text1"/>
        </w:rPr>
        <w:t xml:space="preserve"> and it was 508 compliant. </w:t>
      </w:r>
      <w:r w:rsidRPr="00ED172B">
        <w:rPr>
          <w:color w:val="000000" w:themeColor="text1"/>
        </w:rPr>
        <w:br/>
      </w:r>
      <w:r w:rsidRPr="00ED172B">
        <w:rPr>
          <w:color w:val="000000" w:themeColor="text1"/>
        </w:rPr>
        <w:br/>
        <w:t xml:space="preserve">The AS Part C program also put out a public notice on the local newspaper and on the program website that the FFY 2018 Determinants letter is available on its website and in its office for public review and commenting (https://www.helpinghands-as.org/public-awareness). Also, through public service announcements the public will be informed that the AS Part C FFY 2019 SPP/APR will be available for public viewing in its office and through </w:t>
      </w:r>
      <w:proofErr w:type="spellStart"/>
      <w:r w:rsidRPr="00ED172B">
        <w:rPr>
          <w:color w:val="000000" w:themeColor="text1"/>
        </w:rPr>
        <w:t>it's</w:t>
      </w:r>
      <w:proofErr w:type="spellEnd"/>
      <w:r w:rsidRPr="00ED172B">
        <w:rPr>
          <w:color w:val="000000" w:themeColor="text1"/>
        </w:rPr>
        <w:t xml:space="preserve"> Lead Agency and posted on its website once updates are completed. Technical Assistance for the ASEIP was provided monthly from its OSEP State Lead through phone conferences, as well as webinars and telephone conferences with OSEP funded TA centers such as the National Center for Systemic Improvement (NCSI), the Center for IDEA Early Childhood Data Systems (</w:t>
      </w:r>
      <w:proofErr w:type="spellStart"/>
      <w:r w:rsidRPr="00ED172B">
        <w:rPr>
          <w:color w:val="000000" w:themeColor="text1"/>
        </w:rPr>
        <w:t>DaSy</w:t>
      </w:r>
      <w:proofErr w:type="spellEnd"/>
      <w:r w:rsidRPr="00ED172B">
        <w:rPr>
          <w:color w:val="000000" w:themeColor="text1"/>
        </w:rPr>
        <w:t xml:space="preserve">), the Early Childhood Technical Assistance (ECTA) Center, and the IDEA Data Center (IDC). Issues addressed during monthly TA phone conferences included identifying and implementing professional development, instructional strategies, methods of instructions for evidenced-based practices, as well as support with the use of Part C funds.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 xml:space="preserve">American Samoa's determinations for both 2019 and 2020 were Needs Assistance.  Pursuant to sections 616(e)(1) and 642 of the IDEA and 34 C.F.R. § 303.704(a), OSEP's June 23, </w:t>
      </w:r>
      <w:proofErr w:type="gramStart"/>
      <w:r w:rsidRPr="00ED172B">
        <w:rPr>
          <w:color w:val="000000" w:themeColor="text1"/>
        </w:rPr>
        <w:t>2020</w:t>
      </w:r>
      <w:proofErr w:type="gramEnd"/>
      <w:r w:rsidRPr="00ED172B">
        <w:rPr>
          <w:color w:val="000000" w:themeColor="text1"/>
        </w:rPr>
        <w:t xml:space="preserve"> determination letter informed American Samoa that it must report with its FFY 2019 SPP/APR submission, due February 1, 2021, on: (1) the technical assistance sources from which American Samoa received assistance; and (2) the actions American Samoa took as a result of that technical assistance. American Samoa provided the required information.</w:t>
      </w:r>
      <w:r w:rsidRPr="00ED172B">
        <w:rPr>
          <w:color w:val="000000" w:themeColor="text1"/>
        </w:rPr>
        <w:br/>
      </w:r>
      <w:r w:rsidRPr="00ED172B">
        <w:rPr>
          <w:color w:val="000000" w:themeColor="text1"/>
        </w:rPr>
        <w:br/>
        <w:t>The Department has imposed Specific Conditions on American Samoa's FFY 2020 IDEA Part C grant award and those Specific Conditions are in effect at the time of the determination.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§303.604(c). The SICC noted it has elected to support American Samoa lead agency’s submission of its SPP/APR as its annual report in lieu of submitting a separate report. OSEP accepts the SICC form, which will not be posted publicly with American Samoa's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American Samoa's IDEA Part C determination for both 2020 and 2021 is Needs Assistance. In American Samoa's 2021 determination letter, the Department advised American Samoa of available sources of technical assistance, including OSEP-funded technical assistance centers, and required American Samoa to work with appropriate entities. The Department directed American Samoa to determine the results elements and/or compliance indicators, and improvement strategies, on which it will focus its use of available technical assistance, </w:t>
      </w:r>
      <w:proofErr w:type="gramStart"/>
      <w:r w:rsidRPr="00ED172B">
        <w:rPr>
          <w:color w:val="000000" w:themeColor="text1"/>
        </w:rPr>
        <w:t>in order to</w:t>
      </w:r>
      <w:proofErr w:type="gramEnd"/>
      <w:r w:rsidRPr="00ED172B">
        <w:rPr>
          <w:color w:val="000000" w:themeColor="text1"/>
        </w:rPr>
        <w:t xml:space="preserve"> improve its performance.  American Samoa must report, with its FFY 2020 SPP/APR submission, due February 1, 2022, on: (1) the technical assistance sources from which American Samoa received assistance; and (2) the actions American Samoa took as a result of that technical assistance.</w:t>
      </w:r>
      <w:r w:rsidRPr="00ED172B">
        <w:rPr>
          <w:color w:val="000000" w:themeColor="text1"/>
        </w:rPr>
        <w:br/>
      </w:r>
      <w:r w:rsidRPr="00ED172B">
        <w:rPr>
          <w:color w:val="000000" w:themeColor="text1"/>
        </w:rPr>
        <w:br/>
        <w:t>OSEP notes that one or more of the Indicator 11 attachments included in the American Samoa's FFY 2019 SPP/APR submission are not in compliance with Section 508 of the Rehabilitation Act of 1973, as amended (Section 508), and will not be posted on the U.S. Department of Education’s IDEA website. Therefore, American Samoa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w:t>
      </w:r>
      <w:proofErr w:type="gramStart"/>
      <w:r w:rsidRPr="00ED172B">
        <w:rPr>
          <w:color w:val="000000" w:themeColor="text1"/>
          <w:szCs w:val="16"/>
        </w:rPr>
        <w:t>time period</w:t>
      </w:r>
      <w:proofErr w:type="gramEnd"/>
      <w:r w:rsidRPr="00ED172B">
        <w:rPr>
          <w:color w:val="000000" w:themeColor="text1"/>
          <w:szCs w:val="16"/>
        </w:rPr>
        <w:t xml:space="preserve">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 xml:space="preserve">The State’s timeliness measure for this indicator must be either: (1) </w:t>
      </w:r>
      <w:proofErr w:type="gramStart"/>
      <w:r w:rsidRPr="00ED172B">
        <w:rPr>
          <w:color w:val="000000" w:themeColor="text1"/>
          <w:szCs w:val="16"/>
        </w:rPr>
        <w:t>a time period</w:t>
      </w:r>
      <w:proofErr w:type="gramEnd"/>
      <w:r w:rsidRPr="00ED172B">
        <w:rPr>
          <w:color w:val="000000" w:themeColor="text1"/>
          <w:szCs w:val="16"/>
        </w:rPr>
        <w:t xml:space="preserve">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41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41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American Samoa Part C Program's criteria for "timely" receipt of early intervention services is 30 days from the IFSP start date. Every child who received an IFSP receives early intervention services within 30 days of the IFSP start date. As noted above, this reporting period of July 1, </w:t>
      </w:r>
      <w:proofErr w:type="gramStart"/>
      <w:r w:rsidRPr="00ED172B">
        <w:rPr>
          <w:color w:val="000000" w:themeColor="text1"/>
          <w:szCs w:val="16"/>
        </w:rPr>
        <w:t>2019</w:t>
      </w:r>
      <w:proofErr w:type="gramEnd"/>
      <w:r w:rsidRPr="00ED172B">
        <w:rPr>
          <w:color w:val="000000" w:themeColor="text1"/>
          <w:szCs w:val="16"/>
        </w:rPr>
        <w:t xml:space="preserve"> to June 30, 2020 there were 0 documented delays attributable to exceptional family circumstances. AS Part C program continues to provide services to meet every child and </w:t>
      </w:r>
      <w:proofErr w:type="gramStart"/>
      <w:r w:rsidRPr="00ED172B">
        <w:rPr>
          <w:color w:val="000000" w:themeColor="text1"/>
          <w:szCs w:val="16"/>
        </w:rPr>
        <w:t>families</w:t>
      </w:r>
      <w:proofErr w:type="gramEnd"/>
      <w:r w:rsidRPr="00ED172B">
        <w:rPr>
          <w:color w:val="000000" w:themeColor="text1"/>
          <w:szCs w:val="16"/>
        </w:rPr>
        <w:t xml:space="preserve"> availability as well as provide compensatory services.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July 1, </w:t>
      </w:r>
      <w:proofErr w:type="gramStart"/>
      <w:r w:rsidRPr="00ED172B">
        <w:rPr>
          <w:color w:val="000000" w:themeColor="text1"/>
        </w:rPr>
        <w:t>2019</w:t>
      </w:r>
      <w:proofErr w:type="gramEnd"/>
      <w:r w:rsidRPr="00ED172B">
        <w:rPr>
          <w:color w:val="000000" w:themeColor="text1"/>
        </w:rPr>
        <w:t xml:space="preserve"> to June 30,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During the reporting period of July 1, </w:t>
      </w:r>
      <w:proofErr w:type="gramStart"/>
      <w:r w:rsidRPr="00ED172B">
        <w:rPr>
          <w:color w:val="000000" w:themeColor="text1"/>
        </w:rPr>
        <w:t>2019</w:t>
      </w:r>
      <w:proofErr w:type="gramEnd"/>
      <w:r w:rsidRPr="00ED172B">
        <w:rPr>
          <w:color w:val="000000" w:themeColor="text1"/>
        </w:rPr>
        <w:t xml:space="preserve"> to June 30, 2020, a total of 41 children were found eligible for early intervention services (EI) and received an IFSP. All 41 children eligible for EI services received EI services in a timely manner. As noted above, there are no documented delays attributable to exceptional family circumstances.</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6E322D" w:rsidP="00361F62">
      <w:pPr>
        <w:rPr>
          <w:color w:val="000000" w:themeColor="text1"/>
        </w:rPr>
      </w:pP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 xml:space="preserve">Data collected under section 618 of the IDEA (IDEA Part C Child Count and Settings data collection in the </w:t>
      </w:r>
      <w:proofErr w:type="spellStart"/>
      <w:r w:rsidRPr="00ED172B">
        <w:rPr>
          <w:color w:val="000000" w:themeColor="text1"/>
          <w:szCs w:val="16"/>
        </w:rPr>
        <w:t>EDFacts</w:t>
      </w:r>
      <w:proofErr w:type="spellEnd"/>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60.00%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95.20%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95.30%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95.40%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95.60%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97.14%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95.60%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25</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95.60%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4E7E8330" w14:textId="749679DB" w:rsidR="004C1CEE" w:rsidRPr="00ED172B" w:rsidRDefault="004C1CEE" w:rsidP="00F32724">
      <w:pPr>
        <w:rPr>
          <w:color w:val="000000" w:themeColor="text1"/>
        </w:rPr>
      </w:pP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w:t>
      </w:r>
      <w:proofErr w:type="gramStart"/>
      <w:r w:rsidRPr="00ED172B">
        <w:rPr>
          <w:b/>
          <w:color w:val="000000" w:themeColor="text1"/>
        </w:rPr>
        <w:t>all of</w:t>
      </w:r>
      <w:proofErr w:type="gramEnd"/>
      <w:r w:rsidRPr="00ED172B">
        <w:rPr>
          <w:b/>
          <w:color w:val="000000" w:themeColor="text1"/>
        </w:rPr>
        <w:t xml:space="preserve">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2018</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93.10%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87.50%</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456D75" w:rsidP="00186420">
            <w:pPr>
              <w:jc w:val="center"/>
              <w:rPr>
                <w:rFonts w:cs="Arial"/>
                <w:color w:val="000000" w:themeColor="text1"/>
                <w:szCs w:val="16"/>
              </w:rPr>
            </w:pP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456D75" w:rsidP="00186420">
            <w:pPr>
              <w:jc w:val="center"/>
              <w:rPr>
                <w:rFonts w:cs="Arial"/>
                <w:color w:val="000000" w:themeColor="text1"/>
                <w:szCs w:val="16"/>
              </w:rPr>
            </w:pP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91.01%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91.03%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91.04%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91.05%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91.06%</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91.00%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9D6400" w:rsidP="00186420">
            <w:pPr>
              <w:jc w:val="center"/>
              <w:rPr>
                <w:rFonts w:cs="Arial"/>
                <w:color w:val="000000" w:themeColor="text1"/>
                <w:szCs w:val="16"/>
              </w:rPr>
            </w:pP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9D6400" w:rsidP="00186420">
            <w:pPr>
              <w:jc w:val="center"/>
              <w:rPr>
                <w:rFonts w:cs="Arial"/>
                <w:color w:val="000000" w:themeColor="text1"/>
                <w:szCs w:val="16"/>
              </w:rPr>
            </w:pP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94.12%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91.67%</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9D6400" w:rsidP="00186420">
            <w:pPr>
              <w:jc w:val="center"/>
              <w:rPr>
                <w:rFonts w:cs="Arial"/>
                <w:color w:val="000000" w:themeColor="text1"/>
                <w:szCs w:val="16"/>
              </w:rPr>
            </w:pP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9D6400" w:rsidP="00186420">
            <w:pPr>
              <w:jc w:val="center"/>
              <w:rPr>
                <w:rFonts w:cs="Arial"/>
                <w:color w:val="000000" w:themeColor="text1"/>
                <w:szCs w:val="16"/>
              </w:rPr>
            </w:pP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87.02%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87.03%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87.00%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CD79C5" w:rsidP="00186420">
            <w:pPr>
              <w:jc w:val="center"/>
              <w:rPr>
                <w:rFonts w:cs="Arial"/>
                <w:color w:val="000000" w:themeColor="text1"/>
                <w:szCs w:val="16"/>
              </w:rPr>
            </w:pP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CD79C5" w:rsidP="00186420">
            <w:pPr>
              <w:jc w:val="center"/>
              <w:rPr>
                <w:rFonts w:cs="Arial"/>
                <w:color w:val="000000" w:themeColor="text1"/>
                <w:szCs w:val="16"/>
              </w:rPr>
            </w:pP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94.29%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91.67%</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CD79C5" w:rsidP="00186420">
            <w:pPr>
              <w:jc w:val="center"/>
              <w:rPr>
                <w:rFonts w:cs="Arial"/>
                <w:color w:val="000000" w:themeColor="text1"/>
                <w:szCs w:val="16"/>
              </w:rPr>
            </w:pP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CD79C5" w:rsidP="00186420">
            <w:pPr>
              <w:jc w:val="center"/>
              <w:rPr>
                <w:rFonts w:cs="Arial"/>
                <w:color w:val="000000" w:themeColor="text1"/>
                <w:szCs w:val="16"/>
              </w:rPr>
            </w:pP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87.02%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87.03%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87.00%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CD79C5" w:rsidP="00186420">
            <w:pPr>
              <w:jc w:val="center"/>
              <w:rPr>
                <w:rFonts w:cs="Arial"/>
                <w:color w:val="000000" w:themeColor="text1"/>
                <w:szCs w:val="16"/>
              </w:rPr>
            </w:pP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CD79C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CD79C5" w:rsidP="00186420">
            <w:pPr>
              <w:jc w:val="center"/>
              <w:rPr>
                <w:rFonts w:cs="Arial"/>
                <w:color w:val="000000" w:themeColor="text1"/>
                <w:szCs w:val="16"/>
              </w:rPr>
            </w:pPr>
          </w:p>
        </w:tc>
      </w:tr>
    </w:tbl>
    <w:p w14:paraId="59D469DB" w14:textId="068408CD" w:rsidR="009000CE" w:rsidRPr="00ED172B" w:rsidRDefault="009000CE">
      <w:pPr>
        <w:rPr>
          <w:b/>
          <w:color w:val="000000" w:themeColor="text1"/>
        </w:rPr>
      </w:pPr>
      <w:r w:rsidRPr="00ED172B">
        <w:rPr>
          <w:b/>
          <w:color w:val="000000" w:themeColor="text1"/>
        </w:rPr>
        <w:t>Targets</w:t>
      </w:r>
    </w:p>
    <w:tbl>
      <w:tblPr>
        <w:tblW w:w="2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1164"/>
        <w:gridCol w:w="3422"/>
      </w:tblGrid>
      <w:tr w:rsidR="00465BA4" w:rsidRPr="00ED172B" w14:paraId="5C0381AF" w14:textId="77777777" w:rsidTr="00465BA4">
        <w:trPr>
          <w:trHeight w:val="350"/>
        </w:trPr>
        <w:tc>
          <w:tcPr>
            <w:tcW w:w="1269" w:type="pct"/>
            <w:tcBorders>
              <w:bottom w:val="single" w:sz="4" w:space="0" w:color="auto"/>
            </w:tcBorders>
            <w:shd w:val="clear" w:color="auto" w:fill="auto"/>
          </w:tcPr>
          <w:p w14:paraId="7D540CF6" w14:textId="3B69FD16" w:rsidR="00465BA4" w:rsidRPr="00ED172B" w:rsidRDefault="00465BA4" w:rsidP="00186420">
            <w:pPr>
              <w:jc w:val="center"/>
              <w:rPr>
                <w:b/>
                <w:color w:val="000000" w:themeColor="text1"/>
                <w:szCs w:val="16"/>
              </w:rPr>
            </w:pPr>
            <w:r w:rsidRPr="00ED172B">
              <w:rPr>
                <w:b/>
                <w:color w:val="000000" w:themeColor="text1"/>
                <w:szCs w:val="16"/>
              </w:rPr>
              <w:t>FFY</w:t>
            </w:r>
          </w:p>
        </w:tc>
        <w:tc>
          <w:tcPr>
            <w:tcW w:w="3731" w:type="pct"/>
            <w:shd w:val="clear" w:color="auto" w:fill="auto"/>
            <w:vAlign w:val="center"/>
          </w:tcPr>
          <w:p w14:paraId="1C822F15" w14:textId="2C7063F1" w:rsidR="00465BA4" w:rsidRPr="00ED172B" w:rsidRDefault="00465BA4" w:rsidP="00037032">
            <w:pPr>
              <w:jc w:val="center"/>
              <w:rPr>
                <w:b/>
                <w:color w:val="000000" w:themeColor="text1"/>
                <w:szCs w:val="16"/>
              </w:rPr>
            </w:pPr>
            <w:r w:rsidRPr="00ED172B">
              <w:rPr>
                <w:rFonts w:cs="Arial"/>
                <w:b/>
                <w:color w:val="000000" w:themeColor="text1"/>
                <w:szCs w:val="16"/>
              </w:rPr>
              <w:t>2019</w:t>
            </w:r>
          </w:p>
        </w:tc>
      </w:tr>
      <w:tr w:rsidR="00465BA4" w:rsidRPr="00ED172B" w14:paraId="7D3874C8" w14:textId="77777777" w:rsidTr="00465BA4">
        <w:trPr>
          <w:trHeight w:val="357"/>
        </w:trPr>
        <w:tc>
          <w:tcPr>
            <w:tcW w:w="1269" w:type="pct"/>
            <w:shd w:val="clear" w:color="auto" w:fill="auto"/>
            <w:vAlign w:val="center"/>
          </w:tcPr>
          <w:p w14:paraId="0D92F8F5" w14:textId="41B6F17B" w:rsidR="00465BA4" w:rsidRPr="00ED172B" w:rsidRDefault="00465BA4" w:rsidP="00CD79C5">
            <w:pPr>
              <w:rPr>
                <w:color w:val="000000" w:themeColor="text1"/>
                <w:szCs w:val="16"/>
              </w:rPr>
            </w:pPr>
            <w:r w:rsidRPr="00ED172B">
              <w:rPr>
                <w:color w:val="000000" w:themeColor="text1"/>
                <w:szCs w:val="16"/>
              </w:rPr>
              <w:t>Target A1 &gt;=</w:t>
            </w:r>
          </w:p>
        </w:tc>
        <w:tc>
          <w:tcPr>
            <w:tcW w:w="3731" w:type="pct"/>
            <w:shd w:val="clear" w:color="auto" w:fill="auto"/>
            <w:vAlign w:val="center"/>
          </w:tcPr>
          <w:p w14:paraId="5A65956F" w14:textId="425987CA" w:rsidR="00465BA4" w:rsidRPr="00ED172B" w:rsidRDefault="00465BA4" w:rsidP="001E39E3">
            <w:pPr>
              <w:jc w:val="center"/>
              <w:rPr>
                <w:color w:val="000000" w:themeColor="text1"/>
              </w:rPr>
            </w:pPr>
            <w:r w:rsidRPr="00ED172B">
              <w:rPr>
                <w:color w:val="000000" w:themeColor="text1"/>
              </w:rPr>
              <w:t>100.00%</w:t>
            </w:r>
          </w:p>
        </w:tc>
      </w:tr>
      <w:tr w:rsidR="00465BA4" w:rsidRPr="00ED172B" w14:paraId="23A1FD93" w14:textId="77777777" w:rsidTr="00465BA4">
        <w:trPr>
          <w:trHeight w:val="357"/>
        </w:trPr>
        <w:tc>
          <w:tcPr>
            <w:tcW w:w="1269" w:type="pct"/>
            <w:shd w:val="clear" w:color="auto" w:fill="auto"/>
            <w:vAlign w:val="center"/>
          </w:tcPr>
          <w:p w14:paraId="5BF5DDCA" w14:textId="43E37C51" w:rsidR="00465BA4" w:rsidRPr="00ED172B" w:rsidRDefault="00465BA4" w:rsidP="00CD79C5">
            <w:pPr>
              <w:rPr>
                <w:color w:val="000000" w:themeColor="text1"/>
                <w:szCs w:val="16"/>
              </w:rPr>
            </w:pPr>
            <w:r w:rsidRPr="00ED172B">
              <w:rPr>
                <w:rFonts w:cs="Arial"/>
                <w:color w:val="000000" w:themeColor="text1"/>
                <w:szCs w:val="16"/>
              </w:rPr>
              <w:t>Target A1 ALL &gt;=</w:t>
            </w:r>
          </w:p>
        </w:tc>
        <w:tc>
          <w:tcPr>
            <w:tcW w:w="3731" w:type="pct"/>
            <w:shd w:val="clear" w:color="auto" w:fill="auto"/>
            <w:vAlign w:val="center"/>
          </w:tcPr>
          <w:p w14:paraId="024A73EA" w14:textId="56B2EB20" w:rsidR="00465BA4" w:rsidRPr="00ED172B" w:rsidRDefault="00465BA4" w:rsidP="002F5A9E">
            <w:pPr>
              <w:jc w:val="center"/>
              <w:rPr>
                <w:color w:val="000000" w:themeColor="text1"/>
              </w:rPr>
            </w:pPr>
            <w:r w:rsidRPr="00ED172B">
              <w:rPr>
                <w:color w:val="000000" w:themeColor="text1"/>
              </w:rPr>
              <w:t>100.00%</w:t>
            </w:r>
          </w:p>
        </w:tc>
      </w:tr>
      <w:tr w:rsidR="00465BA4" w:rsidRPr="00ED172B" w14:paraId="5972E718" w14:textId="77777777" w:rsidTr="00465BA4">
        <w:trPr>
          <w:trHeight w:val="357"/>
        </w:trPr>
        <w:tc>
          <w:tcPr>
            <w:tcW w:w="1269" w:type="pct"/>
            <w:shd w:val="clear" w:color="auto" w:fill="auto"/>
            <w:vAlign w:val="center"/>
          </w:tcPr>
          <w:p w14:paraId="79E5234D" w14:textId="119BC8E8" w:rsidR="00465BA4" w:rsidRPr="00ED172B" w:rsidRDefault="00465BA4" w:rsidP="00CD79C5">
            <w:pPr>
              <w:rPr>
                <w:color w:val="000000" w:themeColor="text1"/>
                <w:szCs w:val="16"/>
              </w:rPr>
            </w:pPr>
            <w:r w:rsidRPr="00ED172B">
              <w:rPr>
                <w:color w:val="000000" w:themeColor="text1"/>
                <w:szCs w:val="16"/>
              </w:rPr>
              <w:t>Target A2 &gt;=</w:t>
            </w:r>
          </w:p>
        </w:tc>
        <w:tc>
          <w:tcPr>
            <w:tcW w:w="3731" w:type="pct"/>
            <w:shd w:val="clear" w:color="auto" w:fill="auto"/>
            <w:vAlign w:val="center"/>
          </w:tcPr>
          <w:p w14:paraId="66882A8B" w14:textId="214D868B" w:rsidR="00465BA4" w:rsidRPr="00ED172B" w:rsidRDefault="00465BA4" w:rsidP="001E39E3">
            <w:pPr>
              <w:jc w:val="center"/>
              <w:rPr>
                <w:color w:val="000000" w:themeColor="text1"/>
              </w:rPr>
            </w:pPr>
            <w:r w:rsidRPr="00ED172B">
              <w:rPr>
                <w:color w:val="000000" w:themeColor="text1"/>
              </w:rPr>
              <w:t>85.00%</w:t>
            </w:r>
          </w:p>
        </w:tc>
      </w:tr>
      <w:tr w:rsidR="00465BA4" w:rsidRPr="00ED172B" w14:paraId="47A76A5E" w14:textId="77777777" w:rsidTr="00465BA4">
        <w:trPr>
          <w:trHeight w:val="357"/>
        </w:trPr>
        <w:tc>
          <w:tcPr>
            <w:tcW w:w="1269" w:type="pct"/>
            <w:shd w:val="clear" w:color="auto" w:fill="auto"/>
            <w:vAlign w:val="center"/>
          </w:tcPr>
          <w:p w14:paraId="608BCC3B" w14:textId="69D6C453" w:rsidR="00465BA4" w:rsidRPr="00ED172B" w:rsidRDefault="00465BA4" w:rsidP="00CD79C5">
            <w:pPr>
              <w:rPr>
                <w:color w:val="000000" w:themeColor="text1"/>
                <w:szCs w:val="16"/>
              </w:rPr>
            </w:pPr>
            <w:r w:rsidRPr="00ED172B">
              <w:rPr>
                <w:rFonts w:cs="Arial"/>
                <w:color w:val="000000" w:themeColor="text1"/>
                <w:szCs w:val="16"/>
              </w:rPr>
              <w:lastRenderedPageBreak/>
              <w:t>Target A2 ALL &gt;=</w:t>
            </w:r>
          </w:p>
        </w:tc>
        <w:tc>
          <w:tcPr>
            <w:tcW w:w="3731" w:type="pct"/>
            <w:shd w:val="clear" w:color="auto" w:fill="auto"/>
            <w:vAlign w:val="center"/>
          </w:tcPr>
          <w:p w14:paraId="6E26D73C" w14:textId="71C448AD" w:rsidR="00465BA4" w:rsidRPr="00ED172B" w:rsidRDefault="00465BA4">
            <w:pPr>
              <w:jc w:val="center"/>
              <w:rPr>
                <w:color w:val="000000" w:themeColor="text1"/>
              </w:rPr>
            </w:pPr>
            <w:r w:rsidRPr="00ED172B">
              <w:rPr>
                <w:color w:val="000000" w:themeColor="text1"/>
              </w:rPr>
              <w:t>91.06%</w:t>
            </w:r>
          </w:p>
        </w:tc>
      </w:tr>
      <w:tr w:rsidR="00465BA4" w:rsidRPr="00ED172B" w14:paraId="326289E7" w14:textId="77777777" w:rsidTr="00465BA4">
        <w:trPr>
          <w:trHeight w:val="357"/>
        </w:trPr>
        <w:tc>
          <w:tcPr>
            <w:tcW w:w="1269" w:type="pct"/>
            <w:shd w:val="clear" w:color="auto" w:fill="auto"/>
            <w:vAlign w:val="center"/>
          </w:tcPr>
          <w:p w14:paraId="28187623" w14:textId="16A254C9" w:rsidR="00465BA4" w:rsidRPr="00ED172B" w:rsidRDefault="00465BA4" w:rsidP="00CD79C5">
            <w:pPr>
              <w:rPr>
                <w:color w:val="000000" w:themeColor="text1"/>
                <w:szCs w:val="16"/>
              </w:rPr>
            </w:pPr>
            <w:r w:rsidRPr="00ED172B">
              <w:rPr>
                <w:color w:val="000000" w:themeColor="text1"/>
                <w:szCs w:val="16"/>
              </w:rPr>
              <w:t>Target B1 &gt;=</w:t>
            </w:r>
          </w:p>
        </w:tc>
        <w:tc>
          <w:tcPr>
            <w:tcW w:w="3731" w:type="pct"/>
            <w:shd w:val="clear" w:color="auto" w:fill="auto"/>
            <w:vAlign w:val="center"/>
          </w:tcPr>
          <w:p w14:paraId="4D78DE34" w14:textId="721262BD" w:rsidR="00465BA4" w:rsidRPr="00ED172B" w:rsidRDefault="00465BA4" w:rsidP="001E39E3">
            <w:pPr>
              <w:jc w:val="center"/>
              <w:rPr>
                <w:color w:val="000000" w:themeColor="text1"/>
              </w:rPr>
            </w:pPr>
            <w:r w:rsidRPr="00ED172B">
              <w:rPr>
                <w:color w:val="000000" w:themeColor="text1"/>
              </w:rPr>
              <w:t>100.00%</w:t>
            </w:r>
          </w:p>
        </w:tc>
      </w:tr>
      <w:tr w:rsidR="00465BA4" w:rsidRPr="00ED172B" w14:paraId="5055DF87" w14:textId="77777777" w:rsidTr="00465BA4">
        <w:trPr>
          <w:trHeight w:val="357"/>
        </w:trPr>
        <w:tc>
          <w:tcPr>
            <w:tcW w:w="1269" w:type="pct"/>
            <w:shd w:val="clear" w:color="auto" w:fill="auto"/>
            <w:vAlign w:val="center"/>
          </w:tcPr>
          <w:p w14:paraId="5A2F7FDD" w14:textId="5EC2B960" w:rsidR="00465BA4" w:rsidRPr="00ED172B" w:rsidRDefault="00465BA4" w:rsidP="00CD79C5">
            <w:pPr>
              <w:rPr>
                <w:color w:val="000000" w:themeColor="text1"/>
                <w:szCs w:val="16"/>
              </w:rPr>
            </w:pPr>
            <w:r w:rsidRPr="00ED172B">
              <w:rPr>
                <w:rFonts w:cs="Arial"/>
                <w:color w:val="000000" w:themeColor="text1"/>
                <w:szCs w:val="16"/>
              </w:rPr>
              <w:t>Target B1 ALL &gt;=</w:t>
            </w:r>
          </w:p>
        </w:tc>
        <w:tc>
          <w:tcPr>
            <w:tcW w:w="3731" w:type="pct"/>
            <w:shd w:val="clear" w:color="auto" w:fill="auto"/>
            <w:vAlign w:val="center"/>
          </w:tcPr>
          <w:p w14:paraId="6B4921B7" w14:textId="6BA3B6D8" w:rsidR="00465BA4" w:rsidRPr="00ED172B" w:rsidRDefault="00465BA4" w:rsidP="001E39E3">
            <w:pPr>
              <w:jc w:val="center"/>
              <w:rPr>
                <w:color w:val="000000" w:themeColor="text1"/>
              </w:rPr>
            </w:pPr>
            <w:r w:rsidRPr="00ED172B">
              <w:rPr>
                <w:color w:val="000000" w:themeColor="text1"/>
              </w:rPr>
              <w:t>100.00%</w:t>
            </w:r>
          </w:p>
        </w:tc>
      </w:tr>
      <w:tr w:rsidR="00465BA4" w:rsidRPr="00ED172B" w14:paraId="036489EB" w14:textId="77777777" w:rsidTr="00465BA4">
        <w:trPr>
          <w:trHeight w:val="357"/>
        </w:trPr>
        <w:tc>
          <w:tcPr>
            <w:tcW w:w="1269" w:type="pct"/>
            <w:shd w:val="clear" w:color="auto" w:fill="auto"/>
            <w:vAlign w:val="center"/>
          </w:tcPr>
          <w:p w14:paraId="09512A7A" w14:textId="228AE72F" w:rsidR="00465BA4" w:rsidRPr="00ED172B" w:rsidRDefault="00465BA4" w:rsidP="00CD79C5">
            <w:pPr>
              <w:rPr>
                <w:color w:val="000000" w:themeColor="text1"/>
                <w:szCs w:val="16"/>
              </w:rPr>
            </w:pPr>
            <w:r w:rsidRPr="00ED172B">
              <w:rPr>
                <w:color w:val="000000" w:themeColor="text1"/>
                <w:szCs w:val="16"/>
              </w:rPr>
              <w:t>Target B2 &gt;=</w:t>
            </w:r>
          </w:p>
        </w:tc>
        <w:tc>
          <w:tcPr>
            <w:tcW w:w="3731" w:type="pct"/>
            <w:shd w:val="clear" w:color="auto" w:fill="auto"/>
            <w:vAlign w:val="center"/>
          </w:tcPr>
          <w:p w14:paraId="09D74FB5" w14:textId="5F5CF982" w:rsidR="00465BA4" w:rsidRPr="00ED172B" w:rsidRDefault="00465BA4" w:rsidP="001E39E3">
            <w:pPr>
              <w:jc w:val="center"/>
              <w:rPr>
                <w:color w:val="000000" w:themeColor="text1"/>
              </w:rPr>
            </w:pPr>
            <w:r w:rsidRPr="00ED172B">
              <w:rPr>
                <w:color w:val="000000" w:themeColor="text1"/>
              </w:rPr>
              <w:t>87.06%</w:t>
            </w:r>
          </w:p>
        </w:tc>
      </w:tr>
      <w:tr w:rsidR="00465BA4" w:rsidRPr="00ED172B" w14:paraId="000E0E25" w14:textId="77777777" w:rsidTr="00465BA4">
        <w:trPr>
          <w:trHeight w:val="357"/>
        </w:trPr>
        <w:tc>
          <w:tcPr>
            <w:tcW w:w="1269" w:type="pct"/>
            <w:shd w:val="clear" w:color="auto" w:fill="auto"/>
            <w:vAlign w:val="center"/>
          </w:tcPr>
          <w:p w14:paraId="0350BAE8" w14:textId="69126BD8" w:rsidR="00465BA4" w:rsidRPr="00ED172B" w:rsidRDefault="00465BA4" w:rsidP="00CD79C5">
            <w:pPr>
              <w:rPr>
                <w:color w:val="000000" w:themeColor="text1"/>
                <w:szCs w:val="16"/>
              </w:rPr>
            </w:pPr>
            <w:r w:rsidRPr="00ED172B">
              <w:rPr>
                <w:rFonts w:cs="Arial"/>
                <w:color w:val="000000" w:themeColor="text1"/>
                <w:szCs w:val="16"/>
              </w:rPr>
              <w:t>Target B2 ALL &gt;=</w:t>
            </w:r>
          </w:p>
        </w:tc>
        <w:tc>
          <w:tcPr>
            <w:tcW w:w="3731" w:type="pct"/>
            <w:shd w:val="clear" w:color="auto" w:fill="auto"/>
            <w:vAlign w:val="center"/>
          </w:tcPr>
          <w:p w14:paraId="4B1F1572" w14:textId="4FCC82F6" w:rsidR="00465BA4" w:rsidRPr="00ED172B" w:rsidRDefault="00465BA4" w:rsidP="001E39E3">
            <w:pPr>
              <w:jc w:val="center"/>
              <w:rPr>
                <w:color w:val="000000" w:themeColor="text1"/>
              </w:rPr>
            </w:pPr>
            <w:r w:rsidRPr="00ED172B">
              <w:rPr>
                <w:color w:val="000000" w:themeColor="text1"/>
              </w:rPr>
              <w:t>87.06%</w:t>
            </w:r>
          </w:p>
        </w:tc>
      </w:tr>
      <w:tr w:rsidR="00465BA4" w:rsidRPr="00ED172B" w14:paraId="17693616" w14:textId="77777777" w:rsidTr="00465BA4">
        <w:trPr>
          <w:trHeight w:val="357"/>
        </w:trPr>
        <w:tc>
          <w:tcPr>
            <w:tcW w:w="1269" w:type="pct"/>
            <w:shd w:val="clear" w:color="auto" w:fill="auto"/>
            <w:vAlign w:val="center"/>
          </w:tcPr>
          <w:p w14:paraId="430BB10C" w14:textId="6791B00F" w:rsidR="00465BA4" w:rsidRPr="00ED172B" w:rsidRDefault="00465BA4" w:rsidP="00CD79C5">
            <w:pPr>
              <w:rPr>
                <w:color w:val="000000" w:themeColor="text1"/>
                <w:szCs w:val="16"/>
              </w:rPr>
            </w:pPr>
            <w:r w:rsidRPr="00ED172B">
              <w:rPr>
                <w:color w:val="000000" w:themeColor="text1"/>
                <w:szCs w:val="16"/>
              </w:rPr>
              <w:t>Target C1 &gt;=</w:t>
            </w:r>
          </w:p>
        </w:tc>
        <w:tc>
          <w:tcPr>
            <w:tcW w:w="3731" w:type="pct"/>
            <w:shd w:val="clear" w:color="auto" w:fill="auto"/>
            <w:vAlign w:val="center"/>
          </w:tcPr>
          <w:p w14:paraId="3293E770" w14:textId="3B73713F" w:rsidR="00465BA4" w:rsidRPr="00ED172B" w:rsidRDefault="00465BA4" w:rsidP="005C14C2">
            <w:pPr>
              <w:jc w:val="center"/>
              <w:rPr>
                <w:color w:val="000000" w:themeColor="text1"/>
              </w:rPr>
            </w:pPr>
            <w:r w:rsidRPr="00ED172B">
              <w:rPr>
                <w:color w:val="000000" w:themeColor="text1"/>
              </w:rPr>
              <w:t>100.00%</w:t>
            </w:r>
          </w:p>
        </w:tc>
      </w:tr>
      <w:tr w:rsidR="00465BA4" w:rsidRPr="00ED172B" w14:paraId="0C0A9C5B" w14:textId="77777777" w:rsidTr="00465BA4">
        <w:trPr>
          <w:trHeight w:val="357"/>
        </w:trPr>
        <w:tc>
          <w:tcPr>
            <w:tcW w:w="1269" w:type="pct"/>
            <w:shd w:val="clear" w:color="auto" w:fill="auto"/>
            <w:vAlign w:val="center"/>
          </w:tcPr>
          <w:p w14:paraId="0D419673" w14:textId="57458D07" w:rsidR="00465BA4" w:rsidRPr="00ED172B" w:rsidRDefault="00465BA4" w:rsidP="00CD79C5">
            <w:pPr>
              <w:rPr>
                <w:color w:val="000000" w:themeColor="text1"/>
                <w:szCs w:val="16"/>
              </w:rPr>
            </w:pPr>
            <w:r w:rsidRPr="00ED172B">
              <w:rPr>
                <w:rFonts w:cs="Arial"/>
                <w:color w:val="000000" w:themeColor="text1"/>
                <w:szCs w:val="16"/>
              </w:rPr>
              <w:t>Target C1 ALL &gt;=</w:t>
            </w:r>
          </w:p>
        </w:tc>
        <w:tc>
          <w:tcPr>
            <w:tcW w:w="3731" w:type="pct"/>
            <w:shd w:val="clear" w:color="auto" w:fill="auto"/>
            <w:vAlign w:val="center"/>
          </w:tcPr>
          <w:p w14:paraId="2835768C" w14:textId="4640C873" w:rsidR="00465BA4" w:rsidRPr="00ED172B" w:rsidRDefault="00465BA4" w:rsidP="005C14C2">
            <w:pPr>
              <w:jc w:val="center"/>
              <w:rPr>
                <w:color w:val="000000" w:themeColor="text1"/>
              </w:rPr>
            </w:pPr>
            <w:r w:rsidRPr="00ED172B">
              <w:rPr>
                <w:color w:val="000000" w:themeColor="text1"/>
              </w:rPr>
              <w:t>100.00%</w:t>
            </w:r>
          </w:p>
        </w:tc>
      </w:tr>
      <w:tr w:rsidR="00465BA4" w:rsidRPr="00ED172B" w14:paraId="53A45FFA" w14:textId="77777777" w:rsidTr="00465BA4">
        <w:trPr>
          <w:trHeight w:val="357"/>
        </w:trPr>
        <w:tc>
          <w:tcPr>
            <w:tcW w:w="1269" w:type="pct"/>
            <w:shd w:val="clear" w:color="auto" w:fill="auto"/>
            <w:vAlign w:val="center"/>
          </w:tcPr>
          <w:p w14:paraId="3A4CA3C3" w14:textId="62CD31CE" w:rsidR="00465BA4" w:rsidRPr="00ED172B" w:rsidRDefault="00465BA4" w:rsidP="00CD79C5">
            <w:pPr>
              <w:rPr>
                <w:color w:val="000000" w:themeColor="text1"/>
                <w:szCs w:val="16"/>
              </w:rPr>
            </w:pPr>
            <w:r w:rsidRPr="00ED172B">
              <w:rPr>
                <w:color w:val="000000" w:themeColor="text1"/>
                <w:szCs w:val="16"/>
              </w:rPr>
              <w:t>Target C2 &gt;=</w:t>
            </w:r>
          </w:p>
        </w:tc>
        <w:tc>
          <w:tcPr>
            <w:tcW w:w="3731" w:type="pct"/>
            <w:shd w:val="clear" w:color="auto" w:fill="auto"/>
            <w:vAlign w:val="center"/>
          </w:tcPr>
          <w:p w14:paraId="29334B67" w14:textId="22597CE7" w:rsidR="00465BA4" w:rsidRPr="00ED172B" w:rsidRDefault="00465BA4" w:rsidP="005C14C2">
            <w:pPr>
              <w:jc w:val="center"/>
              <w:rPr>
                <w:color w:val="000000" w:themeColor="text1"/>
              </w:rPr>
            </w:pPr>
            <w:r w:rsidRPr="00ED172B">
              <w:rPr>
                <w:color w:val="000000" w:themeColor="text1"/>
              </w:rPr>
              <w:t>87.06%</w:t>
            </w:r>
          </w:p>
        </w:tc>
      </w:tr>
      <w:tr w:rsidR="00465BA4" w:rsidRPr="00ED172B" w14:paraId="0315505E" w14:textId="77777777" w:rsidTr="00465BA4">
        <w:trPr>
          <w:trHeight w:val="357"/>
        </w:trPr>
        <w:tc>
          <w:tcPr>
            <w:tcW w:w="1269" w:type="pct"/>
            <w:shd w:val="clear" w:color="auto" w:fill="auto"/>
            <w:vAlign w:val="center"/>
          </w:tcPr>
          <w:p w14:paraId="2EA196BF" w14:textId="5D9F7D90" w:rsidR="00465BA4" w:rsidRPr="00ED172B" w:rsidRDefault="00465BA4" w:rsidP="00CD79C5">
            <w:pPr>
              <w:rPr>
                <w:color w:val="000000" w:themeColor="text1"/>
                <w:szCs w:val="16"/>
              </w:rPr>
            </w:pPr>
            <w:r w:rsidRPr="00ED172B">
              <w:rPr>
                <w:rFonts w:cs="Arial"/>
                <w:color w:val="000000" w:themeColor="text1"/>
                <w:szCs w:val="16"/>
              </w:rPr>
              <w:t>Target C2 ALL &gt;=</w:t>
            </w:r>
          </w:p>
        </w:tc>
        <w:tc>
          <w:tcPr>
            <w:tcW w:w="3731" w:type="pct"/>
            <w:shd w:val="clear" w:color="auto" w:fill="auto"/>
            <w:vAlign w:val="center"/>
          </w:tcPr>
          <w:p w14:paraId="0820F535" w14:textId="59506D62" w:rsidR="00465BA4" w:rsidRPr="00ED172B" w:rsidRDefault="00465BA4" w:rsidP="005C14C2">
            <w:pPr>
              <w:jc w:val="center"/>
              <w:rPr>
                <w:color w:val="000000" w:themeColor="text1"/>
              </w:rPr>
            </w:pPr>
            <w:r w:rsidRPr="00ED172B">
              <w:rPr>
                <w:color w:val="000000" w:themeColor="text1"/>
              </w:rPr>
              <w:t>87.06%</w:t>
            </w:r>
          </w:p>
        </w:tc>
      </w:tr>
      <w:bookmarkEnd w:id="15"/>
    </w:tbl>
    <w:p w14:paraId="2DD34F88" w14:textId="77777777" w:rsidR="00F32724" w:rsidRPr="00ED172B" w:rsidRDefault="00F32724" w:rsidP="00CD79C5">
      <w:pPr>
        <w:rPr>
          <w:rFonts w:cs="Arial"/>
          <w:color w:val="000000" w:themeColor="text1"/>
          <w:szCs w:val="16"/>
        </w:rPr>
      </w:pPr>
    </w:p>
    <w:p w14:paraId="2D920824" w14:textId="7382719B" w:rsidR="0078252B" w:rsidRPr="00ED172B" w:rsidRDefault="0078252B">
      <w:pPr>
        <w:rPr>
          <w:b/>
          <w:color w:val="000000" w:themeColor="text1"/>
        </w:rPr>
      </w:pPr>
      <w:r w:rsidRPr="00ED172B">
        <w:rPr>
          <w:b/>
          <w:color w:val="000000" w:themeColor="text1"/>
        </w:rPr>
        <w:t>FFY 2019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18</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2</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16.67%</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8</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66.67%</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2</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16.67%</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2</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11.11%</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15</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83.33%</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5.56%</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6E4D3D9E"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13575DE" w14:textId="0BBEB01C"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5AF7B4EA" w14:textId="2D76E828"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87.50%</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100.00%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75.00%</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85.00%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45B51308"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7AA2AF7E" w14:textId="4EA80534"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Target</w:t>
            </w:r>
          </w:p>
        </w:tc>
        <w:tc>
          <w:tcPr>
            <w:tcW w:w="585" w:type="pct"/>
            <w:shd w:val="clear" w:color="auto" w:fill="auto"/>
            <w:vAlign w:val="bottom"/>
          </w:tcPr>
          <w:p w14:paraId="4E3366E4" w14:textId="1EDC79EE"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667" w:type="pct"/>
            <w:shd w:val="clear" w:color="auto" w:fill="auto"/>
            <w:vAlign w:val="center"/>
          </w:tcPr>
          <w:p w14:paraId="07D3AE87" w14:textId="0FA5AD29" w:rsidR="00A01E85" w:rsidRPr="00ED172B" w:rsidRDefault="00A01E85" w:rsidP="00A01E85">
            <w:pPr>
              <w:jc w:val="center"/>
              <w:rPr>
                <w:rFonts w:cs="Arial"/>
                <w:color w:val="000000" w:themeColor="text1"/>
                <w:szCs w:val="16"/>
              </w:rPr>
            </w:pP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100.00%</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w:t>
            </w:r>
          </w:p>
        </w:tc>
        <w:tc>
          <w:tcPr>
            <w:tcW w:w="667" w:type="pct"/>
            <w:shd w:val="clear" w:color="auto" w:fill="auto"/>
            <w:vAlign w:val="center"/>
          </w:tcPr>
          <w:p w14:paraId="1BCCC909" w14:textId="56BE5EA1" w:rsidR="00A01E85" w:rsidRPr="00ED172B" w:rsidRDefault="00A01E85" w:rsidP="00A01E85">
            <w:pPr>
              <w:jc w:val="center"/>
              <w:rPr>
                <w:rFonts w:cs="Arial"/>
                <w:color w:val="000000" w:themeColor="text1"/>
                <w:szCs w:val="16"/>
              </w:rPr>
            </w:pP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91.06%</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88.89%</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69.23%</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30.77%</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11.11%</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66.67%</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22.22%</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0B3E515E"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978AB6B" w14:textId="70C43593"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00" w:type="pct"/>
            <w:shd w:val="clear" w:color="auto" w:fill="auto"/>
            <w:vAlign w:val="bottom"/>
          </w:tcPr>
          <w:p w14:paraId="7554CF81" w14:textId="32482B9C"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91.67%</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100.00%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87.06%</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lastRenderedPageBreak/>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15BDC608"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062A6E" w14:textId="2C62E9E3"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7296B8FE" w14:textId="69B38028"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w:t>
            </w:r>
          </w:p>
        </w:tc>
        <w:tc>
          <w:tcPr>
            <w:tcW w:w="626" w:type="pct"/>
            <w:shd w:val="clear" w:color="auto" w:fill="auto"/>
            <w:vAlign w:val="center"/>
          </w:tcPr>
          <w:p w14:paraId="21296411" w14:textId="57290262" w:rsidR="00A01E85" w:rsidRPr="00ED172B" w:rsidRDefault="00A01E85" w:rsidP="00A01E85">
            <w:pPr>
              <w:jc w:val="center"/>
              <w:rPr>
                <w:rFonts w:cs="Arial"/>
                <w:color w:val="000000" w:themeColor="text1"/>
                <w:szCs w:val="16"/>
              </w:rPr>
            </w:pP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100.00%</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w:t>
            </w:r>
          </w:p>
        </w:tc>
        <w:tc>
          <w:tcPr>
            <w:tcW w:w="626" w:type="pct"/>
            <w:shd w:val="clear" w:color="auto" w:fill="auto"/>
            <w:vAlign w:val="center"/>
          </w:tcPr>
          <w:p w14:paraId="07FAD763" w14:textId="68E47174" w:rsidR="00A01E85" w:rsidRPr="00ED172B" w:rsidRDefault="00A01E85" w:rsidP="00A01E85">
            <w:pPr>
              <w:jc w:val="center"/>
              <w:rPr>
                <w:rFonts w:cs="Arial"/>
                <w:color w:val="000000" w:themeColor="text1"/>
                <w:szCs w:val="16"/>
              </w:rPr>
            </w:pP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87.06%</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88.89%</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0.00%</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0.00%</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2</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16.67%</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8</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66.67%</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2</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16.67%</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4</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22.22%</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12</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66.67%</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2</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11.11%</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26485E71"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37818A7F" w14:textId="415BDBB5"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FAB0C5D" w14:textId="7C08939B"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91.67%</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100.00%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87.06%</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lastRenderedPageBreak/>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0138DE1"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152AD78D" w14:textId="3936D239"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279BEBCE" w14:textId="072B9453"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667" w:type="pct"/>
            <w:shd w:val="clear" w:color="auto" w:fill="auto"/>
            <w:vAlign w:val="center"/>
          </w:tcPr>
          <w:p w14:paraId="7E09B3D3" w14:textId="25613C2B" w:rsidR="00A01E85" w:rsidRPr="00ED172B" w:rsidRDefault="00A01E85" w:rsidP="00A01E85">
            <w:pPr>
              <w:jc w:val="center"/>
              <w:rPr>
                <w:rFonts w:cs="Arial"/>
                <w:color w:val="000000" w:themeColor="text1"/>
                <w:szCs w:val="16"/>
              </w:rPr>
            </w:pP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100.00%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w:t>
            </w:r>
          </w:p>
        </w:tc>
        <w:tc>
          <w:tcPr>
            <w:tcW w:w="667" w:type="pct"/>
            <w:shd w:val="clear" w:color="auto" w:fill="auto"/>
            <w:vAlign w:val="center"/>
          </w:tcPr>
          <w:p w14:paraId="463861E3" w14:textId="4D649E1E" w:rsidR="00A01E85" w:rsidRPr="00ED172B" w:rsidRDefault="00A01E85" w:rsidP="00A01E85">
            <w:pPr>
              <w:jc w:val="center"/>
              <w:rPr>
                <w:rFonts w:cs="Arial"/>
                <w:color w:val="000000" w:themeColor="text1"/>
                <w:szCs w:val="16"/>
              </w:rPr>
            </w:pP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87.06%</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77.78%</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9</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ECO Child Outcomes Summary Form, Outcomes Rating Scale, and </w:t>
      </w:r>
      <w:proofErr w:type="gramStart"/>
      <w:r w:rsidRPr="00ED172B">
        <w:rPr>
          <w:rFonts w:cs="Arial"/>
          <w:color w:val="000000" w:themeColor="text1"/>
          <w:szCs w:val="16"/>
        </w:rPr>
        <w:t>Outcomes</w:t>
      </w:r>
      <w:proofErr w:type="gramEnd"/>
      <w:r w:rsidRPr="00ED172B">
        <w:rPr>
          <w:rFonts w:cs="Arial"/>
          <w:color w:val="000000" w:themeColor="text1"/>
          <w:szCs w:val="16"/>
        </w:rPr>
        <w:t xml:space="preserve"> rating Calculation.</w:t>
      </w:r>
    </w:p>
    <w:p w14:paraId="7C7F4032" w14:textId="77777777"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American Samoa Part C program during the reporting period of July 1, </w:t>
      </w:r>
      <w:proofErr w:type="gramStart"/>
      <w:r w:rsidRPr="00ED172B">
        <w:rPr>
          <w:rFonts w:cs="Arial"/>
          <w:color w:val="000000" w:themeColor="text1"/>
          <w:szCs w:val="16"/>
        </w:rPr>
        <w:t>2019</w:t>
      </w:r>
      <w:proofErr w:type="gramEnd"/>
      <w:r w:rsidRPr="00ED172B">
        <w:rPr>
          <w:rFonts w:cs="Arial"/>
          <w:color w:val="000000" w:themeColor="text1"/>
          <w:szCs w:val="16"/>
        </w:rPr>
        <w:t xml:space="preserve"> to June 30, 2020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rFonts w:cs="Arial"/>
          <w:color w:val="000000" w:themeColor="text1"/>
          <w:szCs w:val="16"/>
        </w:rPr>
        <w:br/>
      </w:r>
      <w:r w:rsidRPr="00ED172B">
        <w:rPr>
          <w:rFonts w:cs="Arial"/>
          <w:color w:val="000000" w:themeColor="text1"/>
          <w:szCs w:val="16"/>
        </w:rPr>
        <w:br/>
        <w:t>The data reported includes kids referred to the AS Part C program late (</w:t>
      </w:r>
      <w:proofErr w:type="spellStart"/>
      <w:r w:rsidRPr="00ED172B">
        <w:rPr>
          <w:rFonts w:cs="Arial"/>
          <w:color w:val="000000" w:themeColor="text1"/>
          <w:szCs w:val="16"/>
        </w:rPr>
        <w:t>i.e</w:t>
      </w:r>
      <w:proofErr w:type="spellEnd"/>
      <w:r w:rsidRPr="00ED172B">
        <w:rPr>
          <w:rFonts w:cs="Arial"/>
          <w:color w:val="000000" w:themeColor="text1"/>
          <w:szCs w:val="16"/>
        </w:rPr>
        <w:t xml:space="preserve"> referred between 24 to 33 months) not allowing for sufficient time with the Part C program to provide early intervention services to yield significant improvement to the level of age expectation. Data also includes kids with significant limitations </w:t>
      </w:r>
      <w:proofErr w:type="gramStart"/>
      <w:r w:rsidRPr="00ED172B">
        <w:rPr>
          <w:rFonts w:cs="Arial"/>
          <w:color w:val="000000" w:themeColor="text1"/>
          <w:szCs w:val="16"/>
        </w:rPr>
        <w:t>as a result of</w:t>
      </w:r>
      <w:proofErr w:type="gramEnd"/>
      <w:r w:rsidRPr="00ED172B">
        <w:rPr>
          <w:rFonts w:cs="Arial"/>
          <w:color w:val="000000" w:themeColor="text1"/>
          <w:szCs w:val="16"/>
        </w:rPr>
        <w:t xml:space="preserve"> their disability and although their performance outcome scores improved, they were not at age expectation. </w:t>
      </w:r>
      <w:r w:rsidRPr="00ED172B">
        <w:rPr>
          <w:rFonts w:cs="Arial"/>
          <w:color w:val="000000" w:themeColor="text1"/>
          <w:szCs w:val="16"/>
        </w:rPr>
        <w:br/>
      </w:r>
      <w:r w:rsidRPr="00ED172B">
        <w:rPr>
          <w:rFonts w:cs="Arial"/>
          <w:color w:val="000000" w:themeColor="text1"/>
          <w:szCs w:val="16"/>
        </w:rPr>
        <w:br/>
        <w:t xml:space="preserve">It is also important to note that it was during this reporting period that the measles and COVID restrictions </w:t>
      </w:r>
      <w:proofErr w:type="gramStart"/>
      <w:r w:rsidRPr="00ED172B">
        <w:rPr>
          <w:rFonts w:cs="Arial"/>
          <w:color w:val="000000" w:themeColor="text1"/>
          <w:szCs w:val="16"/>
        </w:rPr>
        <w:t>occurred</w:t>
      </w:r>
      <w:proofErr w:type="gramEnd"/>
      <w:r w:rsidRPr="00ED172B">
        <w:rPr>
          <w:rFonts w:cs="Arial"/>
          <w:color w:val="000000" w:themeColor="text1"/>
          <w:szCs w:val="16"/>
        </w:rPr>
        <w:t xml:space="preserve"> and face-to-face services were on hold for a while so the program mainly used telehealth to conduct the services. Some families refused face-to-face services due to concerns of the virus spreading and telehealth was not readily available for some of the families. </w:t>
      </w:r>
      <w:r w:rsidRPr="00ED172B">
        <w:rPr>
          <w:rFonts w:cs="Arial"/>
          <w:color w:val="000000" w:themeColor="text1"/>
          <w:szCs w:val="16"/>
        </w:rPr>
        <w:br/>
      </w:r>
      <w:r w:rsidRPr="00ED172B">
        <w:rPr>
          <w:rFonts w:cs="Arial"/>
          <w:color w:val="000000" w:themeColor="text1"/>
          <w:szCs w:val="16"/>
        </w:rPr>
        <w:br/>
        <w:t>The AS Part C program continues to aggressively promote early intervention in the community increasing awareness of EI services through various public service announcements for early identification prior to the age of 2 years old. Additionally, the AS Part C continues its efforts to educate the community/parents through television appearances on the importance of early intervention.</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1"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85.20%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67.70%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83.33%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95.83%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83.20%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61.30%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91.67%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95.83%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83.20%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91.67%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85.60%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83.60%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83.60%</w:t>
            </w:r>
          </w:p>
        </w:tc>
      </w:tr>
    </w:tbl>
    <w:bookmarkEnd w:id="21"/>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w:t>
      </w:r>
      <w:r w:rsidRPr="00ED172B">
        <w:rPr>
          <w:color w:val="000000" w:themeColor="text1"/>
        </w:rPr>
        <w:lastRenderedPageBreak/>
        <w:t xml:space="preserve">Maternal and Child Health program, Zika program, Children with Special Needs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2" w:name="_Toc392159275"/>
            <w:bookmarkStart w:id="23" w:name="_Toc382082367"/>
            <w:bookmarkStart w:id="24"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18</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16</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85.60%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83.60%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83.60%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This reporting period, the American Samoa Part C program continued to conduct surveys over the phone. In previous years, when surveys were given to parents there was a high number of returned surveys with multiple answers circled for the same questions, discrediting those surveys.</w:t>
      </w:r>
      <w:r w:rsidRPr="00ED172B">
        <w:rPr>
          <w:rFonts w:cs="Arial"/>
          <w:color w:val="000000" w:themeColor="text1"/>
          <w:szCs w:val="16"/>
        </w:rPr>
        <w:br/>
      </w:r>
      <w:r w:rsidRPr="00ED172B">
        <w:rPr>
          <w:rFonts w:cs="Arial"/>
          <w:color w:val="000000" w:themeColor="text1"/>
          <w:szCs w:val="16"/>
        </w:rPr>
        <w:br/>
        <w:t xml:space="preserve">The ECO Family Outcomes Survey was utilized. In person or phone surveys are feasible survey distribution methods for families of clients receiving Part C services for often a lot of them do not have personal postal boxes because they are unable to pay for a postal box. American Samoa only has one post office where all mail is sent and received. The American Samoa (AS) Part C </w:t>
      </w:r>
      <w:proofErr w:type="gramStart"/>
      <w:r w:rsidRPr="00ED172B">
        <w:rPr>
          <w:rFonts w:cs="Arial"/>
          <w:color w:val="000000" w:themeColor="text1"/>
          <w:szCs w:val="16"/>
        </w:rPr>
        <w:t>Program</w:t>
      </w:r>
      <w:proofErr w:type="gramEnd"/>
      <w:r w:rsidRPr="00ED172B">
        <w:rPr>
          <w:rFonts w:cs="Arial"/>
          <w:color w:val="000000" w:themeColor="text1"/>
          <w:szCs w:val="16"/>
        </w:rPr>
        <w:t xml:space="preserve"> therefore, has over the years solicited partner agencies assistance to conduct in person or over the phone surveys. This method, although not always effective with most families opting not to complete the surveys, has yield a better return compared to mailing surveys. </w:t>
      </w:r>
      <w:r w:rsidRPr="00ED172B">
        <w:rPr>
          <w:rFonts w:cs="Arial"/>
          <w:color w:val="000000" w:themeColor="text1"/>
          <w:szCs w:val="16"/>
        </w:rPr>
        <w:br/>
      </w:r>
      <w:r w:rsidRPr="00ED172B">
        <w:rPr>
          <w:rFonts w:cs="Arial"/>
          <w:color w:val="000000" w:themeColor="text1"/>
          <w:szCs w:val="16"/>
        </w:rPr>
        <w:br/>
        <w:t xml:space="preserve">Those surveyed were families of children who have exited the AS Part C program during this reporting period and who received Part C services for at least 6 months. All families who met </w:t>
      </w:r>
      <w:proofErr w:type="gramStart"/>
      <w:r w:rsidRPr="00ED172B">
        <w:rPr>
          <w:rFonts w:cs="Arial"/>
          <w:color w:val="000000" w:themeColor="text1"/>
          <w:szCs w:val="16"/>
        </w:rPr>
        <w:t>this criteria</w:t>
      </w:r>
      <w:proofErr w:type="gramEnd"/>
      <w:r w:rsidRPr="00ED172B">
        <w:rPr>
          <w:rFonts w:cs="Arial"/>
          <w:color w:val="000000" w:themeColor="text1"/>
          <w:szCs w:val="16"/>
        </w:rPr>
        <w:t xml:space="preserve"> was contacted by our surveyors to request their participation in the surveys. Surveys are conducted at the end of each month as families meeting </w:t>
      </w:r>
      <w:proofErr w:type="gramStart"/>
      <w:r w:rsidRPr="00ED172B">
        <w:rPr>
          <w:rFonts w:cs="Arial"/>
          <w:color w:val="000000" w:themeColor="text1"/>
          <w:szCs w:val="16"/>
        </w:rPr>
        <w:t>this criteria</w:t>
      </w:r>
      <w:proofErr w:type="gramEnd"/>
      <w:r w:rsidRPr="00ED172B">
        <w:rPr>
          <w:rFonts w:cs="Arial"/>
          <w:color w:val="000000" w:themeColor="text1"/>
          <w:szCs w:val="16"/>
        </w:rPr>
        <w:t xml:space="preserve"> exit the program. The AS Part C program provides services throughout the </w:t>
      </w:r>
      <w:proofErr w:type="gramStart"/>
      <w:r w:rsidRPr="00ED172B">
        <w:rPr>
          <w:rFonts w:cs="Arial"/>
          <w:color w:val="000000" w:themeColor="text1"/>
          <w:szCs w:val="16"/>
        </w:rPr>
        <w:t>island,</w:t>
      </w:r>
      <w:proofErr w:type="gramEnd"/>
      <w:r w:rsidRPr="00ED172B">
        <w:rPr>
          <w:rFonts w:cs="Arial"/>
          <w:color w:val="000000" w:themeColor="text1"/>
          <w:szCs w:val="16"/>
        </w:rPr>
        <w:t xml:space="preserve"> therefore the number is representative of different districts, villages, and races/ethnicities, ever served by the AS Part C program. Additionally, those surveys </w:t>
      </w:r>
      <w:proofErr w:type="gramStart"/>
      <w:r w:rsidRPr="00ED172B">
        <w:rPr>
          <w:rFonts w:cs="Arial"/>
          <w:color w:val="000000" w:themeColor="text1"/>
          <w:szCs w:val="16"/>
        </w:rPr>
        <w:t>is</w:t>
      </w:r>
      <w:proofErr w:type="gramEnd"/>
      <w:r w:rsidRPr="00ED172B">
        <w:rPr>
          <w:rFonts w:cs="Arial"/>
          <w:color w:val="000000" w:themeColor="text1"/>
          <w:szCs w:val="16"/>
        </w:rPr>
        <w:t xml:space="preserve"> representative of families of kids with various disabilities including children who are born premature and being monitored for potential developmental delays.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During this reporting period, a total of 27 children exited the AS Part C services and 18 of those kids were in Part C for 6 or more months. Those 18 families were contacted and 16 were successfully surveyed and completed. Some of the reasons for the unsuccessful contact attempts range from disconnected phone numbers, changed phone numbers, or not returned calls.</w:t>
      </w:r>
    </w:p>
    <w:bookmarkEnd w:id="22"/>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5" w:name="_Toc384383330"/>
      <w:bookmarkStart w:id="26" w:name="_Toc392159282"/>
      <w:bookmarkStart w:id="27" w:name="_Toc382082372"/>
      <w:bookmarkEnd w:id="23"/>
      <w:bookmarkEnd w:id="24"/>
      <w:r w:rsidRPr="00ED172B">
        <w:rPr>
          <w:color w:val="000000" w:themeColor="text1"/>
        </w:rPr>
        <w:lastRenderedPageBreak/>
        <w:t xml:space="preserve">Indicator </w:t>
      </w:r>
      <w:bookmarkEnd w:id="25"/>
      <w:bookmarkEnd w:id="26"/>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8" w:name="_Toc384383331"/>
      <w:bookmarkStart w:id="29"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 xml:space="preserve">Data collected under section 618 of the IDEA (IDEA Part C Child Count and Settings data collection in the </w:t>
      </w:r>
      <w:proofErr w:type="spellStart"/>
      <w:r w:rsidRPr="00ED172B">
        <w:rPr>
          <w:rFonts w:cs="Arial"/>
          <w:color w:val="000000" w:themeColor="text1"/>
          <w:szCs w:val="16"/>
        </w:rPr>
        <w:t>EDFacts</w:t>
      </w:r>
      <w:proofErr w:type="spellEnd"/>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8"/>
    <w:bookmarkEnd w:id="29"/>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0" w:name="_Toc384383332"/>
      <w:bookmarkStart w:id="31"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2013</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1.01%</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1.02%</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0.10%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0.44%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1.03%</w:t>
            </w:r>
          </w:p>
        </w:tc>
      </w:tr>
    </w:tbl>
    <w:bookmarkEnd w:id="30"/>
    <w:bookmarkEnd w:id="31"/>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834</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834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0.44%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0.24%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The AS Part C program during the reporting period July 1, </w:t>
      </w:r>
      <w:proofErr w:type="gramStart"/>
      <w:r w:rsidRPr="00ED172B">
        <w:rPr>
          <w:color w:val="000000" w:themeColor="text1"/>
        </w:rPr>
        <w:t>2019</w:t>
      </w:r>
      <w:proofErr w:type="gramEnd"/>
      <w:r w:rsidRPr="00ED172B">
        <w:rPr>
          <w:color w:val="000000" w:themeColor="text1"/>
        </w:rPr>
        <w:t xml:space="preserve"> to June 30th 2020, mostly received referrals of toddlers in the age group 2 to 3 years old. Some of the referrals of toddlers in the age group of 0-1 were evaluated and determined not eligible for services due to performing age appropriate. Some were placed on AS Part C internal monitoring system based on birth history to be re-evaluated after 3-6 months. It was also during this reporting period that the measles outbreak and the COVID pandemic occurred where a lot of families were hesitant to access EI services due to concerns of possible exposures to the viruses resulting in denial of services. </w:t>
      </w:r>
    </w:p>
    <w:p w14:paraId="25081AAC" w14:textId="77777777" w:rsidR="00897554" w:rsidRPr="00ED172B" w:rsidRDefault="00897554">
      <w:pPr>
        <w:rPr>
          <w:b/>
          <w:color w:val="000000" w:themeColor="text1"/>
        </w:rPr>
      </w:pPr>
      <w:r w:rsidRPr="00ED172B">
        <w:rPr>
          <w:b/>
          <w:color w:val="000000" w:themeColor="text1"/>
        </w:rPr>
        <w:lastRenderedPageBreak/>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Although the AS Part C program did not meet the target for FFY 2019 or the national data, the AS part C program continues its daily Child Find efforts in the community Health Clinics, the territorial hospital, through Child Care Facilities, community Health Fairs, various public announcements, and through its stakeholders.</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AS Part C Program collected birth count from the American Samoa Hearing Screening Program who collects all live births data from the territory's hospital (LBJ Tropical Medical Center) and verifies all births in the territory. The total live births for 2019 is 834 which is the number that is listed above.</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2" w:name="_Toc381956335"/>
      <w:bookmarkStart w:id="33" w:name="_Toc384383336"/>
      <w:bookmarkStart w:id="34" w:name="_Toc392159288"/>
      <w:r w:rsidRPr="00ED172B">
        <w:rPr>
          <w:color w:val="000000" w:themeColor="text1"/>
        </w:rPr>
        <w:lastRenderedPageBreak/>
        <w:t xml:space="preserve">Indicator </w:t>
      </w:r>
      <w:bookmarkEnd w:id="32"/>
      <w:bookmarkEnd w:id="33"/>
      <w:bookmarkEnd w:id="34"/>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 xml:space="preserve">Data collected under IDEA section 618 of the IDEA (IDEA Part C Child Count and Settings data collection in the </w:t>
      </w:r>
      <w:proofErr w:type="spellStart"/>
      <w:r w:rsidRPr="00ED172B">
        <w:rPr>
          <w:color w:val="000000" w:themeColor="text1"/>
          <w:szCs w:val="16"/>
        </w:rPr>
        <w:t>EDFacts</w:t>
      </w:r>
      <w:proofErr w:type="spellEnd"/>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2013</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1.28%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5"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1.29%</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1.30%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1.31%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1.32%</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1.33%</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0.93%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1.06%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1.34%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0.82%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0.96%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1.33%</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3,755</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3,755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0.96%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1.33%</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0.67%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 xml:space="preserve">The AS Part C program set a target of 1.33% of the total population of infants and </w:t>
      </w:r>
      <w:proofErr w:type="gramStart"/>
      <w:r w:rsidRPr="00ED172B">
        <w:rPr>
          <w:color w:val="000000" w:themeColor="text1"/>
        </w:rPr>
        <w:t>toddlers</w:t>
      </w:r>
      <w:proofErr w:type="gramEnd"/>
      <w:r w:rsidRPr="00ED172B">
        <w:rPr>
          <w:color w:val="000000" w:themeColor="text1"/>
        </w:rPr>
        <w:t xml:space="preserve"> birth through 3 in American Samoa to serve during FFY 2019, however, the ASEIP did not meet its target. The ASEIP attributes this slippage in part to the absence of a Child-Find Coordinator. </w:t>
      </w:r>
      <w:proofErr w:type="gramStart"/>
      <w:r w:rsidRPr="00ED172B">
        <w:rPr>
          <w:color w:val="000000" w:themeColor="text1"/>
        </w:rPr>
        <w:t>At this time</w:t>
      </w:r>
      <w:proofErr w:type="gramEnd"/>
      <w:r w:rsidRPr="00ED172B">
        <w:rPr>
          <w:color w:val="000000" w:themeColor="text1"/>
        </w:rPr>
        <w:t>, the ASEIP's main source of referrals is the Helping Babies Hear (EDHI) program, the pediatrics clinic, walk-in/call in referrals, and from the MIECHV program. The ASEIP is working with its personnel team to hire a Child-Find coordinator. Once a Child-Find coordinator is secured, the ASEIP intends to have the Child-Find Coordinator attend all community health clinics located in each district, specifically the well-baby clinics, the Women Infant and Children (WIC) locations, the territory hospital Pediatric Clinic, and all the other community outreaches.</w:t>
      </w:r>
      <w:r w:rsidRPr="00ED172B">
        <w:rPr>
          <w:color w:val="000000" w:themeColor="text1"/>
        </w:rPr>
        <w:br/>
      </w:r>
      <w:r w:rsidRPr="00ED172B">
        <w:rPr>
          <w:color w:val="000000" w:themeColor="text1"/>
        </w:rPr>
        <w:br/>
      </w:r>
      <w:r w:rsidRPr="00ED172B">
        <w:rPr>
          <w:color w:val="000000" w:themeColor="text1"/>
        </w:rPr>
        <w:lastRenderedPageBreak/>
        <w:t>In addition, during FFY 2019 the ASEIP has also continued to utilize its Monitor status system of categorizing potentially eligible and eligible Part C children. The current ASEIP system has Active Part C infants and toddlers who have IFSPs and the "Monitor" Part C infants and toddlers who have been assessed and determined not needing Part C (no IFSP) service, but the ASEIP and/or the family determined to monitor and follow up with these cases within a specified amount of time (</w:t>
      </w:r>
      <w:proofErr w:type="gramStart"/>
      <w:r w:rsidRPr="00ED172B">
        <w:rPr>
          <w:color w:val="000000" w:themeColor="text1"/>
        </w:rPr>
        <w:t>e.g.</w:t>
      </w:r>
      <w:proofErr w:type="gramEnd"/>
      <w:r w:rsidRPr="00ED172B">
        <w:rPr>
          <w:color w:val="000000" w:themeColor="text1"/>
        </w:rPr>
        <w:t xml:space="preserve"> in 3 months or 6 months). Although there is a slippage in FFY 2019 data, the ASEIP maintains an even higher number of "Monitor" cases compared to its reported child count of 25 for this reporting period. At any time of the reporting </w:t>
      </w:r>
      <w:proofErr w:type="gramStart"/>
      <w:r w:rsidRPr="00ED172B">
        <w:rPr>
          <w:color w:val="000000" w:themeColor="text1"/>
        </w:rPr>
        <w:t>period ,</w:t>
      </w:r>
      <w:proofErr w:type="gramEnd"/>
      <w:r w:rsidRPr="00ED172B">
        <w:rPr>
          <w:color w:val="000000" w:themeColor="text1"/>
        </w:rPr>
        <w:t xml:space="preserve"> a "Monitor" case can become "Active" (</w:t>
      </w:r>
      <w:proofErr w:type="spellStart"/>
      <w:r w:rsidRPr="00ED172B">
        <w:rPr>
          <w:color w:val="000000" w:themeColor="text1"/>
        </w:rPr>
        <w:t>IFSPd</w:t>
      </w:r>
      <w:proofErr w:type="spellEnd"/>
      <w:r w:rsidRPr="00ED172B">
        <w:rPr>
          <w:color w:val="000000" w:themeColor="text1"/>
        </w:rPr>
        <w:t xml:space="preserve">) if results of assessments show the need for Part C services. </w:t>
      </w:r>
      <w:r w:rsidRPr="00ED172B">
        <w:rPr>
          <w:color w:val="000000" w:themeColor="text1"/>
        </w:rPr>
        <w:br/>
      </w:r>
      <w:r w:rsidRPr="00ED172B">
        <w:rPr>
          <w:color w:val="000000" w:themeColor="text1"/>
        </w:rPr>
        <w:br/>
        <w:t xml:space="preserve">The ASEIP has recognized through the continued implementation of its monitor cases, various areas of professional development needed for its EI staff. Therefore, monthly trainings have been implemented to support the EI staff in effectively delivering services to all Part C children. </w:t>
      </w:r>
    </w:p>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 xml:space="preserve">The AS Part C Program collects its live births from the AS Newborn Hearing Screening who collects live birth from the territorial hospital. The alternate data added is from the total live births for the years 2016, 2017, 2018 and 2019. </w:t>
      </w:r>
      <w:r w:rsidRPr="00ED172B">
        <w:rPr>
          <w:color w:val="000000" w:themeColor="text1"/>
        </w:rPr>
        <w:br/>
      </w:r>
      <w:r w:rsidRPr="00ED172B">
        <w:rPr>
          <w:color w:val="000000" w:themeColor="text1"/>
        </w:rPr>
        <w:br/>
        <w:t xml:space="preserve">Although 25 infants and toddlers had IFSPs at the time of the </w:t>
      </w:r>
      <w:proofErr w:type="gramStart"/>
      <w:r w:rsidRPr="00ED172B">
        <w:rPr>
          <w:color w:val="000000" w:themeColor="text1"/>
        </w:rPr>
        <w:t>618 report</w:t>
      </w:r>
      <w:proofErr w:type="gramEnd"/>
      <w:r w:rsidRPr="00ED172B">
        <w:rPr>
          <w:color w:val="000000" w:themeColor="text1"/>
        </w:rPr>
        <w:t xml:space="preserve"> submission, it should be noted that through the year the AS Part C Program provides services for more than 60 clients as referral coming in as well as kids who are being monitored by the AS Part C Program for being at risk for developmental delays. At any given time, kids on the monitor list can become eligible for EI services after re-evaluation is completed and if results determine child needs an IFSP and family accepts services. The monitor list is maintained by the Part C program as an attempt to prevent lost to follow up as much as possible. </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7"/>
      <w:bookmarkEnd w:id="35"/>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6"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 xml:space="preserve">If data are from State monitoring,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6"/>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7" w:name="_Toc382082375"/>
      <w:bookmarkStart w:id="38"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81.00%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96.97%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96.97%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0</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database</w:t>
      </w:r>
    </w:p>
    <w:p w14:paraId="0535AD27" w14:textId="352FAEAA" w:rsidR="00423BCE"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2019</w:t>
      </w:r>
      <w:proofErr w:type="gramEnd"/>
      <w:r w:rsidRPr="00ED172B">
        <w:rPr>
          <w:color w:val="000000" w:themeColor="text1"/>
        </w:rPr>
        <w:t xml:space="preserve"> to June 30,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This data is extracted from the AS Part C's web-based database using a customized report that includes all infants and toddlers referred to Part C during the reporting period of July 1, </w:t>
      </w:r>
      <w:proofErr w:type="gramStart"/>
      <w:r w:rsidRPr="00ED172B">
        <w:rPr>
          <w:rFonts w:cs="Arial"/>
          <w:color w:val="000000" w:themeColor="text1"/>
          <w:szCs w:val="16"/>
        </w:rPr>
        <w:t>2019</w:t>
      </w:r>
      <w:proofErr w:type="gramEnd"/>
      <w:r w:rsidRPr="00ED172B">
        <w:rPr>
          <w:rFonts w:cs="Arial"/>
          <w:color w:val="000000" w:themeColor="text1"/>
          <w:szCs w:val="16"/>
        </w:rPr>
        <w:t xml:space="preserve"> to June 30, 2020. Data from this report includes but are not limited to referral dates and IFSP dates for each child referred during this period.</w:t>
      </w:r>
      <w:r w:rsidRPr="00ED172B">
        <w:rPr>
          <w:rFonts w:cs="Arial"/>
          <w:color w:val="000000" w:themeColor="text1"/>
          <w:szCs w:val="16"/>
        </w:rPr>
        <w:br/>
      </w:r>
      <w:r w:rsidRPr="00ED172B">
        <w:rPr>
          <w:rFonts w:cs="Arial"/>
          <w:color w:val="000000" w:themeColor="text1"/>
          <w:szCs w:val="16"/>
        </w:rPr>
        <w:br/>
        <w:t xml:space="preserve">A total of 26 infant and toddlers were evaluated and assessed for whom an IFSP meeting was required to be conducted. All 26 had an IFSP meeting conducted within Part C's 45-Day timeline. As noted above, there is no documented delay attributable to exceptional any family circumstances. </w:t>
      </w:r>
    </w:p>
    <w:p w14:paraId="239AE944" w14:textId="77777777" w:rsidR="003A3693" w:rsidRPr="00ED172B" w:rsidRDefault="003A3693" w:rsidP="003A3693">
      <w:pPr>
        <w:rPr>
          <w:rFonts w:cs="Arial"/>
          <w:b/>
          <w:color w:val="000000" w:themeColor="text1"/>
          <w:szCs w:val="16"/>
        </w:rPr>
      </w:pPr>
      <w:bookmarkStart w:id="39" w:name="_Toc386209666"/>
      <w:bookmarkStart w:id="40" w:name="_Toc392159299"/>
      <w:bookmarkEnd w:id="37"/>
      <w:bookmarkEnd w:id="38"/>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noncompliance reported in FFY 2018 was corrected based on a review of updated data that is collected through on-site monitoring and the state data system. The noncompliance was immediately identified and was corrected within the reporting period. The FFY 2018 noncompliance was attributed to staff circumstances. The Child-Find coordinator accidentally re-entered a referral with the wrong date generating a second 45-day deadline. This was immediately identified and a corrective supervision meeting between staff and management team was conducted. The ASEIP management team along with their database developer were able to remove the duplicated referral entry and the 45-day deadline was corrected. Unfortunately, by the time this issue was resolved, the family had already agreed to schedule an evaluation on a date that was after the correct 45-day deadline. Following the management supervision meeting, the database and on-site records were cross referenced to make sure all records were corrected; management confirmed all records were corrected. Nevertheless, early intervention services were resumed to meet the child and family availability.</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For individual case of noncompliance, even though late, all children received an assessment, an initial IFSP, and services to meet the child's and family's needs. </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9"/>
    </w:p>
    <w:p w14:paraId="530F89E6" w14:textId="77777777" w:rsidR="00F51610" w:rsidRPr="00ED172B" w:rsidRDefault="00F51610" w:rsidP="00186420">
      <w:pPr>
        <w:rPr>
          <w:color w:val="000000" w:themeColor="text1"/>
          <w:szCs w:val="20"/>
        </w:rPr>
      </w:pPr>
      <w:bookmarkStart w:id="41"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2" w:name="_Hlk25310256"/>
      <w:r w:rsidR="00616172" w:rsidRPr="00ED172B">
        <w:rPr>
          <w:color w:val="000000" w:themeColor="text1"/>
          <w:szCs w:val="16"/>
        </w:rPr>
        <w:t>Effective Transition</w:t>
      </w:r>
      <w:bookmarkEnd w:id="42"/>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3" w:name="_Toc386209669"/>
      <w:bookmarkEnd w:id="41"/>
      <w:r w:rsidRPr="00A40EE1">
        <w:t xml:space="preserve">8A - </w:t>
      </w:r>
      <w:r w:rsidR="00D30AF1" w:rsidRPr="00A40EE1">
        <w:t>Indicator</w:t>
      </w:r>
      <w:r w:rsidR="000C5918" w:rsidRPr="00A40EE1">
        <w:t xml:space="preserve"> Data</w:t>
      </w:r>
    </w:p>
    <w:bookmarkEnd w:id="43"/>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96.00%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27</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96.00%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2019</w:t>
      </w:r>
      <w:proofErr w:type="gramEnd"/>
      <w:r w:rsidRPr="00ED172B">
        <w:rPr>
          <w:color w:val="000000" w:themeColor="text1"/>
        </w:rPr>
        <w:t xml:space="preserve"> to June 30,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AS Part C utilizes its web-based database to extract customized reports that includes data on each child that exited Part C during the reporting period of July 1, </w:t>
      </w:r>
      <w:proofErr w:type="gramStart"/>
      <w:r w:rsidRPr="00ED172B">
        <w:rPr>
          <w:rFonts w:cs="Arial"/>
          <w:color w:val="000000" w:themeColor="text1"/>
          <w:szCs w:val="16"/>
        </w:rPr>
        <w:t>2019</w:t>
      </w:r>
      <w:proofErr w:type="gramEnd"/>
      <w:r w:rsidRPr="00ED172B">
        <w:rPr>
          <w:rFonts w:cs="Arial"/>
          <w:color w:val="000000" w:themeColor="text1"/>
          <w:szCs w:val="16"/>
        </w:rPr>
        <w:t xml:space="preserve"> to June 30, 20208y who should have had an IFSP with transition steps and services. For the reporting period of July 1, </w:t>
      </w:r>
      <w:proofErr w:type="gramStart"/>
      <w:r w:rsidRPr="00ED172B">
        <w:rPr>
          <w:rFonts w:cs="Arial"/>
          <w:color w:val="000000" w:themeColor="text1"/>
          <w:szCs w:val="16"/>
        </w:rPr>
        <w:t>2019</w:t>
      </w:r>
      <w:proofErr w:type="gramEnd"/>
      <w:r w:rsidRPr="00ED172B">
        <w:rPr>
          <w:rFonts w:cs="Arial"/>
          <w:color w:val="000000" w:themeColor="text1"/>
          <w:szCs w:val="16"/>
        </w:rPr>
        <w:t xml:space="preserve"> to June 30, 2020, 27 infants and toddlers exiting the AS Part C program had an IFSP with transition steps and services. As noted above, there are 0 documented delays.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There were no issues or delays with the data collection or quality due to the measles outbreak and COVID 19 pandemic.</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American </w:t>
      </w:r>
      <w:proofErr w:type="gramStart"/>
      <w:r w:rsidRPr="00ED172B">
        <w:rPr>
          <w:color w:val="000000" w:themeColor="text1"/>
        </w:rPr>
        <w:t>Samoa  did</w:t>
      </w:r>
      <w:proofErr w:type="gramEnd"/>
      <w:r w:rsidRPr="00ED172B">
        <w:rPr>
          <w:color w:val="000000" w:themeColor="text1"/>
        </w:rPr>
        <w:t xml:space="preserve"> not report that it identified any findings of noncompliance in FFY 2018, although its FFY 2018 data reflect less than 100% compliance. In the FFY 2020 SPP/APR, American </w:t>
      </w:r>
      <w:proofErr w:type="gramStart"/>
      <w:r w:rsidRPr="00ED172B">
        <w:rPr>
          <w:color w:val="000000" w:themeColor="text1"/>
        </w:rPr>
        <w:t>Samoa  must</w:t>
      </w:r>
      <w:proofErr w:type="gramEnd"/>
      <w:r w:rsidRPr="00ED172B">
        <w:rPr>
          <w:color w:val="000000" w:themeColor="text1"/>
        </w:rPr>
        <w:t xml:space="preserve"> provide an explanation of why it did not identify any findings of noncompliance in FFY 2018. </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22</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was collected in Sate Database and verified with child files and documentation completed by families who received early intervention services during reporting period.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2019</w:t>
      </w:r>
      <w:proofErr w:type="gramEnd"/>
      <w:r w:rsidRPr="00ED172B">
        <w:rPr>
          <w:color w:val="000000" w:themeColor="text1"/>
        </w:rPr>
        <w:t xml:space="preserve"> to June 30,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during this reporting period was extracted from the AS Part C website of all kids exiting Part C with IFSPs potentially eligible for transition services. Child records were verified and confirmed using data reports extracted from the program's database.</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As indicated above, the AS Part C Program does not have a an opt-out policy. The child's parents denied the transition meeting and continued EI services until child turned 3 and exited the program. The AS Part C program data collection was not impacted by the measles outbreak or the COVID-19 pandemic. </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95.65%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95.65%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0</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July 1, </w:t>
      </w:r>
      <w:proofErr w:type="gramStart"/>
      <w:r w:rsidRPr="00ED172B">
        <w:rPr>
          <w:color w:val="000000" w:themeColor="text1"/>
        </w:rPr>
        <w:t>2019</w:t>
      </w:r>
      <w:proofErr w:type="gramEnd"/>
      <w:r w:rsidRPr="00ED172B">
        <w:rPr>
          <w:color w:val="000000" w:themeColor="text1"/>
        </w:rPr>
        <w:t xml:space="preserve"> to June 30,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Data was extracted from the program's website and utilized to verify documentation in client records. </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The AS Part C programs data collection was not impacted by the measles outbreak and the COVID-19 pandemic.</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320806" w:rsidP="00320806">
      <w:pPr>
        <w:rPr>
          <w:color w:val="000000" w:themeColor="text1"/>
        </w:rPr>
      </w:pPr>
      <w:proofErr w:type="gramStart"/>
      <w:r w:rsidRPr="00ED172B">
        <w:rPr>
          <w:color w:val="000000" w:themeColor="text1"/>
        </w:rPr>
        <w:t>American  Samoa</w:t>
      </w:r>
      <w:proofErr w:type="gramEnd"/>
      <w:r w:rsidRPr="00ED172B">
        <w:rPr>
          <w:color w:val="000000" w:themeColor="text1"/>
        </w:rPr>
        <w:t xml:space="preserve"> did not report that it identified any findings of noncompliance in FFY 2018, although its FFY 2018 data reflect less than 100% compliance. In the FFY 2020 SPP/APR, </w:t>
      </w:r>
      <w:proofErr w:type="gramStart"/>
      <w:r w:rsidRPr="00ED172B">
        <w:rPr>
          <w:color w:val="000000" w:themeColor="text1"/>
        </w:rPr>
        <w:t>American  Samoa</w:t>
      </w:r>
      <w:proofErr w:type="gramEnd"/>
      <w:r w:rsidRPr="00ED172B">
        <w:rPr>
          <w:color w:val="000000" w:themeColor="text1"/>
        </w:rPr>
        <w:t xml:space="preserve"> must provide an explanation of why it did not identify any findings of noncompliance in FFY 2018. </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4" w:name="_Toc382082390"/>
      <w:bookmarkStart w:id="45" w:name="_Toc392159339"/>
      <w:bookmarkEnd w:id="40"/>
      <w:r w:rsidRPr="00ED172B">
        <w:rPr>
          <w:color w:val="000000" w:themeColor="text1"/>
        </w:rPr>
        <w:lastRenderedPageBreak/>
        <w:t>Indicator 9: Resolution Sessions</w:t>
      </w:r>
      <w:bookmarkEnd w:id="44"/>
      <w:bookmarkEnd w:id="45"/>
    </w:p>
    <w:p w14:paraId="162A1EA4" w14:textId="77777777" w:rsidR="00F51610" w:rsidRPr="00ED172B" w:rsidRDefault="00F51610" w:rsidP="00186420">
      <w:pPr>
        <w:rPr>
          <w:color w:val="000000" w:themeColor="text1"/>
          <w:szCs w:val="20"/>
        </w:rPr>
      </w:pPr>
      <w:bookmarkStart w:id="46" w:name="_Toc381786822"/>
      <w:bookmarkStart w:id="47" w:name="_Toc382731911"/>
      <w:bookmarkStart w:id="48" w:name="_Toc382731912"/>
      <w:bookmarkStart w:id="49" w:name="_Toc392159340"/>
      <w:bookmarkEnd w:id="46"/>
      <w:bookmarkEnd w:id="47"/>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 xml:space="preserve">Data collected under section 618 of the IDEA (IDEA Part C Dispute Resolution Survey in the </w:t>
      </w:r>
      <w:proofErr w:type="spellStart"/>
      <w:r w:rsidRPr="00ED172B">
        <w:rPr>
          <w:color w:val="000000" w:themeColor="text1"/>
          <w:szCs w:val="16"/>
        </w:rPr>
        <w:t>EDFacts</w:t>
      </w:r>
      <w:proofErr w:type="spellEnd"/>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8"/>
    <w:bookmarkEnd w:id="49"/>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0" w:name="_Toc382731913"/>
      <w:bookmarkStart w:id="51"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lastRenderedPageBreak/>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bookmarkEnd w:id="50"/>
      <w:bookmarkEnd w:id="51"/>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OSEP notes that this indicator is not applicable.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 xml:space="preserve">Data collected under section 618 of the IDEA (IDEA Part C Dispute Resolution Survey in the </w:t>
      </w:r>
      <w:proofErr w:type="spellStart"/>
      <w:r w:rsidRPr="00ED172B">
        <w:rPr>
          <w:color w:val="000000" w:themeColor="text1"/>
          <w:szCs w:val="16"/>
        </w:rPr>
        <w:t>EDFacts</w:t>
      </w:r>
      <w:proofErr w:type="spellEnd"/>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2019-20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2019-20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2019-20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This indicator is not applicable to AS Part C program. </w:t>
      </w: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American Samoa reported fewer than ten mediations held in FFY 2019. American Samoa is not required to provide targets until any fiscal year in which ten or more mediations were held. </w:t>
      </w:r>
    </w:p>
    <w:p w14:paraId="4F7A83AE" w14:textId="20C25162" w:rsidR="00DC0682" w:rsidRPr="00A40EE1" w:rsidRDefault="000D0117" w:rsidP="003C213D">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F05134E" w14:textId="77777777" w:rsidR="00646D1A" w:rsidRDefault="00646D1A">
      <w:pPr>
        <w:spacing w:before="0" w:after="200" w:line="276" w:lineRule="auto"/>
        <w:rPr>
          <w:rFonts w:eastAsiaTheme="majorEastAsia" w:cstheme="majorBidi"/>
          <w:b/>
          <w:bCs/>
          <w:sz w:val="22"/>
          <w:szCs w:val="28"/>
        </w:rPr>
      </w:pPr>
      <w:r>
        <w:br w:type="page"/>
      </w:r>
    </w:p>
    <w:p w14:paraId="50EF0F76" w14:textId="7B66BA46" w:rsidR="003C213D" w:rsidRDefault="003C213D" w:rsidP="003C213D">
      <w:pPr>
        <w:pStyle w:val="Heading1"/>
      </w:pPr>
      <w:r>
        <w:lastRenderedPageBreak/>
        <w:t>Indicator 11: State Systemic Improvement Plan</w:t>
      </w:r>
    </w:p>
    <w:bookmarkStart w:id="57" w:name="_MON_1688548950"/>
    <w:bookmarkEnd w:id="57"/>
    <w:p w14:paraId="13172EAF" w14:textId="2DBF96AF" w:rsidR="00646D1A" w:rsidRDefault="00646D1A">
      <w:pPr>
        <w:spacing w:before="0" w:after="200" w:line="276" w:lineRule="auto"/>
        <w:rPr>
          <w:rFonts w:eastAsiaTheme="majorEastAsia" w:cstheme="majorBidi"/>
          <w:b/>
          <w:bCs/>
          <w:color w:val="000000" w:themeColor="text1"/>
          <w:sz w:val="22"/>
          <w:szCs w:val="28"/>
        </w:rPr>
      </w:pPr>
      <w:r>
        <w:rPr>
          <w:color w:val="000000" w:themeColor="text1"/>
        </w:rPr>
        <w:object w:dxaOrig="1541" w:dyaOrig="998" w14:anchorId="2CB9F836">
          <v:shape id="_x0000_i1032" type="#_x0000_t75" alt="ASEIP FFY19 SSIP Report Final Submission" style="width:77.2pt;height:50.1pt" o:ole="">
            <v:imagedata r:id="rId13" o:title=""/>
          </v:shape>
          <o:OLEObject Type="Embed" ProgID="Word.Document.12" ShapeID="_x0000_i1032" DrawAspect="Icon" ObjectID="_1688549074" r:id="rId14">
            <o:FieldCodes>\s</o:FieldCodes>
          </o:OLEObject>
        </w:object>
      </w:r>
      <w:r>
        <w:rPr>
          <w:color w:val="000000" w:themeColor="text1"/>
        </w:rPr>
        <w:br w:type="page"/>
      </w:r>
    </w:p>
    <w:p w14:paraId="76BEC9D6" w14:textId="7D9332F7" w:rsidR="00DD311B" w:rsidRPr="00ED172B" w:rsidDel="003C213D" w:rsidRDefault="00D77E41" w:rsidP="32C18CCB">
      <w:pPr>
        <w:pStyle w:val="Heading1"/>
        <w:rPr>
          <w:color w:val="000000" w:themeColor="text1"/>
        </w:rPr>
      </w:pPr>
      <w:r w:rsidRPr="32C18CCB">
        <w:rPr>
          <w:color w:val="000000" w:themeColor="text1"/>
        </w:rPr>
        <w:lastRenderedPageBreak/>
        <w:t>Certification</w:t>
      </w:r>
      <w:bookmarkStart w:id="58" w:name="_Toc392159348"/>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MOTUSA TUILEAMA NUA</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DEPARTMENT OF HEALTH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tuinua@doh.as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684-633-7676</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04/28/</w:t>
      </w:r>
      <w:proofErr w:type="gramStart"/>
      <w:r w:rsidRPr="00ED172B">
        <w:rPr>
          <w:rFonts w:cs="Arial"/>
          <w:bCs/>
          <w:color w:val="000000" w:themeColor="text1"/>
          <w:szCs w:val="16"/>
        </w:rPr>
        <w:t>21  2:46:47</w:t>
      </w:r>
      <w:proofErr w:type="gramEnd"/>
      <w:r w:rsidRPr="00ED172B">
        <w:rPr>
          <w:rFonts w:cs="Arial"/>
          <w:bCs/>
          <w:color w:val="000000" w:themeColor="text1"/>
          <w:szCs w:val="16"/>
        </w:rPr>
        <w:t xml:space="preserve"> PM</w:t>
      </w:r>
    </w:p>
    <w:p w14:paraId="7B3F3D6E" w14:textId="0E8B0957" w:rsidR="00FD047C" w:rsidRDefault="00FD047C" w:rsidP="32C18CCB">
      <w:pPr>
        <w:autoSpaceDE w:val="0"/>
        <w:autoSpaceDN w:val="0"/>
        <w:adjustRightInd w:val="0"/>
        <w:rPr>
          <w:rFonts w:cs="Arial"/>
          <w:b/>
          <w:bCs/>
          <w:color w:val="000000" w:themeColor="text1"/>
        </w:rPr>
      </w:pPr>
    </w:p>
    <w:p w14:paraId="2704C8AC" w14:textId="77777777" w:rsidR="00646D1A" w:rsidRDefault="00646D1A">
      <w:pPr>
        <w:spacing w:before="0" w:after="200" w:line="276" w:lineRule="auto"/>
        <w:rPr>
          <w:rFonts w:eastAsiaTheme="majorEastAsia" w:cstheme="majorBidi"/>
          <w:b/>
          <w:bCs/>
          <w:sz w:val="22"/>
          <w:szCs w:val="28"/>
        </w:rPr>
      </w:pPr>
      <w:r>
        <w:br w:type="page"/>
      </w:r>
    </w:p>
    <w:p w14:paraId="06F21079" w14:textId="48D4CE8D" w:rsidR="003C213D" w:rsidRDefault="003C213D" w:rsidP="003C213D">
      <w:pPr>
        <w:pStyle w:val="Heading1"/>
      </w:pPr>
      <w:r>
        <w:lastRenderedPageBreak/>
        <w:t>ED Attachments</w:t>
      </w:r>
    </w:p>
    <w:p w14:paraId="74962A5B" w14:textId="3FE3E796" w:rsidR="003C213D" w:rsidRDefault="003C213D" w:rsidP="003C213D"/>
    <w:p w14:paraId="25382928" w14:textId="06B02CC7" w:rsidR="003C213D" w:rsidRPr="003C213D" w:rsidRDefault="003C213D" w:rsidP="32C18CCB">
      <w:r>
        <w:t xml:space="preserve">  </w:t>
      </w:r>
      <w:r w:rsidR="00646D1A">
        <w:object w:dxaOrig="1541" w:dyaOrig="998" w14:anchorId="617404AA">
          <v:shape id="_x0000_i1026" type="#_x0000_t75" alt="as -resultsmatrix-2021c" style="width:77.2pt;height:50.1pt" o:ole="">
            <v:imagedata r:id="rId15" o:title=""/>
          </v:shape>
          <o:OLEObject Type="Embed" ProgID="Acrobat.Document.DC" ShapeID="_x0000_i1026" DrawAspect="Icon" ObjectID="_1688549075" r:id="rId16"/>
        </w:object>
      </w:r>
      <w:r w:rsidR="00646D1A">
        <w:tab/>
      </w:r>
      <w:r w:rsidR="00646D1A">
        <w:object w:dxaOrig="1541" w:dyaOrig="998" w14:anchorId="7F41022F">
          <v:shape id="_x0000_i1028" type="#_x0000_t75" alt="AS-2021DataRubricPartC" style="width:77.2pt;height:50.1pt" o:ole="">
            <v:imagedata r:id="rId17" o:title=""/>
          </v:shape>
          <o:OLEObject Type="Embed" ProgID="Excel.Sheet.12" ShapeID="_x0000_i1028" DrawAspect="Icon" ObjectID="_1688549076" r:id="rId18"/>
        </w:object>
      </w:r>
      <w:r w:rsidR="00646D1A">
        <w:tab/>
      </w:r>
      <w:r w:rsidR="00646D1A">
        <w:object w:dxaOrig="1541" w:dyaOrig="998" w14:anchorId="32AA79DB">
          <v:shape id="_x0000_i1030" type="#_x0000_t75" alt="AS-C-Dispute-Resolution-2019-20" style="width:77.2pt;height:50.1pt" o:ole="">
            <v:imagedata r:id="rId19" o:title=""/>
          </v:shape>
          <o:OLEObject Type="Embed" ProgID="Acrobat.Document.DC" ShapeID="_x0000_i1030" DrawAspect="Icon" ObjectID="_1688549077" r:id="rId20"/>
        </w:object>
      </w:r>
    </w:p>
    <w:sectPr w:rsidR="003C213D" w:rsidRPr="003C213D"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28B3" w14:textId="77777777" w:rsidR="00EA0E22" w:rsidRDefault="00EA0E22" w:rsidP="000802F7">
      <w:pPr>
        <w:spacing w:before="0" w:after="0"/>
      </w:pPr>
      <w:r>
        <w:separator/>
      </w:r>
    </w:p>
  </w:endnote>
  <w:endnote w:type="continuationSeparator" w:id="0">
    <w:p w14:paraId="3AF98245" w14:textId="77777777" w:rsidR="00EA0E22" w:rsidRDefault="00EA0E22" w:rsidP="000802F7">
      <w:pPr>
        <w:spacing w:before="0" w:after="0"/>
      </w:pPr>
      <w:r>
        <w:continuationSeparator/>
      </w:r>
    </w:p>
  </w:endnote>
  <w:endnote w:type="continuationNotice" w:id="1">
    <w:p w14:paraId="620515D3" w14:textId="77777777" w:rsidR="00EA0E22" w:rsidRDefault="00EA0E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4ED2" w14:textId="77777777" w:rsidR="00EA0E22" w:rsidRDefault="00EA0E22" w:rsidP="000802F7">
      <w:pPr>
        <w:spacing w:before="0" w:after="0"/>
      </w:pPr>
      <w:r>
        <w:separator/>
      </w:r>
    </w:p>
  </w:footnote>
  <w:footnote w:type="continuationSeparator" w:id="0">
    <w:p w14:paraId="0DE33CA9" w14:textId="77777777" w:rsidR="00EA0E22" w:rsidRDefault="00EA0E22" w:rsidP="000802F7">
      <w:pPr>
        <w:spacing w:before="0" w:after="0"/>
      </w:pPr>
      <w:r>
        <w:continuationSeparator/>
      </w:r>
    </w:p>
  </w:footnote>
  <w:footnote w:type="continuationNotice" w:id="1">
    <w:p w14:paraId="0EA0A3C5" w14:textId="77777777" w:rsidR="00EA0E22" w:rsidRDefault="00EA0E2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15pt;height:18.4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13D"/>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D1A"/>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 w:val="32C18CCB"/>
    <w:rsid w:val="52426CF2"/>
    <w:rsid w:val="7B28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996D214-03C3-46D8-B4AA-89BEEE38B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15757</Words>
  <Characters>89818</Characters>
  <Application>Microsoft Office Word</Application>
  <DocSecurity>0</DocSecurity>
  <Lines>748</Lines>
  <Paragraphs>210</Paragraphs>
  <ScaleCrop>false</ScaleCrop>
  <Company>Microsoft</Company>
  <LinksUpToDate>false</LinksUpToDate>
  <CharactersWithSpaces>105365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2</cp:revision>
  <cp:lastPrinted>2014-08-19T16:56:00Z</cp:lastPrinted>
  <dcterms:created xsi:type="dcterms:W3CDTF">2021-07-23T16:38:00Z</dcterms:created>
  <dcterms:modified xsi:type="dcterms:W3CDTF">2021-07-23T16:38:00Z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7406a234-16bf-4354-af74-2c26677f69f9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