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D9" w:rsidRDefault="00EB13D9" w:rsidP="00101EB4">
      <w:pPr>
        <w:pStyle w:val="Header"/>
        <w:jc w:val="center"/>
        <w:rPr>
          <w:rFonts w:ascii="Book Antiqua" w:hAnsi="Book Antiqua"/>
          <w:b/>
          <w:sz w:val="56"/>
          <w:szCs w:val="56"/>
        </w:rPr>
      </w:pPr>
      <w:r>
        <w:rPr>
          <w:noProof/>
        </w:rPr>
        <w:drawing>
          <wp:anchor distT="0" distB="0" distL="114300" distR="114300" simplePos="0" relativeHeight="251659264" behindDoc="1" locked="0" layoutInCell="1" allowOverlap="1" wp14:anchorId="36CC855B" wp14:editId="5F24C32E">
            <wp:simplePos x="0" y="0"/>
            <wp:positionH relativeFrom="column">
              <wp:posOffset>487680</wp:posOffset>
            </wp:positionH>
            <wp:positionV relativeFrom="paragraph">
              <wp:posOffset>-290195</wp:posOffset>
            </wp:positionV>
            <wp:extent cx="1304925" cy="12115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211580"/>
                    </a:xfrm>
                    <a:prstGeom prst="rect">
                      <a:avLst/>
                    </a:prstGeom>
                    <a:noFill/>
                  </pic:spPr>
                </pic:pic>
              </a:graphicData>
            </a:graphic>
            <wp14:sizeRelH relativeFrom="page">
              <wp14:pctWidth>0</wp14:pctWidth>
            </wp14:sizeRelH>
            <wp14:sizeRelV relativeFrom="page">
              <wp14:pctHeight>0</wp14:pctHeight>
            </wp14:sizeRelV>
          </wp:anchor>
        </w:drawing>
      </w:r>
      <w:r w:rsidR="00101EB4">
        <w:rPr>
          <w:rFonts w:ascii="Book Antiqua" w:hAnsi="Book Antiqua"/>
          <w:b/>
          <w:sz w:val="56"/>
          <w:szCs w:val="56"/>
        </w:rPr>
        <w:t xml:space="preserve">      </w:t>
      </w:r>
      <w:r>
        <w:rPr>
          <w:rFonts w:ascii="Book Antiqua" w:hAnsi="Book Antiqua"/>
          <w:b/>
          <w:sz w:val="56"/>
          <w:szCs w:val="56"/>
        </w:rPr>
        <w:t>Claflin University</w:t>
      </w:r>
    </w:p>
    <w:p w:rsidR="00EB13D9" w:rsidRDefault="00EB13D9" w:rsidP="00101EB4">
      <w:pPr>
        <w:pStyle w:val="Header"/>
        <w:jc w:val="center"/>
        <w:rPr>
          <w:rFonts w:ascii="Book Antiqua" w:hAnsi="Book Antiqua"/>
          <w:sz w:val="56"/>
          <w:szCs w:val="56"/>
        </w:rPr>
      </w:pPr>
      <w:r>
        <w:rPr>
          <w:noProof/>
        </w:rPr>
        <mc:AlternateContent>
          <mc:Choice Requires="wps">
            <w:drawing>
              <wp:anchor distT="0" distB="0" distL="114300" distR="114300" simplePos="0" relativeHeight="251660288" behindDoc="0" locked="0" layoutInCell="1" allowOverlap="1" wp14:anchorId="34C60F4B" wp14:editId="2D457E2C">
                <wp:simplePos x="0" y="0"/>
                <wp:positionH relativeFrom="column">
                  <wp:posOffset>1681216</wp:posOffset>
                </wp:positionH>
                <wp:positionV relativeFrom="paragraph">
                  <wp:posOffset>0</wp:posOffset>
                </wp:positionV>
                <wp:extent cx="3095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095625"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2.4pt,0" to="37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wtugEAAMYDAAAOAAAAZHJzL2Uyb0RvYy54bWysU02P0zAQvSPxHyzfadJWrdio6R66gguC&#10;ioUf4HXGjSV/aWya9N8zdrJZBEgIxMXx2PPezHueHO5Ha9gVMGrvWr5e1ZyBk77T7tLyr1/evXnL&#10;WUzCdcJ4By2/QeT3x9evDkNoYON7bzpARiQuNkNoeZ9SaKoqyh6siCsfwNGl8mhFohAvVYdiIHZr&#10;qk1d76vBYxfQS4iRTh+mS34s/EqBTJ+UipCYaTn1lsqKZX3Ka3U8iOaCIvRazm2If+jCCu2o6EL1&#10;IJJg31D/QmW1RB+9SivpbeWV0hKKBlKzrn9S89iLAEULmRPDYlP8f7Ty4/WMTHct33LmhKUnekwo&#10;9KVP7OSdIwM9sm32aQixofSTO+McxXDGLHpUaPOX5LCxeHtbvIUxMUmH2/put9/sOJN0d7ejHZFU&#10;L9iAMb0Hb1netNxol5WLRlw/xDSlPqcQLvcyVS+7dDOQk437DIrUUL11QZc5gpNBdhU0AUJKcGk/&#10;ly7ZGaa0MQuw/jNwzs9QKDP2N+AFUSp7lxaw1c7j76qncT23rKb8Zwcm3dmCJ9/dyrsUa2hYirnz&#10;YOdp/DEu8Jff7/gdAAD//wMAUEsDBBQABgAIAAAAIQDlNtWa2wAAAAYBAAAPAAAAZHJzL2Rvd25y&#10;ZXYueG1sTI/NTsMwEITvSLyDtUjc6IZACgpxKlQE4oZaEOdt7MYB/4TYTQJPz/YEx9GMZr6pVrOz&#10;YtRD7IKXcLnIQGjfBNX5VsLb6+PFLYiYyCuywWsJ3zrCqj49qahUYfIbPW5TK7jEx5IkmJT6EjE2&#10;RjuKi9Brz94+DI4Sy6FFNdDE5c5inmVLdNR5XjDU67XRzef24CTgxvw84Jo+vorp+Ynm93GP9kXK&#10;87P5/g5E0nP6C8MRn9GhZqZdOHgVhZWQL68ZPUngR2zfFPkViB3nCsC6wv/49S8AAAD//wMAUEsB&#10;Ai0AFAAGAAgAAAAhALaDOJL+AAAA4QEAABMAAAAAAAAAAAAAAAAAAAAAAFtDb250ZW50X1R5cGVz&#10;XS54bWxQSwECLQAUAAYACAAAACEAOP0h/9YAAACUAQAACwAAAAAAAAAAAAAAAAAvAQAAX3JlbHMv&#10;LnJlbHNQSwECLQAUAAYACAAAACEAMrzsLboBAADGAwAADgAAAAAAAAAAAAAAAAAuAgAAZHJzL2Uy&#10;b0RvYy54bWxQSwECLQAUAAYACAAAACEA5TbVmtsAAAAGAQAADwAAAAAAAAAAAAAAAAAUBAAAZHJz&#10;L2Rvd25yZXYueG1sUEsFBgAAAAAEAAQA8wAAABwFAAAAAA==&#10;" strokecolor="#f68c36 [3049]"/>
            </w:pict>
          </mc:Fallback>
        </mc:AlternateContent>
      </w:r>
      <w:r w:rsidR="00101EB4">
        <w:rPr>
          <w:rFonts w:ascii="Book Antiqua" w:hAnsi="Book Antiqua"/>
          <w:sz w:val="24"/>
          <w:szCs w:val="24"/>
        </w:rPr>
        <w:t xml:space="preserve">            </w:t>
      </w:r>
      <w:r>
        <w:rPr>
          <w:rFonts w:ascii="Book Antiqua" w:hAnsi="Book Antiqua"/>
          <w:sz w:val="24"/>
          <w:szCs w:val="24"/>
        </w:rPr>
        <w:t>Office of Communications &amp; Marketing</w:t>
      </w:r>
    </w:p>
    <w:p w:rsidR="00EB13D9" w:rsidRDefault="00EB13D9" w:rsidP="00E25DE3">
      <w:pPr>
        <w:rPr>
          <w:sz w:val="16"/>
          <w:szCs w:val="16"/>
        </w:rPr>
      </w:pPr>
    </w:p>
    <w:p w:rsidR="00EB13D9" w:rsidRDefault="00EB13D9" w:rsidP="00101EB4">
      <w:pPr>
        <w:pStyle w:val="NoSpacing"/>
        <w:jc w:val="center"/>
        <w:rPr>
          <w:rFonts w:ascii="Times New Roman" w:hAnsi="Times New Roman" w:cs="Times New Roman"/>
        </w:rPr>
      </w:pPr>
      <w:r>
        <w:rPr>
          <w:rFonts w:ascii="Times New Roman" w:hAnsi="Times New Roman" w:cs="Times New Roman"/>
          <w:b/>
          <w:smallCaps/>
          <w:sz w:val="24"/>
          <w:szCs w:val="24"/>
          <w:u w:val="single"/>
        </w:rPr>
        <w:t>For Immediate Release</w:t>
      </w:r>
    </w:p>
    <w:p w:rsidR="00EB13D9" w:rsidRDefault="00E26C90" w:rsidP="00101EB4">
      <w:pPr>
        <w:pStyle w:val="NoSpacing"/>
        <w:jc w:val="center"/>
        <w:rPr>
          <w:rFonts w:ascii="Times New Roman" w:hAnsi="Times New Roman" w:cs="Times New Roman"/>
        </w:rPr>
      </w:pPr>
      <w:r>
        <w:rPr>
          <w:rFonts w:ascii="Times New Roman" w:hAnsi="Times New Roman" w:cs="Times New Roman"/>
        </w:rPr>
        <w:t>April 21, 2014</w:t>
      </w:r>
    </w:p>
    <w:p w:rsidR="00EB13D9" w:rsidRDefault="00EB13D9" w:rsidP="00E25DE3">
      <w:pPr>
        <w:pStyle w:val="NoSpacing"/>
        <w:rPr>
          <w:rFonts w:ascii="Times New Roman" w:hAnsi="Times New Roman" w:cs="Times New Roman"/>
          <w:b/>
          <w:smallCaps/>
          <w:sz w:val="24"/>
          <w:szCs w:val="24"/>
          <w:u w:val="single"/>
        </w:rPr>
      </w:pPr>
    </w:p>
    <w:p w:rsidR="00EB13D9" w:rsidRDefault="00EB13D9" w:rsidP="00101EB4">
      <w:pPr>
        <w:pStyle w:val="NoSpacing"/>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Contact</w:t>
      </w:r>
    </w:p>
    <w:p w:rsidR="00EB13D9" w:rsidRDefault="00EB13D9" w:rsidP="00101EB4">
      <w:pPr>
        <w:pStyle w:val="NoSpacing"/>
        <w:jc w:val="center"/>
        <w:rPr>
          <w:rFonts w:ascii="Times New Roman" w:hAnsi="Times New Roman" w:cs="Times New Roman"/>
        </w:rPr>
      </w:pPr>
      <w:r>
        <w:rPr>
          <w:rFonts w:ascii="Times New Roman" w:hAnsi="Times New Roman" w:cs="Times New Roman"/>
        </w:rPr>
        <w:t xml:space="preserve">Charlene D. Slaughter ~ 803-535-5077 (office) ~ 803-308-1807 (cell) </w:t>
      </w:r>
      <w:hyperlink r:id="rId10" w:history="1">
        <w:r w:rsidRPr="00792852">
          <w:rPr>
            <w:rStyle w:val="Hyperlink"/>
            <w:rFonts w:ascii="Times New Roman" w:hAnsi="Times New Roman" w:cs="Times New Roman"/>
            <w:color w:val="auto"/>
            <w:u w:val="none"/>
          </w:rPr>
          <w:t xml:space="preserve">~ </w:t>
        </w:r>
        <w:r>
          <w:rPr>
            <w:rStyle w:val="Hyperlink"/>
            <w:rFonts w:ascii="Times New Roman" w:hAnsi="Times New Roman" w:cs="Times New Roman"/>
          </w:rPr>
          <w:t>cslaughter@claflin.edu</w:t>
        </w:r>
      </w:hyperlink>
    </w:p>
    <w:p w:rsidR="00EB13D9" w:rsidRDefault="00EB13D9" w:rsidP="00101EB4">
      <w:pPr>
        <w:pStyle w:val="NoSpacing"/>
        <w:jc w:val="center"/>
        <w:rPr>
          <w:rFonts w:ascii="Times New Roman" w:hAnsi="Times New Roman" w:cs="Times New Roman"/>
        </w:rPr>
      </w:pPr>
      <w:r>
        <w:rPr>
          <w:rFonts w:ascii="Times New Roman" w:hAnsi="Times New Roman" w:cs="Times New Roman"/>
        </w:rPr>
        <w:t xml:space="preserve">Wendy Jeffcoat Crider ~ 803-535-5751 (office) ~ </w:t>
      </w:r>
      <w:hyperlink r:id="rId11" w:history="1">
        <w:r>
          <w:rPr>
            <w:rStyle w:val="Hyperlink"/>
            <w:rFonts w:ascii="Times New Roman" w:hAnsi="Times New Roman" w:cs="Times New Roman"/>
          </w:rPr>
          <w:t>wjeffcoatcrider@claflin.edu</w:t>
        </w:r>
      </w:hyperlink>
    </w:p>
    <w:p w:rsidR="00EB13D9" w:rsidRDefault="00EB13D9" w:rsidP="00241545">
      <w:pPr>
        <w:jc w:val="center"/>
      </w:pPr>
      <w:r>
        <w:t>_____________________________________________________</w:t>
      </w:r>
      <w:r w:rsidR="00241545">
        <w:t>___________________________</w:t>
      </w:r>
    </w:p>
    <w:p w:rsidR="00EB13D9" w:rsidRPr="00133028" w:rsidRDefault="00EB13D9" w:rsidP="00133028">
      <w:pPr>
        <w:pStyle w:val="NoSpacing"/>
        <w:jc w:val="center"/>
        <w:rPr>
          <w:rFonts w:asciiTheme="majorHAnsi" w:hAnsiTheme="majorHAnsi"/>
          <w:b/>
          <w:sz w:val="48"/>
          <w:szCs w:val="48"/>
        </w:rPr>
      </w:pPr>
      <w:r w:rsidRPr="00133028">
        <w:rPr>
          <w:rFonts w:asciiTheme="majorHAnsi" w:hAnsiTheme="majorHAnsi"/>
          <w:b/>
          <w:sz w:val="48"/>
          <w:szCs w:val="48"/>
        </w:rPr>
        <w:t>Claflin University achieves record</w:t>
      </w:r>
      <w:r w:rsidR="00133028">
        <w:rPr>
          <w:rFonts w:asciiTheme="majorHAnsi" w:hAnsiTheme="majorHAnsi"/>
          <w:b/>
          <w:sz w:val="48"/>
          <w:szCs w:val="48"/>
        </w:rPr>
        <w:t xml:space="preserve"> </w:t>
      </w:r>
      <w:r w:rsidR="00AD401E">
        <w:rPr>
          <w:rFonts w:asciiTheme="majorHAnsi" w:hAnsiTheme="majorHAnsi"/>
          <w:b/>
          <w:sz w:val="48"/>
          <w:szCs w:val="48"/>
        </w:rPr>
        <w:t xml:space="preserve">             </w:t>
      </w:r>
      <w:r w:rsidR="00133028">
        <w:rPr>
          <w:rFonts w:asciiTheme="majorHAnsi" w:hAnsiTheme="majorHAnsi"/>
          <w:b/>
          <w:sz w:val="48"/>
          <w:szCs w:val="48"/>
        </w:rPr>
        <w:t>52</w:t>
      </w:r>
      <w:r w:rsidR="00E26C90">
        <w:rPr>
          <w:rFonts w:asciiTheme="majorHAnsi" w:hAnsiTheme="majorHAnsi"/>
          <w:b/>
          <w:sz w:val="48"/>
          <w:szCs w:val="48"/>
        </w:rPr>
        <w:t>.2</w:t>
      </w:r>
      <w:r w:rsidR="00AD401E">
        <w:rPr>
          <w:rFonts w:asciiTheme="majorHAnsi" w:hAnsiTheme="majorHAnsi"/>
          <w:b/>
          <w:sz w:val="48"/>
          <w:szCs w:val="48"/>
        </w:rPr>
        <w:t xml:space="preserve"> </w:t>
      </w:r>
      <w:r w:rsidR="00133028">
        <w:rPr>
          <w:rFonts w:asciiTheme="majorHAnsi" w:hAnsiTheme="majorHAnsi"/>
          <w:b/>
          <w:sz w:val="48"/>
          <w:szCs w:val="48"/>
        </w:rPr>
        <w:t xml:space="preserve">percent </w:t>
      </w:r>
      <w:r w:rsidRPr="00133028">
        <w:rPr>
          <w:rFonts w:asciiTheme="majorHAnsi" w:hAnsiTheme="majorHAnsi"/>
          <w:b/>
          <w:sz w:val="48"/>
          <w:szCs w:val="48"/>
        </w:rPr>
        <w:t>alumni giving rate</w:t>
      </w:r>
    </w:p>
    <w:p w:rsidR="00101EB4" w:rsidRPr="00101EB4" w:rsidRDefault="00101EB4" w:rsidP="00101EB4">
      <w:pPr>
        <w:pStyle w:val="NoSpacing"/>
        <w:jc w:val="center"/>
        <w:rPr>
          <w:rFonts w:asciiTheme="majorHAnsi" w:hAnsiTheme="majorHAnsi"/>
          <w:b/>
          <w:sz w:val="36"/>
          <w:szCs w:val="36"/>
        </w:rPr>
      </w:pPr>
    </w:p>
    <w:p w:rsidR="00036808" w:rsidRPr="00133028" w:rsidRDefault="00E26C90" w:rsidP="00E25DE3">
      <w:pPr>
        <w:rPr>
          <w:rFonts w:asciiTheme="majorHAnsi" w:hAnsiTheme="majorHAnsi"/>
          <w:sz w:val="24"/>
          <w:szCs w:val="24"/>
        </w:rPr>
      </w:pPr>
      <w:bookmarkStart w:id="0" w:name="_GoBack"/>
      <w:r>
        <w:rPr>
          <w:rFonts w:asciiTheme="majorHAnsi" w:hAnsiTheme="majorHAnsi"/>
          <w:noProof/>
          <w:sz w:val="24"/>
          <w:szCs w:val="24"/>
        </w:rPr>
        <w:drawing>
          <wp:anchor distT="0" distB="0" distL="114300" distR="114300" simplePos="0" relativeHeight="251661312" behindDoc="0" locked="0" layoutInCell="1" allowOverlap="1" wp14:anchorId="670A7F4A" wp14:editId="18C232BF">
            <wp:simplePos x="0" y="0"/>
            <wp:positionH relativeFrom="column">
              <wp:posOffset>2284730</wp:posOffset>
            </wp:positionH>
            <wp:positionV relativeFrom="paragraph">
              <wp:posOffset>84455</wp:posOffset>
            </wp:positionV>
            <wp:extent cx="3660140" cy="2440940"/>
            <wp:effectExtent l="171450" t="171450" r="378460" b="3594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16_Claflin_2012_199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0140" cy="24409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00036808" w:rsidRPr="00133028">
        <w:rPr>
          <w:rFonts w:asciiTheme="majorHAnsi" w:hAnsiTheme="majorHAnsi"/>
          <w:sz w:val="24"/>
          <w:szCs w:val="24"/>
        </w:rPr>
        <w:t xml:space="preserve">Claflin University alumni giving percentage increased nearly 10 percentage points in 2013, </w:t>
      </w:r>
      <w:r w:rsidR="00F22BF3" w:rsidRPr="00133028">
        <w:rPr>
          <w:rFonts w:asciiTheme="majorHAnsi" w:hAnsiTheme="majorHAnsi"/>
          <w:sz w:val="24"/>
          <w:szCs w:val="24"/>
        </w:rPr>
        <w:t>from 43 percent to 52.2 percent.</w:t>
      </w:r>
      <w:r w:rsidR="00036808" w:rsidRPr="00133028">
        <w:rPr>
          <w:rFonts w:asciiTheme="majorHAnsi" w:hAnsiTheme="majorHAnsi"/>
          <w:sz w:val="24"/>
          <w:szCs w:val="24"/>
        </w:rPr>
        <w:t xml:space="preserve"> The percentage places Claflin’s alumni giving </w:t>
      </w:r>
      <w:r w:rsidR="0020534A" w:rsidRPr="00133028">
        <w:rPr>
          <w:rFonts w:asciiTheme="majorHAnsi" w:hAnsiTheme="majorHAnsi"/>
          <w:sz w:val="24"/>
          <w:szCs w:val="24"/>
        </w:rPr>
        <w:t xml:space="preserve">rate </w:t>
      </w:r>
      <w:r w:rsidR="00EB13D9" w:rsidRPr="00133028">
        <w:rPr>
          <w:rFonts w:asciiTheme="majorHAnsi" w:hAnsiTheme="majorHAnsi"/>
          <w:sz w:val="24"/>
          <w:szCs w:val="24"/>
        </w:rPr>
        <w:t>among the best in the nation.</w:t>
      </w:r>
      <w:r w:rsidR="00036808" w:rsidRPr="00133028">
        <w:rPr>
          <w:rFonts w:asciiTheme="majorHAnsi" w:hAnsiTheme="majorHAnsi"/>
          <w:sz w:val="24"/>
          <w:szCs w:val="24"/>
        </w:rPr>
        <w:t xml:space="preserve"> </w:t>
      </w:r>
    </w:p>
    <w:p w:rsidR="00303895" w:rsidRPr="00133028" w:rsidRDefault="00036808" w:rsidP="00E25DE3">
      <w:pPr>
        <w:rPr>
          <w:rFonts w:asciiTheme="majorHAnsi" w:hAnsiTheme="majorHAnsi"/>
          <w:sz w:val="24"/>
          <w:szCs w:val="24"/>
        </w:rPr>
      </w:pPr>
      <w:r w:rsidRPr="00133028">
        <w:rPr>
          <w:rFonts w:asciiTheme="majorHAnsi" w:hAnsiTheme="majorHAnsi"/>
          <w:sz w:val="24"/>
          <w:szCs w:val="24"/>
        </w:rPr>
        <w:t>“We have always been proud of the support we receive</w:t>
      </w:r>
      <w:r w:rsidR="002A1484" w:rsidRPr="00133028">
        <w:rPr>
          <w:rFonts w:asciiTheme="majorHAnsi" w:hAnsiTheme="majorHAnsi"/>
          <w:sz w:val="24"/>
          <w:szCs w:val="24"/>
        </w:rPr>
        <w:t xml:space="preserve"> </w:t>
      </w:r>
      <w:r w:rsidRPr="00133028">
        <w:rPr>
          <w:rFonts w:asciiTheme="majorHAnsi" w:hAnsiTheme="majorHAnsi"/>
          <w:sz w:val="24"/>
          <w:szCs w:val="24"/>
        </w:rPr>
        <w:t>from our alumni,” said Rev. Whittaker V. Middleton, vice president for Institutional Advancement at Claflin. “</w:t>
      </w:r>
      <w:r w:rsidR="00303895" w:rsidRPr="00133028">
        <w:rPr>
          <w:rFonts w:asciiTheme="majorHAnsi" w:hAnsiTheme="majorHAnsi"/>
          <w:sz w:val="24"/>
          <w:szCs w:val="24"/>
        </w:rPr>
        <w:t xml:space="preserve">A few years ago, we started </w:t>
      </w:r>
      <w:r w:rsidR="00EB13D9" w:rsidRPr="00133028">
        <w:rPr>
          <w:rFonts w:asciiTheme="majorHAnsi" w:hAnsiTheme="majorHAnsi"/>
          <w:sz w:val="24"/>
          <w:szCs w:val="24"/>
        </w:rPr>
        <w:t xml:space="preserve">the </w:t>
      </w:r>
      <w:r w:rsidR="00303895" w:rsidRPr="00133028">
        <w:rPr>
          <w:rFonts w:asciiTheme="majorHAnsi" w:hAnsiTheme="majorHAnsi"/>
          <w:sz w:val="24"/>
          <w:szCs w:val="24"/>
        </w:rPr>
        <w:t>1</w:t>
      </w:r>
      <w:r w:rsidR="00303895" w:rsidRPr="00133028">
        <w:rPr>
          <w:rFonts w:asciiTheme="majorHAnsi" w:hAnsiTheme="majorHAnsi"/>
          <w:sz w:val="24"/>
          <w:szCs w:val="24"/>
          <w:vertAlign w:val="superscript"/>
        </w:rPr>
        <w:t>st</w:t>
      </w:r>
      <w:r w:rsidR="00755BDC" w:rsidRPr="00133028">
        <w:rPr>
          <w:rFonts w:asciiTheme="majorHAnsi" w:hAnsiTheme="majorHAnsi"/>
          <w:sz w:val="24"/>
          <w:szCs w:val="24"/>
        </w:rPr>
        <w:t xml:space="preserve"> to 50 C</w:t>
      </w:r>
      <w:r w:rsidR="00303895" w:rsidRPr="00133028">
        <w:rPr>
          <w:rFonts w:asciiTheme="majorHAnsi" w:hAnsiTheme="majorHAnsi"/>
          <w:sz w:val="24"/>
          <w:szCs w:val="24"/>
        </w:rPr>
        <w:t xml:space="preserve">ampaign to </w:t>
      </w:r>
      <w:r w:rsidR="00755BDC" w:rsidRPr="00133028">
        <w:rPr>
          <w:rFonts w:asciiTheme="majorHAnsi" w:hAnsiTheme="majorHAnsi"/>
          <w:sz w:val="24"/>
          <w:szCs w:val="24"/>
        </w:rPr>
        <w:t xml:space="preserve">become the first historically </w:t>
      </w:r>
      <w:r w:rsidR="002A1484" w:rsidRPr="00133028">
        <w:rPr>
          <w:rFonts w:asciiTheme="majorHAnsi" w:hAnsiTheme="majorHAnsi"/>
          <w:sz w:val="24"/>
          <w:szCs w:val="24"/>
        </w:rPr>
        <w:t>b</w:t>
      </w:r>
      <w:r w:rsidR="00755BDC" w:rsidRPr="00133028">
        <w:rPr>
          <w:rFonts w:asciiTheme="majorHAnsi" w:hAnsiTheme="majorHAnsi"/>
          <w:sz w:val="24"/>
          <w:szCs w:val="24"/>
        </w:rPr>
        <w:t>lack college or university to reach a 50 percent alumni giving rate</w:t>
      </w:r>
      <w:r w:rsidR="00303895" w:rsidRPr="00133028">
        <w:rPr>
          <w:rFonts w:asciiTheme="majorHAnsi" w:hAnsiTheme="majorHAnsi"/>
          <w:sz w:val="24"/>
          <w:szCs w:val="24"/>
        </w:rPr>
        <w:t>. We have received an overwhelming response, and can now say we are the First to 52</w:t>
      </w:r>
      <w:r w:rsidR="00E26C90">
        <w:rPr>
          <w:rFonts w:asciiTheme="majorHAnsi" w:hAnsiTheme="majorHAnsi"/>
          <w:sz w:val="24"/>
          <w:szCs w:val="24"/>
        </w:rPr>
        <w:t>.2</w:t>
      </w:r>
      <w:r w:rsidR="00303895" w:rsidRPr="00133028">
        <w:rPr>
          <w:rFonts w:asciiTheme="majorHAnsi" w:hAnsiTheme="majorHAnsi"/>
          <w:sz w:val="24"/>
          <w:szCs w:val="24"/>
        </w:rPr>
        <w:t>.”</w:t>
      </w:r>
    </w:p>
    <w:p w:rsidR="002A1484" w:rsidRPr="00133028" w:rsidRDefault="0020534A" w:rsidP="00E25DE3">
      <w:pPr>
        <w:rPr>
          <w:rFonts w:asciiTheme="majorHAnsi" w:hAnsiTheme="majorHAnsi"/>
          <w:sz w:val="24"/>
          <w:szCs w:val="24"/>
        </w:rPr>
      </w:pPr>
      <w:r w:rsidRPr="00133028">
        <w:rPr>
          <w:rFonts w:asciiTheme="majorHAnsi" w:hAnsiTheme="majorHAnsi"/>
          <w:sz w:val="24"/>
          <w:szCs w:val="24"/>
        </w:rPr>
        <w:t>The journey to 52</w:t>
      </w:r>
      <w:r w:rsidR="00792852">
        <w:rPr>
          <w:rFonts w:asciiTheme="majorHAnsi" w:hAnsiTheme="majorHAnsi"/>
          <w:sz w:val="24"/>
          <w:szCs w:val="24"/>
        </w:rPr>
        <w:t>.2</w:t>
      </w:r>
      <w:r w:rsidRPr="00133028">
        <w:rPr>
          <w:rFonts w:asciiTheme="majorHAnsi" w:hAnsiTheme="majorHAnsi"/>
          <w:sz w:val="24"/>
          <w:szCs w:val="24"/>
        </w:rPr>
        <w:t xml:space="preserve"> percent was a strategic</w:t>
      </w:r>
      <w:r w:rsidR="00EB13D9" w:rsidRPr="00133028">
        <w:rPr>
          <w:rFonts w:asciiTheme="majorHAnsi" w:hAnsiTheme="majorHAnsi"/>
          <w:sz w:val="24"/>
          <w:szCs w:val="24"/>
        </w:rPr>
        <w:t xml:space="preserve"> one,</w:t>
      </w:r>
      <w:r w:rsidR="00EF65F6" w:rsidRPr="00133028">
        <w:rPr>
          <w:rFonts w:asciiTheme="majorHAnsi" w:hAnsiTheme="majorHAnsi"/>
          <w:sz w:val="24"/>
          <w:szCs w:val="24"/>
        </w:rPr>
        <w:t xml:space="preserve"> </w:t>
      </w:r>
      <w:r w:rsidR="00AC0F99" w:rsidRPr="00133028">
        <w:rPr>
          <w:rFonts w:asciiTheme="majorHAnsi" w:hAnsiTheme="majorHAnsi"/>
          <w:sz w:val="24"/>
          <w:szCs w:val="24"/>
        </w:rPr>
        <w:t>Middleton said</w:t>
      </w:r>
      <w:r w:rsidR="00EB13D9" w:rsidRPr="00133028">
        <w:rPr>
          <w:rFonts w:asciiTheme="majorHAnsi" w:hAnsiTheme="majorHAnsi"/>
          <w:sz w:val="24"/>
          <w:szCs w:val="24"/>
        </w:rPr>
        <w:t>,</w:t>
      </w:r>
      <w:r w:rsidR="00AC0F99" w:rsidRPr="00133028">
        <w:rPr>
          <w:rFonts w:asciiTheme="majorHAnsi" w:hAnsiTheme="majorHAnsi"/>
          <w:sz w:val="24"/>
          <w:szCs w:val="24"/>
        </w:rPr>
        <w:t xml:space="preserve"> that </w:t>
      </w:r>
      <w:r w:rsidR="00CC00AC" w:rsidRPr="00133028">
        <w:rPr>
          <w:rFonts w:asciiTheme="majorHAnsi" w:hAnsiTheme="majorHAnsi"/>
          <w:sz w:val="24"/>
          <w:szCs w:val="24"/>
        </w:rPr>
        <w:t>involved</w:t>
      </w:r>
      <w:r w:rsidR="00AC0F99" w:rsidRPr="00133028">
        <w:rPr>
          <w:rFonts w:asciiTheme="majorHAnsi" w:hAnsiTheme="majorHAnsi"/>
          <w:sz w:val="24"/>
          <w:szCs w:val="24"/>
        </w:rPr>
        <w:t xml:space="preserve"> </w:t>
      </w:r>
      <w:r w:rsidR="00CC00AC" w:rsidRPr="00133028">
        <w:rPr>
          <w:rFonts w:asciiTheme="majorHAnsi" w:hAnsiTheme="majorHAnsi"/>
          <w:sz w:val="24"/>
          <w:szCs w:val="24"/>
        </w:rPr>
        <w:t>strengthening existing initiatives, embarking on new ones, embracing new technology, collaborating with the alumni association</w:t>
      </w:r>
      <w:r w:rsidR="009D7E4D" w:rsidRPr="00133028">
        <w:rPr>
          <w:rFonts w:asciiTheme="majorHAnsi" w:hAnsiTheme="majorHAnsi"/>
          <w:sz w:val="24"/>
          <w:szCs w:val="24"/>
        </w:rPr>
        <w:t xml:space="preserve">, involving communications and marketing </w:t>
      </w:r>
      <w:r w:rsidR="00755BDC" w:rsidRPr="00133028">
        <w:rPr>
          <w:rFonts w:asciiTheme="majorHAnsi" w:hAnsiTheme="majorHAnsi"/>
          <w:sz w:val="24"/>
          <w:szCs w:val="24"/>
        </w:rPr>
        <w:t>staff</w:t>
      </w:r>
      <w:r w:rsidR="002A1484" w:rsidRPr="00133028">
        <w:rPr>
          <w:rFonts w:asciiTheme="majorHAnsi" w:hAnsiTheme="majorHAnsi"/>
          <w:sz w:val="24"/>
          <w:szCs w:val="24"/>
        </w:rPr>
        <w:t>,</w:t>
      </w:r>
      <w:r w:rsidR="00755BDC" w:rsidRPr="00133028">
        <w:rPr>
          <w:rFonts w:asciiTheme="majorHAnsi" w:hAnsiTheme="majorHAnsi"/>
          <w:sz w:val="24"/>
          <w:szCs w:val="24"/>
        </w:rPr>
        <w:t xml:space="preserve"> and solid leadership.</w:t>
      </w:r>
    </w:p>
    <w:p w:rsidR="00F63FA0" w:rsidRPr="00133028" w:rsidRDefault="00755BDC" w:rsidP="00E25DE3">
      <w:pPr>
        <w:rPr>
          <w:rFonts w:asciiTheme="majorHAnsi" w:hAnsiTheme="majorHAnsi"/>
          <w:sz w:val="24"/>
          <w:szCs w:val="24"/>
        </w:rPr>
      </w:pPr>
      <w:r w:rsidRPr="00133028">
        <w:rPr>
          <w:rFonts w:asciiTheme="majorHAnsi" w:hAnsiTheme="majorHAnsi"/>
          <w:sz w:val="24"/>
          <w:szCs w:val="24"/>
        </w:rPr>
        <w:lastRenderedPageBreak/>
        <w:t xml:space="preserve">Achieving an alumni giving percentage rate over 50 percent is a difficult feat given the culture of alumni giving at colleges and universities nationwide. </w:t>
      </w:r>
      <w:r w:rsidR="00F63FA0" w:rsidRPr="00133028">
        <w:rPr>
          <w:rFonts w:asciiTheme="majorHAnsi" w:hAnsiTheme="majorHAnsi"/>
          <w:sz w:val="24"/>
          <w:szCs w:val="24"/>
        </w:rPr>
        <w:t>In a 2013 two</w:t>
      </w:r>
      <w:r w:rsidR="002A1484" w:rsidRPr="00133028">
        <w:rPr>
          <w:rFonts w:asciiTheme="majorHAnsi" w:hAnsiTheme="majorHAnsi"/>
          <w:sz w:val="24"/>
          <w:szCs w:val="24"/>
        </w:rPr>
        <w:t>-</w:t>
      </w:r>
      <w:r w:rsidR="00F63FA0" w:rsidRPr="00133028">
        <w:rPr>
          <w:rFonts w:asciiTheme="majorHAnsi" w:hAnsiTheme="majorHAnsi"/>
          <w:sz w:val="24"/>
          <w:szCs w:val="24"/>
        </w:rPr>
        <w:t xml:space="preserve">year comparative survey of the top 10 colleges where alumni give back conducted by </w:t>
      </w:r>
      <w:r w:rsidR="00F63FA0" w:rsidRPr="00133028">
        <w:rPr>
          <w:rFonts w:asciiTheme="majorHAnsi" w:hAnsiTheme="majorHAnsi"/>
          <w:i/>
          <w:sz w:val="24"/>
          <w:szCs w:val="24"/>
        </w:rPr>
        <w:t>U.S. News and World Report</w:t>
      </w:r>
      <w:r w:rsidR="00F63FA0" w:rsidRPr="00133028">
        <w:rPr>
          <w:rFonts w:asciiTheme="majorHAnsi" w:hAnsiTheme="majorHAnsi"/>
          <w:sz w:val="24"/>
          <w:szCs w:val="24"/>
        </w:rPr>
        <w:t>, giving percentage</w:t>
      </w:r>
      <w:r w:rsidR="00E26C90">
        <w:rPr>
          <w:rFonts w:asciiTheme="majorHAnsi" w:hAnsiTheme="majorHAnsi"/>
          <w:sz w:val="24"/>
          <w:szCs w:val="24"/>
        </w:rPr>
        <w:t>s</w:t>
      </w:r>
      <w:r w:rsidR="00F63FA0" w:rsidRPr="00133028">
        <w:rPr>
          <w:rFonts w:asciiTheme="majorHAnsi" w:hAnsiTheme="majorHAnsi"/>
          <w:sz w:val="24"/>
          <w:szCs w:val="24"/>
        </w:rPr>
        <w:t xml:space="preserve"> rang</w:t>
      </w:r>
      <w:r w:rsidR="00E26C90">
        <w:rPr>
          <w:rFonts w:asciiTheme="majorHAnsi" w:hAnsiTheme="majorHAnsi"/>
          <w:sz w:val="24"/>
          <w:szCs w:val="24"/>
        </w:rPr>
        <w:t>e</w:t>
      </w:r>
      <w:r w:rsidR="00F63FA0" w:rsidRPr="00133028">
        <w:rPr>
          <w:rFonts w:asciiTheme="majorHAnsi" w:hAnsiTheme="majorHAnsi"/>
          <w:sz w:val="24"/>
          <w:szCs w:val="24"/>
        </w:rPr>
        <w:t xml:space="preserve"> from a high of 63.7 percent to 51.8 percent. Of the top 10, nine were liberal arts colleges. The average two-year average percentage of alumni donors for the 1,207 schools surveyed was 12.8. The average for the top 10 schools was 55.9 percent.  </w:t>
      </w:r>
    </w:p>
    <w:p w:rsidR="00F63FA0" w:rsidRPr="00133028" w:rsidRDefault="00F63FA0" w:rsidP="00E25DE3">
      <w:pPr>
        <w:rPr>
          <w:rFonts w:asciiTheme="majorHAnsi" w:hAnsiTheme="majorHAnsi"/>
          <w:sz w:val="24"/>
          <w:szCs w:val="24"/>
        </w:rPr>
      </w:pPr>
      <w:r w:rsidRPr="00133028">
        <w:rPr>
          <w:rFonts w:asciiTheme="majorHAnsi" w:hAnsiTheme="majorHAnsi"/>
          <w:sz w:val="24"/>
          <w:szCs w:val="24"/>
        </w:rPr>
        <w:t xml:space="preserve">“The high proportion of graduates who give back at these schools comes at a time when the broader percentage of alumni donors and the amount they give have declined, according to </w:t>
      </w:r>
      <w:hyperlink r:id="rId13" w:tgtFrame="_blank" w:history="1">
        <w:r w:rsidRPr="00133028">
          <w:rPr>
            <w:rStyle w:val="Hyperlink"/>
            <w:rFonts w:asciiTheme="majorHAnsi" w:hAnsiTheme="majorHAnsi"/>
            <w:color w:val="auto"/>
            <w:sz w:val="24"/>
            <w:szCs w:val="24"/>
            <w:u w:val="none"/>
          </w:rPr>
          <w:t>a 2012 survey by the Council for Aid to Education</w:t>
        </w:r>
      </w:hyperlink>
      <w:r w:rsidRPr="00133028">
        <w:rPr>
          <w:rFonts w:asciiTheme="majorHAnsi" w:hAnsiTheme="majorHAnsi"/>
          <w:sz w:val="24"/>
          <w:szCs w:val="24"/>
        </w:rPr>
        <w:t>,” the report stated.</w:t>
      </w:r>
    </w:p>
    <w:p w:rsidR="003757FC" w:rsidRPr="00133028" w:rsidRDefault="00F63FA0" w:rsidP="00E25DE3">
      <w:pPr>
        <w:rPr>
          <w:rFonts w:asciiTheme="majorHAnsi" w:hAnsiTheme="majorHAnsi"/>
          <w:sz w:val="24"/>
          <w:szCs w:val="24"/>
        </w:rPr>
      </w:pPr>
      <w:r w:rsidRPr="00133028">
        <w:rPr>
          <w:rFonts w:asciiTheme="majorHAnsi" w:hAnsiTheme="majorHAnsi"/>
          <w:sz w:val="24"/>
          <w:szCs w:val="24"/>
        </w:rPr>
        <w:t xml:space="preserve">Claflin </w:t>
      </w:r>
      <w:r w:rsidR="00F22BF3" w:rsidRPr="00133028">
        <w:rPr>
          <w:rFonts w:asciiTheme="majorHAnsi" w:hAnsiTheme="majorHAnsi"/>
          <w:sz w:val="24"/>
          <w:szCs w:val="24"/>
        </w:rPr>
        <w:t>used several strategies to achieve</w:t>
      </w:r>
      <w:r w:rsidRPr="00133028">
        <w:rPr>
          <w:rFonts w:asciiTheme="majorHAnsi" w:hAnsiTheme="majorHAnsi"/>
          <w:sz w:val="24"/>
          <w:szCs w:val="24"/>
        </w:rPr>
        <w:t xml:space="preserve"> its 52</w:t>
      </w:r>
      <w:r w:rsidR="00E26C90">
        <w:rPr>
          <w:rFonts w:asciiTheme="majorHAnsi" w:hAnsiTheme="majorHAnsi"/>
          <w:sz w:val="24"/>
          <w:szCs w:val="24"/>
        </w:rPr>
        <w:t>.2</w:t>
      </w:r>
      <w:r w:rsidRPr="00133028">
        <w:rPr>
          <w:rFonts w:asciiTheme="majorHAnsi" w:hAnsiTheme="majorHAnsi"/>
          <w:sz w:val="24"/>
          <w:szCs w:val="24"/>
        </w:rPr>
        <w:t xml:space="preserve"> percent giving rate</w:t>
      </w:r>
      <w:r w:rsidR="004A5B92" w:rsidRPr="00133028">
        <w:rPr>
          <w:rFonts w:asciiTheme="majorHAnsi" w:hAnsiTheme="majorHAnsi"/>
          <w:sz w:val="24"/>
          <w:szCs w:val="24"/>
        </w:rPr>
        <w:t>.</w:t>
      </w:r>
      <w:r w:rsidR="0017139C" w:rsidRPr="00133028">
        <w:rPr>
          <w:rFonts w:asciiTheme="majorHAnsi" w:hAnsiTheme="majorHAnsi"/>
          <w:sz w:val="24"/>
          <w:szCs w:val="24"/>
        </w:rPr>
        <w:t xml:space="preserve"> </w:t>
      </w:r>
      <w:r w:rsidR="003757FC" w:rsidRPr="00133028">
        <w:rPr>
          <w:rFonts w:asciiTheme="majorHAnsi" w:hAnsiTheme="majorHAnsi"/>
          <w:bCs/>
          <w:sz w:val="24"/>
          <w:szCs w:val="24"/>
        </w:rPr>
        <w:t xml:space="preserve">Allen Jackson, </w:t>
      </w:r>
      <w:r w:rsidR="002A1484" w:rsidRPr="00133028">
        <w:rPr>
          <w:rFonts w:asciiTheme="majorHAnsi" w:hAnsiTheme="majorHAnsi"/>
          <w:bCs/>
          <w:sz w:val="24"/>
          <w:szCs w:val="24"/>
        </w:rPr>
        <w:t>d</w:t>
      </w:r>
      <w:r w:rsidR="003757FC" w:rsidRPr="00133028">
        <w:rPr>
          <w:rFonts w:asciiTheme="majorHAnsi" w:hAnsiTheme="majorHAnsi"/>
          <w:bCs/>
          <w:sz w:val="24"/>
          <w:szCs w:val="24"/>
        </w:rPr>
        <w:t>irector of Alumni Affairs and the Annual Fund</w:t>
      </w:r>
      <w:r w:rsidR="00360867" w:rsidRPr="00133028">
        <w:rPr>
          <w:rFonts w:asciiTheme="majorHAnsi" w:hAnsiTheme="majorHAnsi"/>
          <w:bCs/>
          <w:sz w:val="24"/>
          <w:szCs w:val="24"/>
        </w:rPr>
        <w:t xml:space="preserve">, said there has been a deliberate effort to engage affinity groups – campus groups linked by a common interest or purpose – and encourage them to give back to the </w:t>
      </w:r>
      <w:r w:rsidR="002A1484" w:rsidRPr="00133028">
        <w:rPr>
          <w:rFonts w:asciiTheme="majorHAnsi" w:hAnsiTheme="majorHAnsi"/>
          <w:bCs/>
          <w:sz w:val="24"/>
          <w:szCs w:val="24"/>
        </w:rPr>
        <w:t>U</w:t>
      </w:r>
      <w:r w:rsidR="00360867" w:rsidRPr="00133028">
        <w:rPr>
          <w:rFonts w:asciiTheme="majorHAnsi" w:hAnsiTheme="majorHAnsi"/>
          <w:bCs/>
          <w:sz w:val="24"/>
          <w:szCs w:val="24"/>
        </w:rPr>
        <w:t>niversity.</w:t>
      </w:r>
    </w:p>
    <w:p w:rsidR="00360867" w:rsidRPr="00133028" w:rsidRDefault="00360867" w:rsidP="00E25DE3">
      <w:pPr>
        <w:rPr>
          <w:rFonts w:asciiTheme="majorHAnsi" w:hAnsiTheme="majorHAnsi"/>
          <w:bCs/>
          <w:sz w:val="24"/>
          <w:szCs w:val="24"/>
        </w:rPr>
      </w:pPr>
      <w:r w:rsidRPr="00133028">
        <w:rPr>
          <w:rFonts w:asciiTheme="majorHAnsi" w:hAnsiTheme="majorHAnsi"/>
          <w:bCs/>
          <w:sz w:val="24"/>
          <w:szCs w:val="24"/>
        </w:rPr>
        <w:t>“We have found that individuals are more likely to give back when they feel a connection or affinity to institution,” Jackson said. “This can be in the form of Greek organizations or perhaps a certain major or members of a</w:t>
      </w:r>
      <w:r w:rsidR="00BF2C88" w:rsidRPr="00133028">
        <w:rPr>
          <w:rFonts w:asciiTheme="majorHAnsi" w:hAnsiTheme="majorHAnsi"/>
          <w:bCs/>
          <w:sz w:val="24"/>
          <w:szCs w:val="24"/>
        </w:rPr>
        <w:t>thletics teams. The goal is to make that connection, giving donors the opportunity to give back to the areas that mean the most to them.”</w:t>
      </w:r>
    </w:p>
    <w:p w:rsidR="00792852" w:rsidRDefault="00EC0036" w:rsidP="00792852">
      <w:pPr>
        <w:rPr>
          <w:rFonts w:asciiTheme="majorHAnsi" w:hAnsiTheme="majorHAnsi"/>
          <w:sz w:val="24"/>
          <w:szCs w:val="24"/>
        </w:rPr>
      </w:pPr>
      <w:r w:rsidRPr="00133028">
        <w:rPr>
          <w:rFonts w:asciiTheme="majorHAnsi" w:hAnsiTheme="majorHAnsi"/>
          <w:sz w:val="24"/>
          <w:szCs w:val="24"/>
        </w:rPr>
        <w:t xml:space="preserve">Considerable attention is devoted to raising funds and promoting giving among the University’s classes meeting in reunions. While activities are planned for all classes in multiples of </w:t>
      </w:r>
      <w:r w:rsidRPr="00133028">
        <w:rPr>
          <w:rFonts w:asciiTheme="majorHAnsi" w:hAnsiTheme="majorHAnsi"/>
          <w:bCs/>
          <w:sz w:val="24"/>
          <w:szCs w:val="24"/>
        </w:rPr>
        <w:t>five</w:t>
      </w:r>
      <w:r w:rsidR="00B97FE4" w:rsidRPr="00133028">
        <w:rPr>
          <w:rFonts w:asciiTheme="majorHAnsi" w:hAnsiTheme="majorHAnsi"/>
          <w:sz w:val="24"/>
          <w:szCs w:val="24"/>
        </w:rPr>
        <w:t xml:space="preserve">, special attention is given to the </w:t>
      </w:r>
      <w:r w:rsidR="00B97FE4" w:rsidRPr="00133028">
        <w:rPr>
          <w:rFonts w:asciiTheme="majorHAnsi" w:hAnsiTheme="majorHAnsi"/>
          <w:bCs/>
          <w:sz w:val="24"/>
          <w:szCs w:val="24"/>
        </w:rPr>
        <w:t>50</w:t>
      </w:r>
      <w:r w:rsidR="00B97FE4" w:rsidRPr="00133028">
        <w:rPr>
          <w:rFonts w:asciiTheme="majorHAnsi" w:hAnsiTheme="majorHAnsi"/>
          <w:bCs/>
          <w:sz w:val="24"/>
          <w:szCs w:val="24"/>
          <w:vertAlign w:val="superscript"/>
        </w:rPr>
        <w:t>th</w:t>
      </w:r>
      <w:r w:rsidR="00B97FE4" w:rsidRPr="00133028">
        <w:rPr>
          <w:rFonts w:asciiTheme="majorHAnsi" w:hAnsiTheme="majorHAnsi"/>
          <w:bCs/>
          <w:sz w:val="24"/>
          <w:szCs w:val="24"/>
        </w:rPr>
        <w:t xml:space="preserve"> anniversary</w:t>
      </w:r>
      <w:r w:rsidR="00B97FE4" w:rsidRPr="00133028">
        <w:rPr>
          <w:rFonts w:asciiTheme="majorHAnsi" w:hAnsiTheme="majorHAnsi"/>
          <w:sz w:val="24"/>
          <w:szCs w:val="24"/>
        </w:rPr>
        <w:t xml:space="preserve"> reunion class each year in an effort to increase the number of planned gifts receive</w:t>
      </w:r>
      <w:r w:rsidR="00744155" w:rsidRPr="00133028">
        <w:rPr>
          <w:rFonts w:asciiTheme="majorHAnsi" w:hAnsiTheme="majorHAnsi"/>
          <w:sz w:val="24"/>
          <w:szCs w:val="24"/>
        </w:rPr>
        <w:t>d</w:t>
      </w:r>
      <w:r w:rsidR="00B97FE4" w:rsidRPr="00133028">
        <w:rPr>
          <w:rFonts w:asciiTheme="majorHAnsi" w:hAnsiTheme="majorHAnsi"/>
          <w:sz w:val="24"/>
          <w:szCs w:val="24"/>
        </w:rPr>
        <w:t xml:space="preserve"> from this particular segment of </w:t>
      </w:r>
      <w:r w:rsidR="00744155" w:rsidRPr="00133028">
        <w:rPr>
          <w:rFonts w:asciiTheme="majorHAnsi" w:hAnsiTheme="majorHAnsi"/>
          <w:sz w:val="24"/>
          <w:szCs w:val="24"/>
        </w:rPr>
        <w:t>the</w:t>
      </w:r>
      <w:r w:rsidR="00B97FE4" w:rsidRPr="00133028">
        <w:rPr>
          <w:rFonts w:asciiTheme="majorHAnsi" w:hAnsiTheme="majorHAnsi"/>
          <w:sz w:val="24"/>
          <w:szCs w:val="24"/>
        </w:rPr>
        <w:t xml:space="preserve"> alumni constituency.</w:t>
      </w:r>
      <w:r w:rsidRPr="00133028">
        <w:rPr>
          <w:rFonts w:asciiTheme="majorHAnsi" w:hAnsiTheme="majorHAnsi"/>
          <w:sz w:val="24"/>
          <w:szCs w:val="24"/>
        </w:rPr>
        <w:t xml:space="preserve"> This engagement has led to an increase in the percentage of giving from class reunions.</w:t>
      </w:r>
    </w:p>
    <w:p w:rsidR="008E7B46" w:rsidRPr="00133028" w:rsidRDefault="008E7B46" w:rsidP="00792852">
      <w:pPr>
        <w:rPr>
          <w:rFonts w:asciiTheme="majorHAnsi" w:hAnsiTheme="majorHAnsi"/>
          <w:sz w:val="24"/>
          <w:szCs w:val="24"/>
        </w:rPr>
      </w:pPr>
      <w:r w:rsidRPr="00133028">
        <w:rPr>
          <w:rFonts w:asciiTheme="majorHAnsi" w:hAnsiTheme="majorHAnsi"/>
          <w:sz w:val="24"/>
          <w:szCs w:val="24"/>
        </w:rPr>
        <w:t xml:space="preserve">The </w:t>
      </w:r>
      <w:r w:rsidR="00E26C90">
        <w:rPr>
          <w:rFonts w:asciiTheme="majorHAnsi" w:hAnsiTheme="majorHAnsi"/>
          <w:sz w:val="24"/>
          <w:szCs w:val="24"/>
        </w:rPr>
        <w:t xml:space="preserve">University </w:t>
      </w:r>
      <w:r w:rsidRPr="00133028">
        <w:rPr>
          <w:rFonts w:asciiTheme="majorHAnsi" w:hAnsiTheme="majorHAnsi"/>
          <w:sz w:val="24"/>
          <w:szCs w:val="24"/>
        </w:rPr>
        <w:t xml:space="preserve">also gave donors more ways to give in order to remain competitive in today’s fundraising arena. Online giving became an essential component of the fund development program. Since launching online giving in 2008, the </w:t>
      </w:r>
      <w:r w:rsidR="00E26C90">
        <w:rPr>
          <w:rFonts w:asciiTheme="majorHAnsi" w:hAnsiTheme="majorHAnsi"/>
          <w:sz w:val="24"/>
          <w:szCs w:val="24"/>
        </w:rPr>
        <w:t>advancement office</w:t>
      </w:r>
      <w:r w:rsidRPr="00133028">
        <w:rPr>
          <w:rFonts w:asciiTheme="majorHAnsi" w:hAnsiTheme="majorHAnsi"/>
          <w:sz w:val="24"/>
          <w:szCs w:val="24"/>
        </w:rPr>
        <w:t xml:space="preserve"> has experienced a steady increase in online gifts, representing a growth of 301 percent. Mobile giving was launched in 2011, allowing donors the option to text to give to the University, and Claflin also launched a wireless credit card processing program giving donors the convenience of making a gift via credit or debit card. </w:t>
      </w:r>
    </w:p>
    <w:p w:rsidR="00953F2B" w:rsidRPr="00133028" w:rsidRDefault="003D19AD" w:rsidP="00E25DE3">
      <w:pPr>
        <w:rPr>
          <w:rFonts w:asciiTheme="majorHAnsi" w:eastAsia="Calibri" w:hAnsiTheme="majorHAnsi" w:cs="Arial"/>
          <w:sz w:val="24"/>
          <w:szCs w:val="24"/>
        </w:rPr>
      </w:pPr>
      <w:r w:rsidRPr="00133028">
        <w:rPr>
          <w:rFonts w:asciiTheme="majorHAnsi" w:hAnsiTheme="majorHAnsi"/>
          <w:sz w:val="24"/>
          <w:szCs w:val="24"/>
        </w:rPr>
        <w:t xml:space="preserve">Another key strategy was the addition of </w:t>
      </w:r>
      <w:r w:rsidRPr="00133028">
        <w:rPr>
          <w:rFonts w:asciiTheme="majorHAnsi" w:eastAsia="Calibri" w:hAnsiTheme="majorHAnsi" w:cs="Arial"/>
          <w:sz w:val="24"/>
          <w:szCs w:val="24"/>
        </w:rPr>
        <w:t>t</w:t>
      </w:r>
      <w:r w:rsidR="00953F2B" w:rsidRPr="00133028">
        <w:rPr>
          <w:rFonts w:asciiTheme="majorHAnsi" w:eastAsia="Calibri" w:hAnsiTheme="majorHAnsi" w:cs="Arial"/>
          <w:sz w:val="24"/>
          <w:szCs w:val="24"/>
        </w:rPr>
        <w:t>he Claf</w:t>
      </w:r>
      <w:r w:rsidR="008E7B46" w:rsidRPr="00133028">
        <w:rPr>
          <w:rFonts w:asciiTheme="majorHAnsi" w:eastAsia="Calibri" w:hAnsiTheme="majorHAnsi" w:cs="Arial"/>
          <w:sz w:val="24"/>
          <w:szCs w:val="24"/>
        </w:rPr>
        <w:t xml:space="preserve">lin University Call Center </w:t>
      </w:r>
      <w:r w:rsidR="00133028">
        <w:rPr>
          <w:rFonts w:asciiTheme="majorHAnsi" w:eastAsia="Calibri" w:hAnsiTheme="majorHAnsi" w:cs="Arial"/>
          <w:sz w:val="24"/>
          <w:szCs w:val="24"/>
        </w:rPr>
        <w:t xml:space="preserve">which </w:t>
      </w:r>
      <w:r w:rsidR="008E7B46" w:rsidRPr="00133028">
        <w:rPr>
          <w:rFonts w:asciiTheme="majorHAnsi" w:eastAsia="Calibri" w:hAnsiTheme="majorHAnsi" w:cs="Arial"/>
          <w:sz w:val="24"/>
          <w:szCs w:val="24"/>
        </w:rPr>
        <w:t xml:space="preserve">was </w:t>
      </w:r>
      <w:r w:rsidR="00953F2B" w:rsidRPr="00133028">
        <w:rPr>
          <w:rFonts w:asciiTheme="majorHAnsi" w:eastAsia="Calibri" w:hAnsiTheme="majorHAnsi" w:cs="Arial"/>
          <w:sz w:val="24"/>
          <w:szCs w:val="24"/>
        </w:rPr>
        <w:t>birthed out of a very successful initiative</w:t>
      </w:r>
      <w:r w:rsidR="00B24778" w:rsidRPr="00133028">
        <w:rPr>
          <w:rFonts w:asciiTheme="majorHAnsi" w:eastAsia="Calibri" w:hAnsiTheme="majorHAnsi" w:cs="Arial"/>
          <w:sz w:val="24"/>
          <w:szCs w:val="24"/>
        </w:rPr>
        <w:t xml:space="preserve"> the advancement office used</w:t>
      </w:r>
      <w:r w:rsidR="00953F2B" w:rsidRPr="00133028">
        <w:rPr>
          <w:rFonts w:asciiTheme="majorHAnsi" w:eastAsia="Calibri" w:hAnsiTheme="majorHAnsi" w:cs="Arial"/>
          <w:sz w:val="24"/>
          <w:szCs w:val="24"/>
        </w:rPr>
        <w:t xml:space="preserve"> for many years prior </w:t>
      </w:r>
      <w:r w:rsidR="00744155" w:rsidRPr="00133028">
        <w:rPr>
          <w:rFonts w:asciiTheme="majorHAnsi" w:eastAsia="Calibri" w:hAnsiTheme="majorHAnsi" w:cs="Arial"/>
          <w:sz w:val="24"/>
          <w:szCs w:val="24"/>
        </w:rPr>
        <w:t>–</w:t>
      </w:r>
      <w:r w:rsidR="00953F2B" w:rsidRPr="00133028">
        <w:rPr>
          <w:rFonts w:asciiTheme="majorHAnsi" w:eastAsia="Calibri" w:hAnsiTheme="majorHAnsi" w:cs="Arial"/>
          <w:sz w:val="24"/>
          <w:szCs w:val="24"/>
        </w:rPr>
        <w:t xml:space="preserve"> the Claflin University Phone-a-Thon. Each year, staff and volunteers would call alumni and friends to solicit donations to the University. In 2010, </w:t>
      </w:r>
      <w:r w:rsidR="00744155" w:rsidRPr="00133028">
        <w:rPr>
          <w:rFonts w:asciiTheme="majorHAnsi" w:eastAsia="Calibri" w:hAnsiTheme="majorHAnsi" w:cs="Arial"/>
          <w:sz w:val="24"/>
          <w:szCs w:val="24"/>
        </w:rPr>
        <w:t>t</w:t>
      </w:r>
      <w:r w:rsidR="00526385" w:rsidRPr="00133028">
        <w:rPr>
          <w:rFonts w:asciiTheme="majorHAnsi" w:eastAsia="Calibri" w:hAnsiTheme="majorHAnsi" w:cs="Arial"/>
          <w:sz w:val="24"/>
          <w:szCs w:val="24"/>
        </w:rPr>
        <w:t>he Claflin University Call Cente</w:t>
      </w:r>
      <w:r w:rsidR="00953F2B" w:rsidRPr="00133028">
        <w:rPr>
          <w:rFonts w:asciiTheme="majorHAnsi" w:eastAsia="Calibri" w:hAnsiTheme="majorHAnsi" w:cs="Arial"/>
          <w:sz w:val="24"/>
          <w:szCs w:val="24"/>
        </w:rPr>
        <w:t>r was launched to use calling as a soli</w:t>
      </w:r>
      <w:r w:rsidR="00602810" w:rsidRPr="00133028">
        <w:rPr>
          <w:rFonts w:asciiTheme="majorHAnsi" w:eastAsia="Calibri" w:hAnsiTheme="majorHAnsi" w:cs="Arial"/>
          <w:sz w:val="24"/>
          <w:szCs w:val="24"/>
        </w:rPr>
        <w:t>citation tool on a more consiste</w:t>
      </w:r>
      <w:r w:rsidR="00953F2B" w:rsidRPr="00133028">
        <w:rPr>
          <w:rFonts w:asciiTheme="majorHAnsi" w:eastAsia="Calibri" w:hAnsiTheme="majorHAnsi" w:cs="Arial"/>
          <w:sz w:val="24"/>
          <w:szCs w:val="24"/>
        </w:rPr>
        <w:t>nt and strategic basis.</w:t>
      </w:r>
    </w:p>
    <w:p w:rsidR="00526385" w:rsidRPr="00133028" w:rsidRDefault="00813150" w:rsidP="00E25DE3">
      <w:pPr>
        <w:rPr>
          <w:rFonts w:asciiTheme="majorHAnsi" w:eastAsia="Calibri" w:hAnsiTheme="majorHAnsi" w:cs="Arial"/>
          <w:sz w:val="24"/>
          <w:szCs w:val="24"/>
        </w:rPr>
      </w:pPr>
      <w:r w:rsidRPr="00133028">
        <w:rPr>
          <w:rFonts w:asciiTheme="majorHAnsi" w:eastAsia="Calibri" w:hAnsiTheme="majorHAnsi" w:cs="Arial"/>
          <w:sz w:val="24"/>
          <w:szCs w:val="24"/>
        </w:rPr>
        <w:lastRenderedPageBreak/>
        <w:t>“In today’s world, we have so many methods of communicating, but a phone call still garners results when it comes to fundraising,” said Marilyn Keenan, manager o</w:t>
      </w:r>
      <w:r w:rsidR="008E7B46" w:rsidRPr="00133028">
        <w:rPr>
          <w:rFonts w:asciiTheme="majorHAnsi" w:eastAsia="Calibri" w:hAnsiTheme="majorHAnsi" w:cs="Arial"/>
          <w:sz w:val="24"/>
          <w:szCs w:val="24"/>
        </w:rPr>
        <w:t>f the Call Center. “</w:t>
      </w:r>
      <w:r w:rsidRPr="00133028">
        <w:rPr>
          <w:rFonts w:asciiTheme="majorHAnsi" w:eastAsia="Calibri" w:hAnsiTheme="majorHAnsi" w:cs="Arial"/>
          <w:sz w:val="24"/>
          <w:szCs w:val="24"/>
        </w:rPr>
        <w:t>We employ our students, which gives each call an even more personal and meaningful touch.</w:t>
      </w:r>
      <w:r w:rsidR="00101EB4" w:rsidRPr="00133028">
        <w:rPr>
          <w:rFonts w:asciiTheme="majorHAnsi" w:eastAsia="Calibri" w:hAnsiTheme="majorHAnsi" w:cs="Arial"/>
          <w:sz w:val="24"/>
          <w:szCs w:val="24"/>
        </w:rPr>
        <w:t>”</w:t>
      </w:r>
      <w:r w:rsidRPr="00133028">
        <w:rPr>
          <w:rFonts w:asciiTheme="majorHAnsi" w:eastAsia="Calibri" w:hAnsiTheme="majorHAnsi" w:cs="Arial"/>
          <w:sz w:val="24"/>
          <w:szCs w:val="24"/>
        </w:rPr>
        <w:t xml:space="preserve"> </w:t>
      </w:r>
      <w:r w:rsidR="00526385" w:rsidRPr="00133028">
        <w:rPr>
          <w:rFonts w:asciiTheme="majorHAnsi" w:eastAsia="Calibri" w:hAnsiTheme="majorHAnsi" w:cs="Arial"/>
          <w:sz w:val="24"/>
          <w:szCs w:val="24"/>
        </w:rPr>
        <w:t xml:space="preserve">   </w:t>
      </w:r>
    </w:p>
    <w:p w:rsidR="00792852" w:rsidRDefault="004B204B" w:rsidP="00792852">
      <w:pPr>
        <w:rPr>
          <w:rFonts w:asciiTheme="majorHAnsi" w:hAnsiTheme="majorHAnsi"/>
          <w:sz w:val="24"/>
          <w:szCs w:val="24"/>
        </w:rPr>
      </w:pPr>
      <w:r w:rsidRPr="00133028">
        <w:rPr>
          <w:rFonts w:asciiTheme="majorHAnsi" w:hAnsiTheme="majorHAnsi"/>
          <w:sz w:val="24"/>
          <w:szCs w:val="24"/>
        </w:rPr>
        <w:t xml:space="preserve">The ability to effectively market fundraising goals has </w:t>
      </w:r>
      <w:r w:rsidR="00133028">
        <w:rPr>
          <w:rFonts w:asciiTheme="majorHAnsi" w:hAnsiTheme="majorHAnsi"/>
          <w:sz w:val="24"/>
          <w:szCs w:val="24"/>
        </w:rPr>
        <w:t xml:space="preserve">also </w:t>
      </w:r>
      <w:r w:rsidRPr="00133028">
        <w:rPr>
          <w:rFonts w:asciiTheme="majorHAnsi" w:hAnsiTheme="majorHAnsi"/>
          <w:sz w:val="24"/>
          <w:szCs w:val="24"/>
        </w:rPr>
        <w:t>greatly benefit</w:t>
      </w:r>
      <w:r w:rsidR="006527DA" w:rsidRPr="00133028">
        <w:rPr>
          <w:rFonts w:asciiTheme="majorHAnsi" w:hAnsiTheme="majorHAnsi"/>
          <w:sz w:val="24"/>
          <w:szCs w:val="24"/>
        </w:rPr>
        <w:t>ted</w:t>
      </w:r>
      <w:r w:rsidRPr="00133028">
        <w:rPr>
          <w:rFonts w:asciiTheme="majorHAnsi" w:hAnsiTheme="majorHAnsi"/>
          <w:sz w:val="24"/>
          <w:szCs w:val="24"/>
        </w:rPr>
        <w:t xml:space="preserve"> alumni giving at Claflin. Advancement officer</w:t>
      </w:r>
      <w:r w:rsidR="006527DA" w:rsidRPr="00133028">
        <w:rPr>
          <w:rFonts w:asciiTheme="majorHAnsi" w:hAnsiTheme="majorHAnsi"/>
          <w:sz w:val="24"/>
          <w:szCs w:val="24"/>
        </w:rPr>
        <w:t>s</w:t>
      </w:r>
      <w:r w:rsidRPr="00133028">
        <w:rPr>
          <w:rFonts w:asciiTheme="majorHAnsi" w:hAnsiTheme="majorHAnsi"/>
          <w:sz w:val="24"/>
          <w:szCs w:val="24"/>
        </w:rPr>
        <w:t xml:space="preserve"> work closely with commun</w:t>
      </w:r>
      <w:r w:rsidR="006527DA" w:rsidRPr="00133028">
        <w:rPr>
          <w:rFonts w:asciiTheme="majorHAnsi" w:hAnsiTheme="majorHAnsi"/>
          <w:sz w:val="24"/>
          <w:szCs w:val="24"/>
        </w:rPr>
        <w:t>i</w:t>
      </w:r>
      <w:r w:rsidRPr="00133028">
        <w:rPr>
          <w:rFonts w:asciiTheme="majorHAnsi" w:hAnsiTheme="majorHAnsi"/>
          <w:sz w:val="24"/>
          <w:szCs w:val="24"/>
        </w:rPr>
        <w:t xml:space="preserve">cations and marketing staff to </w:t>
      </w:r>
      <w:r w:rsidR="006527DA" w:rsidRPr="00133028">
        <w:rPr>
          <w:rFonts w:asciiTheme="majorHAnsi" w:hAnsiTheme="majorHAnsi"/>
          <w:sz w:val="24"/>
          <w:szCs w:val="24"/>
        </w:rPr>
        <w:t xml:space="preserve">strategically plan marketing efforts – from </w:t>
      </w:r>
      <w:r w:rsidR="00B76179" w:rsidRPr="00133028">
        <w:rPr>
          <w:rFonts w:asciiTheme="majorHAnsi" w:hAnsiTheme="majorHAnsi"/>
          <w:sz w:val="24"/>
          <w:szCs w:val="24"/>
        </w:rPr>
        <w:t xml:space="preserve">direct mail to social media and email appeals. </w:t>
      </w:r>
    </w:p>
    <w:p w:rsidR="00792852" w:rsidRDefault="00AD742D" w:rsidP="00792852">
      <w:pPr>
        <w:rPr>
          <w:rFonts w:asciiTheme="majorHAnsi" w:hAnsiTheme="majorHAnsi" w:cs="Arial"/>
          <w:sz w:val="24"/>
          <w:szCs w:val="24"/>
        </w:rPr>
      </w:pPr>
      <w:r w:rsidRPr="00133028">
        <w:rPr>
          <w:rFonts w:asciiTheme="majorHAnsi" w:hAnsiTheme="majorHAnsi" w:cs="Arial"/>
          <w:sz w:val="24"/>
          <w:szCs w:val="24"/>
        </w:rPr>
        <w:t>Claflin now communicates more fre</w:t>
      </w:r>
      <w:r w:rsidR="00F05EB9" w:rsidRPr="00133028">
        <w:rPr>
          <w:rFonts w:asciiTheme="majorHAnsi" w:hAnsiTheme="majorHAnsi" w:cs="Arial"/>
          <w:sz w:val="24"/>
          <w:szCs w:val="24"/>
        </w:rPr>
        <w:t xml:space="preserve">quently with its stakeholders through </w:t>
      </w:r>
      <w:r w:rsidR="00F7488D" w:rsidRPr="00133028">
        <w:rPr>
          <w:rFonts w:asciiTheme="majorHAnsi" w:hAnsiTheme="majorHAnsi" w:cs="Arial"/>
          <w:sz w:val="24"/>
          <w:szCs w:val="24"/>
        </w:rPr>
        <w:t>tools such as e</w:t>
      </w:r>
      <w:r w:rsidR="00F05EB9" w:rsidRPr="00133028">
        <w:rPr>
          <w:rFonts w:asciiTheme="majorHAnsi" w:hAnsiTheme="majorHAnsi" w:cs="Arial"/>
          <w:sz w:val="24"/>
          <w:szCs w:val="24"/>
        </w:rPr>
        <w:t xml:space="preserve">mail blasts, </w:t>
      </w:r>
      <w:r w:rsidRPr="00133028">
        <w:rPr>
          <w:rFonts w:asciiTheme="majorHAnsi" w:hAnsiTheme="majorHAnsi" w:cs="Arial"/>
          <w:sz w:val="24"/>
          <w:szCs w:val="24"/>
        </w:rPr>
        <w:t xml:space="preserve">text messages, </w:t>
      </w:r>
      <w:r w:rsidR="00D75E87" w:rsidRPr="00133028">
        <w:rPr>
          <w:rFonts w:asciiTheme="majorHAnsi" w:hAnsiTheme="majorHAnsi" w:cs="Arial"/>
          <w:sz w:val="24"/>
          <w:szCs w:val="24"/>
        </w:rPr>
        <w:t>the</w:t>
      </w:r>
      <w:r w:rsidRPr="00133028">
        <w:rPr>
          <w:rFonts w:asciiTheme="majorHAnsi" w:hAnsiTheme="majorHAnsi" w:cs="Arial"/>
          <w:sz w:val="24"/>
          <w:szCs w:val="24"/>
        </w:rPr>
        <w:t xml:space="preserve"> University </w:t>
      </w:r>
      <w:r w:rsidR="00F7488D" w:rsidRPr="00133028">
        <w:rPr>
          <w:rFonts w:asciiTheme="majorHAnsi" w:hAnsiTheme="majorHAnsi" w:cs="Arial"/>
          <w:sz w:val="24"/>
          <w:szCs w:val="24"/>
        </w:rPr>
        <w:t>m</w:t>
      </w:r>
      <w:r w:rsidRPr="00133028">
        <w:rPr>
          <w:rFonts w:asciiTheme="majorHAnsi" w:hAnsiTheme="majorHAnsi" w:cs="Arial"/>
          <w:sz w:val="24"/>
          <w:szCs w:val="24"/>
        </w:rPr>
        <w:t>agazine, special newsletters, Facebook, Twitter, YouTube, automated voice messages</w:t>
      </w:r>
      <w:r w:rsidR="00F7488D" w:rsidRPr="00133028">
        <w:rPr>
          <w:rFonts w:asciiTheme="majorHAnsi" w:hAnsiTheme="majorHAnsi" w:cs="Arial"/>
          <w:sz w:val="24"/>
          <w:szCs w:val="24"/>
        </w:rPr>
        <w:t>,</w:t>
      </w:r>
      <w:r w:rsidRPr="00133028">
        <w:rPr>
          <w:rFonts w:asciiTheme="majorHAnsi" w:hAnsiTheme="majorHAnsi" w:cs="Arial"/>
          <w:sz w:val="24"/>
          <w:szCs w:val="24"/>
        </w:rPr>
        <w:t xml:space="preserve"> and custom brochures and publications.</w:t>
      </w:r>
    </w:p>
    <w:p w:rsidR="00101EB4" w:rsidRPr="00133028" w:rsidRDefault="00460733" w:rsidP="00792852">
      <w:pPr>
        <w:rPr>
          <w:rFonts w:asciiTheme="majorHAnsi" w:hAnsiTheme="majorHAnsi" w:cs="Arial"/>
          <w:sz w:val="24"/>
          <w:szCs w:val="24"/>
        </w:rPr>
      </w:pPr>
      <w:r w:rsidRPr="00133028">
        <w:rPr>
          <w:rFonts w:asciiTheme="majorHAnsi" w:hAnsiTheme="majorHAnsi" w:cs="Arial"/>
          <w:sz w:val="24"/>
          <w:szCs w:val="24"/>
        </w:rPr>
        <w:t xml:space="preserve">Middleton said </w:t>
      </w:r>
      <w:r w:rsidR="00D75E87" w:rsidRPr="00133028">
        <w:rPr>
          <w:rFonts w:asciiTheme="majorHAnsi" w:hAnsiTheme="majorHAnsi" w:cs="Arial"/>
          <w:sz w:val="24"/>
          <w:szCs w:val="24"/>
        </w:rPr>
        <w:t xml:space="preserve">University leadership and the campus community are </w:t>
      </w:r>
      <w:r w:rsidRPr="00133028">
        <w:rPr>
          <w:rFonts w:asciiTheme="majorHAnsi" w:hAnsiTheme="majorHAnsi" w:cs="Arial"/>
          <w:sz w:val="24"/>
          <w:szCs w:val="24"/>
        </w:rPr>
        <w:t>heavily</w:t>
      </w:r>
      <w:r w:rsidR="00D75E87" w:rsidRPr="00133028">
        <w:rPr>
          <w:rFonts w:asciiTheme="majorHAnsi" w:hAnsiTheme="majorHAnsi" w:cs="Arial"/>
          <w:sz w:val="24"/>
          <w:szCs w:val="24"/>
        </w:rPr>
        <w:t xml:space="preserve"> engaged </w:t>
      </w:r>
      <w:r w:rsidRPr="00133028">
        <w:rPr>
          <w:rFonts w:asciiTheme="majorHAnsi" w:hAnsiTheme="majorHAnsi" w:cs="Arial"/>
          <w:sz w:val="24"/>
          <w:szCs w:val="24"/>
        </w:rPr>
        <w:t xml:space="preserve">in the fundraising process </w:t>
      </w:r>
      <w:r w:rsidR="00D75E87" w:rsidRPr="00133028">
        <w:rPr>
          <w:rFonts w:asciiTheme="majorHAnsi" w:hAnsiTheme="majorHAnsi" w:cs="Arial"/>
          <w:sz w:val="24"/>
          <w:szCs w:val="24"/>
        </w:rPr>
        <w:t xml:space="preserve">and support fundraising initiatives. From the Board of Trustees </w:t>
      </w:r>
      <w:r w:rsidRPr="00133028">
        <w:rPr>
          <w:rFonts w:asciiTheme="majorHAnsi" w:hAnsiTheme="majorHAnsi" w:cs="Arial"/>
          <w:sz w:val="24"/>
          <w:szCs w:val="24"/>
        </w:rPr>
        <w:t xml:space="preserve">and president, </w:t>
      </w:r>
      <w:r w:rsidR="00D75E87" w:rsidRPr="00133028">
        <w:rPr>
          <w:rFonts w:asciiTheme="majorHAnsi" w:hAnsiTheme="majorHAnsi" w:cs="Arial"/>
          <w:sz w:val="24"/>
          <w:szCs w:val="24"/>
        </w:rPr>
        <w:t xml:space="preserve">to </w:t>
      </w:r>
      <w:r w:rsidR="00133028" w:rsidRPr="00133028">
        <w:rPr>
          <w:rFonts w:asciiTheme="majorHAnsi" w:hAnsiTheme="majorHAnsi" w:cs="Arial"/>
          <w:sz w:val="24"/>
          <w:szCs w:val="24"/>
        </w:rPr>
        <w:t xml:space="preserve">the student body, faculty and staff, </w:t>
      </w:r>
      <w:r w:rsidRPr="00133028">
        <w:rPr>
          <w:rFonts w:asciiTheme="majorHAnsi" w:hAnsiTheme="majorHAnsi" w:cs="Arial"/>
          <w:sz w:val="24"/>
          <w:szCs w:val="24"/>
        </w:rPr>
        <w:t xml:space="preserve">a culture of </w:t>
      </w:r>
      <w:r w:rsidR="00133028" w:rsidRPr="00133028">
        <w:rPr>
          <w:rFonts w:asciiTheme="majorHAnsi" w:hAnsiTheme="majorHAnsi" w:cs="Arial"/>
          <w:sz w:val="24"/>
          <w:szCs w:val="24"/>
        </w:rPr>
        <w:t>giving</w:t>
      </w:r>
      <w:r w:rsidRPr="00133028">
        <w:rPr>
          <w:rFonts w:asciiTheme="majorHAnsi" w:hAnsiTheme="majorHAnsi" w:cs="Arial"/>
          <w:sz w:val="24"/>
          <w:szCs w:val="24"/>
        </w:rPr>
        <w:t xml:space="preserve"> has emerged and is continuing to grow. </w:t>
      </w:r>
      <w:r w:rsidR="00AD742D" w:rsidRPr="00133028">
        <w:rPr>
          <w:rFonts w:asciiTheme="majorHAnsi" w:hAnsiTheme="majorHAnsi" w:cs="Arial"/>
          <w:sz w:val="24"/>
          <w:szCs w:val="24"/>
        </w:rPr>
        <w:t xml:space="preserve">  </w:t>
      </w:r>
    </w:p>
    <w:p w:rsidR="00FD1095" w:rsidRPr="00133028" w:rsidRDefault="00133028" w:rsidP="00E25DE3">
      <w:pPr>
        <w:rPr>
          <w:rFonts w:asciiTheme="majorHAnsi" w:eastAsia="Calibri" w:hAnsiTheme="majorHAnsi" w:cs="Arial"/>
          <w:sz w:val="24"/>
          <w:szCs w:val="24"/>
        </w:rPr>
      </w:pPr>
      <w:r>
        <w:rPr>
          <w:rFonts w:asciiTheme="majorHAnsi" w:eastAsia="Calibri" w:hAnsiTheme="majorHAnsi" w:cs="Arial"/>
          <w:sz w:val="24"/>
          <w:szCs w:val="24"/>
        </w:rPr>
        <w:t>“</w:t>
      </w:r>
      <w:r w:rsidR="004A7C0A" w:rsidRPr="00133028">
        <w:rPr>
          <w:rFonts w:asciiTheme="majorHAnsi" w:eastAsia="Calibri" w:hAnsiTheme="majorHAnsi" w:cs="Arial"/>
          <w:sz w:val="24"/>
          <w:szCs w:val="24"/>
        </w:rPr>
        <w:t>As lea</w:t>
      </w:r>
      <w:r>
        <w:rPr>
          <w:rFonts w:asciiTheme="majorHAnsi" w:eastAsia="Calibri" w:hAnsiTheme="majorHAnsi" w:cs="Arial"/>
          <w:sz w:val="24"/>
          <w:szCs w:val="24"/>
        </w:rPr>
        <w:t xml:space="preserve">ders, we have to set an example,” President </w:t>
      </w:r>
      <w:r w:rsidR="00792852">
        <w:rPr>
          <w:rFonts w:asciiTheme="majorHAnsi" w:eastAsia="Calibri" w:hAnsiTheme="majorHAnsi" w:cs="Arial"/>
          <w:sz w:val="24"/>
          <w:szCs w:val="24"/>
        </w:rPr>
        <w:t xml:space="preserve">Dr. </w:t>
      </w:r>
      <w:r>
        <w:rPr>
          <w:rFonts w:asciiTheme="majorHAnsi" w:eastAsia="Calibri" w:hAnsiTheme="majorHAnsi" w:cs="Arial"/>
          <w:sz w:val="24"/>
          <w:szCs w:val="24"/>
        </w:rPr>
        <w:t>Henry N. Tisdale</w:t>
      </w:r>
      <w:r w:rsidR="00792852">
        <w:rPr>
          <w:rFonts w:asciiTheme="majorHAnsi" w:eastAsia="Calibri" w:hAnsiTheme="majorHAnsi" w:cs="Arial"/>
          <w:sz w:val="24"/>
          <w:szCs w:val="24"/>
        </w:rPr>
        <w:t xml:space="preserve"> said</w:t>
      </w:r>
      <w:r>
        <w:rPr>
          <w:rFonts w:asciiTheme="majorHAnsi" w:eastAsia="Calibri" w:hAnsiTheme="majorHAnsi" w:cs="Arial"/>
          <w:sz w:val="24"/>
          <w:szCs w:val="24"/>
        </w:rPr>
        <w:t>. “</w:t>
      </w:r>
      <w:r w:rsidR="004A7C0A" w:rsidRPr="00133028">
        <w:rPr>
          <w:rFonts w:asciiTheme="majorHAnsi" w:eastAsia="Calibri" w:hAnsiTheme="majorHAnsi" w:cs="Arial"/>
          <w:sz w:val="24"/>
          <w:szCs w:val="24"/>
        </w:rPr>
        <w:t xml:space="preserve">As an advancement team and the </w:t>
      </w:r>
      <w:r w:rsidR="00F7488D" w:rsidRPr="00133028">
        <w:rPr>
          <w:rFonts w:asciiTheme="majorHAnsi" w:eastAsia="Calibri" w:hAnsiTheme="majorHAnsi" w:cs="Arial"/>
          <w:sz w:val="24"/>
          <w:szCs w:val="24"/>
        </w:rPr>
        <w:t>U</w:t>
      </w:r>
      <w:r w:rsidR="004A7C0A" w:rsidRPr="00133028">
        <w:rPr>
          <w:rFonts w:asciiTheme="majorHAnsi" w:eastAsia="Calibri" w:hAnsiTheme="majorHAnsi" w:cs="Arial"/>
          <w:sz w:val="24"/>
          <w:szCs w:val="24"/>
        </w:rPr>
        <w:t xml:space="preserve">niversity overall, we have to be willing to invest in Claflin if we are going to ask others to do so. I am proud to say that in </w:t>
      </w:r>
      <w:r w:rsidR="00B97FE4" w:rsidRPr="00133028">
        <w:rPr>
          <w:rFonts w:asciiTheme="majorHAnsi" w:eastAsia="Calibri" w:hAnsiTheme="majorHAnsi" w:cs="Arial"/>
          <w:sz w:val="24"/>
          <w:szCs w:val="24"/>
        </w:rPr>
        <w:t>our current capital campaign, 98</w:t>
      </w:r>
      <w:r w:rsidR="004A7C0A" w:rsidRPr="00133028">
        <w:rPr>
          <w:rFonts w:asciiTheme="majorHAnsi" w:eastAsia="Calibri" w:hAnsiTheme="majorHAnsi" w:cs="Arial"/>
          <w:sz w:val="24"/>
          <w:szCs w:val="24"/>
        </w:rPr>
        <w:t xml:space="preserve"> percent of our </w:t>
      </w:r>
      <w:r w:rsidR="00E26C90">
        <w:rPr>
          <w:rFonts w:asciiTheme="majorHAnsi" w:eastAsia="Calibri" w:hAnsiTheme="majorHAnsi" w:cs="Arial"/>
          <w:sz w:val="24"/>
          <w:szCs w:val="24"/>
        </w:rPr>
        <w:t>administration, faculty and staff</w:t>
      </w:r>
      <w:r w:rsidR="004A7C0A" w:rsidRPr="00133028">
        <w:rPr>
          <w:rFonts w:asciiTheme="majorHAnsi" w:eastAsia="Calibri" w:hAnsiTheme="majorHAnsi" w:cs="Arial"/>
          <w:sz w:val="24"/>
          <w:szCs w:val="24"/>
        </w:rPr>
        <w:t xml:space="preserve"> ha</w:t>
      </w:r>
      <w:r w:rsidR="00E26C90">
        <w:rPr>
          <w:rFonts w:asciiTheme="majorHAnsi" w:eastAsia="Calibri" w:hAnsiTheme="majorHAnsi" w:cs="Arial"/>
          <w:sz w:val="24"/>
          <w:szCs w:val="24"/>
        </w:rPr>
        <w:t>ve</w:t>
      </w:r>
      <w:r w:rsidR="004A7C0A" w:rsidRPr="00133028">
        <w:rPr>
          <w:rFonts w:asciiTheme="majorHAnsi" w:eastAsia="Calibri" w:hAnsiTheme="majorHAnsi" w:cs="Arial"/>
          <w:sz w:val="24"/>
          <w:szCs w:val="24"/>
        </w:rPr>
        <w:t xml:space="preserve"> given back to the University. Even more impressive is the fact that our students surpassed a $100,000 goal, and are currently in the midst of a second campaign.</w:t>
      </w:r>
      <w:r w:rsidR="00F7488D" w:rsidRPr="00133028">
        <w:rPr>
          <w:rFonts w:asciiTheme="majorHAnsi" w:eastAsia="Calibri" w:hAnsiTheme="majorHAnsi" w:cs="Arial"/>
          <w:sz w:val="24"/>
          <w:szCs w:val="24"/>
        </w:rPr>
        <w:t>”</w:t>
      </w:r>
    </w:p>
    <w:p w:rsidR="002B4B3C" w:rsidRPr="00133028" w:rsidRDefault="004A7C0A" w:rsidP="00E25DE3">
      <w:pPr>
        <w:rPr>
          <w:rFonts w:asciiTheme="majorHAnsi" w:eastAsia="Calibri" w:hAnsiTheme="majorHAnsi" w:cs="Arial"/>
          <w:sz w:val="24"/>
          <w:szCs w:val="24"/>
        </w:rPr>
      </w:pPr>
      <w:r w:rsidRPr="00133028">
        <w:rPr>
          <w:rFonts w:asciiTheme="majorHAnsi" w:eastAsia="Calibri" w:hAnsiTheme="majorHAnsi" w:cs="Arial"/>
          <w:sz w:val="24"/>
          <w:szCs w:val="24"/>
        </w:rPr>
        <w:t>“Our alumni are no different,” Tisdale continued. “We are proactive in presenting new fundraising strategies, but their commitment and loyalty to their alma mater is why we have reached 52</w:t>
      </w:r>
      <w:r w:rsidR="00E26C90">
        <w:rPr>
          <w:rFonts w:asciiTheme="majorHAnsi" w:eastAsia="Calibri" w:hAnsiTheme="majorHAnsi" w:cs="Arial"/>
          <w:sz w:val="24"/>
          <w:szCs w:val="24"/>
        </w:rPr>
        <w:t>.2</w:t>
      </w:r>
      <w:r w:rsidRPr="00133028">
        <w:rPr>
          <w:rFonts w:asciiTheme="majorHAnsi" w:eastAsia="Calibri" w:hAnsiTheme="majorHAnsi" w:cs="Arial"/>
          <w:sz w:val="24"/>
          <w:szCs w:val="24"/>
        </w:rPr>
        <w:t xml:space="preserve"> percent. We certainly want others to invest in us. But more importantly, we invest in ourselves.”</w:t>
      </w:r>
    </w:p>
    <w:sectPr w:rsidR="002B4B3C" w:rsidRPr="001330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E5" w:rsidRDefault="006A10E5" w:rsidP="00E25DE3">
      <w:pPr>
        <w:spacing w:after="0" w:line="240" w:lineRule="auto"/>
      </w:pPr>
      <w:r>
        <w:separator/>
      </w:r>
    </w:p>
  </w:endnote>
  <w:endnote w:type="continuationSeparator" w:id="0">
    <w:p w:rsidR="006A10E5" w:rsidRDefault="006A10E5" w:rsidP="00E2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E5" w:rsidRDefault="006A10E5" w:rsidP="00E25DE3">
      <w:pPr>
        <w:spacing w:after="0" w:line="240" w:lineRule="auto"/>
      </w:pPr>
      <w:r>
        <w:separator/>
      </w:r>
    </w:p>
  </w:footnote>
  <w:footnote w:type="continuationSeparator" w:id="0">
    <w:p w:rsidR="006A10E5" w:rsidRDefault="006A10E5" w:rsidP="00E2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E3" w:rsidRDefault="00E2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7063"/>
    <w:multiLevelType w:val="hybridMultilevel"/>
    <w:tmpl w:val="BBAE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9327C"/>
    <w:multiLevelType w:val="hybridMultilevel"/>
    <w:tmpl w:val="E3B670BC"/>
    <w:lvl w:ilvl="0" w:tplc="3B800B06">
      <w:start w:val="1"/>
      <w:numFmt w:val="bullet"/>
      <w:lvlText w:val=""/>
      <w:lvlJc w:val="left"/>
      <w:pPr>
        <w:tabs>
          <w:tab w:val="num" w:pos="720"/>
        </w:tabs>
        <w:ind w:left="720" w:hanging="360"/>
      </w:pPr>
      <w:rPr>
        <w:rFonts w:ascii="Wingdings" w:hAnsi="Wingdings" w:hint="default"/>
      </w:rPr>
    </w:lvl>
    <w:lvl w:ilvl="1" w:tplc="60B099C4" w:tentative="1">
      <w:start w:val="1"/>
      <w:numFmt w:val="bullet"/>
      <w:lvlText w:val=""/>
      <w:lvlJc w:val="left"/>
      <w:pPr>
        <w:tabs>
          <w:tab w:val="num" w:pos="1440"/>
        </w:tabs>
        <w:ind w:left="1440" w:hanging="360"/>
      </w:pPr>
      <w:rPr>
        <w:rFonts w:ascii="Wingdings" w:hAnsi="Wingdings" w:hint="default"/>
      </w:rPr>
    </w:lvl>
    <w:lvl w:ilvl="2" w:tplc="68F609A2" w:tentative="1">
      <w:start w:val="1"/>
      <w:numFmt w:val="bullet"/>
      <w:lvlText w:val=""/>
      <w:lvlJc w:val="left"/>
      <w:pPr>
        <w:tabs>
          <w:tab w:val="num" w:pos="2160"/>
        </w:tabs>
        <w:ind w:left="2160" w:hanging="360"/>
      </w:pPr>
      <w:rPr>
        <w:rFonts w:ascii="Wingdings" w:hAnsi="Wingdings" w:hint="default"/>
      </w:rPr>
    </w:lvl>
    <w:lvl w:ilvl="3" w:tplc="EF5A10AA" w:tentative="1">
      <w:start w:val="1"/>
      <w:numFmt w:val="bullet"/>
      <w:lvlText w:val=""/>
      <w:lvlJc w:val="left"/>
      <w:pPr>
        <w:tabs>
          <w:tab w:val="num" w:pos="2880"/>
        </w:tabs>
        <w:ind w:left="2880" w:hanging="360"/>
      </w:pPr>
      <w:rPr>
        <w:rFonts w:ascii="Wingdings" w:hAnsi="Wingdings" w:hint="default"/>
      </w:rPr>
    </w:lvl>
    <w:lvl w:ilvl="4" w:tplc="CB0C1FCC" w:tentative="1">
      <w:start w:val="1"/>
      <w:numFmt w:val="bullet"/>
      <w:lvlText w:val=""/>
      <w:lvlJc w:val="left"/>
      <w:pPr>
        <w:tabs>
          <w:tab w:val="num" w:pos="3600"/>
        </w:tabs>
        <w:ind w:left="3600" w:hanging="360"/>
      </w:pPr>
      <w:rPr>
        <w:rFonts w:ascii="Wingdings" w:hAnsi="Wingdings" w:hint="default"/>
      </w:rPr>
    </w:lvl>
    <w:lvl w:ilvl="5" w:tplc="3278A56E" w:tentative="1">
      <w:start w:val="1"/>
      <w:numFmt w:val="bullet"/>
      <w:lvlText w:val=""/>
      <w:lvlJc w:val="left"/>
      <w:pPr>
        <w:tabs>
          <w:tab w:val="num" w:pos="4320"/>
        </w:tabs>
        <w:ind w:left="4320" w:hanging="360"/>
      </w:pPr>
      <w:rPr>
        <w:rFonts w:ascii="Wingdings" w:hAnsi="Wingdings" w:hint="default"/>
      </w:rPr>
    </w:lvl>
    <w:lvl w:ilvl="6" w:tplc="1C18137A" w:tentative="1">
      <w:start w:val="1"/>
      <w:numFmt w:val="bullet"/>
      <w:lvlText w:val=""/>
      <w:lvlJc w:val="left"/>
      <w:pPr>
        <w:tabs>
          <w:tab w:val="num" w:pos="5040"/>
        </w:tabs>
        <w:ind w:left="5040" w:hanging="360"/>
      </w:pPr>
      <w:rPr>
        <w:rFonts w:ascii="Wingdings" w:hAnsi="Wingdings" w:hint="default"/>
      </w:rPr>
    </w:lvl>
    <w:lvl w:ilvl="7" w:tplc="87147918" w:tentative="1">
      <w:start w:val="1"/>
      <w:numFmt w:val="bullet"/>
      <w:lvlText w:val=""/>
      <w:lvlJc w:val="left"/>
      <w:pPr>
        <w:tabs>
          <w:tab w:val="num" w:pos="5760"/>
        </w:tabs>
        <w:ind w:left="5760" w:hanging="360"/>
      </w:pPr>
      <w:rPr>
        <w:rFonts w:ascii="Wingdings" w:hAnsi="Wingdings" w:hint="default"/>
      </w:rPr>
    </w:lvl>
    <w:lvl w:ilvl="8" w:tplc="1074802C" w:tentative="1">
      <w:start w:val="1"/>
      <w:numFmt w:val="bullet"/>
      <w:lvlText w:val=""/>
      <w:lvlJc w:val="left"/>
      <w:pPr>
        <w:tabs>
          <w:tab w:val="num" w:pos="6480"/>
        </w:tabs>
        <w:ind w:left="6480" w:hanging="360"/>
      </w:pPr>
      <w:rPr>
        <w:rFonts w:ascii="Wingdings" w:hAnsi="Wingdings" w:hint="default"/>
      </w:rPr>
    </w:lvl>
  </w:abstractNum>
  <w:abstractNum w:abstractNumId="2">
    <w:nsid w:val="23273664"/>
    <w:multiLevelType w:val="hybridMultilevel"/>
    <w:tmpl w:val="B0B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31F95"/>
    <w:multiLevelType w:val="hybridMultilevel"/>
    <w:tmpl w:val="9B9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E4E7A"/>
    <w:multiLevelType w:val="hybridMultilevel"/>
    <w:tmpl w:val="EEC6B97A"/>
    <w:lvl w:ilvl="0" w:tplc="9D14828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E363D"/>
    <w:multiLevelType w:val="hybridMultilevel"/>
    <w:tmpl w:val="E22C55FC"/>
    <w:lvl w:ilvl="0" w:tplc="2964488E">
      <w:start w:val="1"/>
      <w:numFmt w:val="decimal"/>
      <w:lvlText w:val="%1."/>
      <w:lvlJc w:val="left"/>
      <w:pPr>
        <w:tabs>
          <w:tab w:val="num" w:pos="720"/>
        </w:tabs>
        <w:ind w:left="720" w:hanging="360"/>
      </w:pPr>
    </w:lvl>
    <w:lvl w:ilvl="1" w:tplc="DB7497FE" w:tentative="1">
      <w:start w:val="1"/>
      <w:numFmt w:val="decimal"/>
      <w:lvlText w:val="%2."/>
      <w:lvlJc w:val="left"/>
      <w:pPr>
        <w:tabs>
          <w:tab w:val="num" w:pos="1440"/>
        </w:tabs>
        <w:ind w:left="1440" w:hanging="360"/>
      </w:pPr>
    </w:lvl>
    <w:lvl w:ilvl="2" w:tplc="702256CE" w:tentative="1">
      <w:start w:val="1"/>
      <w:numFmt w:val="decimal"/>
      <w:lvlText w:val="%3."/>
      <w:lvlJc w:val="left"/>
      <w:pPr>
        <w:tabs>
          <w:tab w:val="num" w:pos="2160"/>
        </w:tabs>
        <w:ind w:left="2160" w:hanging="360"/>
      </w:pPr>
    </w:lvl>
    <w:lvl w:ilvl="3" w:tplc="95685D00" w:tentative="1">
      <w:start w:val="1"/>
      <w:numFmt w:val="decimal"/>
      <w:lvlText w:val="%4."/>
      <w:lvlJc w:val="left"/>
      <w:pPr>
        <w:tabs>
          <w:tab w:val="num" w:pos="2880"/>
        </w:tabs>
        <w:ind w:left="2880" w:hanging="360"/>
      </w:pPr>
    </w:lvl>
    <w:lvl w:ilvl="4" w:tplc="51626FB4" w:tentative="1">
      <w:start w:val="1"/>
      <w:numFmt w:val="decimal"/>
      <w:lvlText w:val="%5."/>
      <w:lvlJc w:val="left"/>
      <w:pPr>
        <w:tabs>
          <w:tab w:val="num" w:pos="3600"/>
        </w:tabs>
        <w:ind w:left="3600" w:hanging="360"/>
      </w:pPr>
    </w:lvl>
    <w:lvl w:ilvl="5" w:tplc="E4820302" w:tentative="1">
      <w:start w:val="1"/>
      <w:numFmt w:val="decimal"/>
      <w:lvlText w:val="%6."/>
      <w:lvlJc w:val="left"/>
      <w:pPr>
        <w:tabs>
          <w:tab w:val="num" w:pos="4320"/>
        </w:tabs>
        <w:ind w:left="4320" w:hanging="360"/>
      </w:pPr>
    </w:lvl>
    <w:lvl w:ilvl="6" w:tplc="CF660DEA" w:tentative="1">
      <w:start w:val="1"/>
      <w:numFmt w:val="decimal"/>
      <w:lvlText w:val="%7."/>
      <w:lvlJc w:val="left"/>
      <w:pPr>
        <w:tabs>
          <w:tab w:val="num" w:pos="5040"/>
        </w:tabs>
        <w:ind w:left="5040" w:hanging="360"/>
      </w:pPr>
    </w:lvl>
    <w:lvl w:ilvl="7" w:tplc="1EB45148" w:tentative="1">
      <w:start w:val="1"/>
      <w:numFmt w:val="decimal"/>
      <w:lvlText w:val="%8."/>
      <w:lvlJc w:val="left"/>
      <w:pPr>
        <w:tabs>
          <w:tab w:val="num" w:pos="5760"/>
        </w:tabs>
        <w:ind w:left="5760" w:hanging="360"/>
      </w:pPr>
    </w:lvl>
    <w:lvl w:ilvl="8" w:tplc="B1EE6914" w:tentative="1">
      <w:start w:val="1"/>
      <w:numFmt w:val="decimal"/>
      <w:lvlText w:val="%9."/>
      <w:lvlJc w:val="left"/>
      <w:pPr>
        <w:tabs>
          <w:tab w:val="num" w:pos="6480"/>
        </w:tabs>
        <w:ind w:left="6480" w:hanging="360"/>
      </w:pPr>
    </w:lvl>
  </w:abstractNum>
  <w:abstractNum w:abstractNumId="6">
    <w:nsid w:val="495E517A"/>
    <w:multiLevelType w:val="hybridMultilevel"/>
    <w:tmpl w:val="031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B3CCD"/>
    <w:multiLevelType w:val="hybridMultilevel"/>
    <w:tmpl w:val="198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A7C4D"/>
    <w:multiLevelType w:val="hybridMultilevel"/>
    <w:tmpl w:val="B42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34844"/>
    <w:multiLevelType w:val="hybridMultilevel"/>
    <w:tmpl w:val="3B660412"/>
    <w:lvl w:ilvl="0" w:tplc="A050906E">
      <w:start w:val="1"/>
      <w:numFmt w:val="bullet"/>
      <w:lvlText w:val=""/>
      <w:lvlJc w:val="left"/>
      <w:pPr>
        <w:tabs>
          <w:tab w:val="num" w:pos="720"/>
        </w:tabs>
        <w:ind w:left="720" w:hanging="360"/>
      </w:pPr>
      <w:rPr>
        <w:rFonts w:ascii="Wingdings" w:hAnsi="Wingdings" w:hint="default"/>
      </w:rPr>
    </w:lvl>
    <w:lvl w:ilvl="1" w:tplc="481E1644" w:tentative="1">
      <w:start w:val="1"/>
      <w:numFmt w:val="bullet"/>
      <w:lvlText w:val=""/>
      <w:lvlJc w:val="left"/>
      <w:pPr>
        <w:tabs>
          <w:tab w:val="num" w:pos="1440"/>
        </w:tabs>
        <w:ind w:left="1440" w:hanging="360"/>
      </w:pPr>
      <w:rPr>
        <w:rFonts w:ascii="Wingdings" w:hAnsi="Wingdings" w:hint="default"/>
      </w:rPr>
    </w:lvl>
    <w:lvl w:ilvl="2" w:tplc="ADA649D0" w:tentative="1">
      <w:start w:val="1"/>
      <w:numFmt w:val="bullet"/>
      <w:lvlText w:val=""/>
      <w:lvlJc w:val="left"/>
      <w:pPr>
        <w:tabs>
          <w:tab w:val="num" w:pos="2160"/>
        </w:tabs>
        <w:ind w:left="2160" w:hanging="360"/>
      </w:pPr>
      <w:rPr>
        <w:rFonts w:ascii="Wingdings" w:hAnsi="Wingdings" w:hint="default"/>
      </w:rPr>
    </w:lvl>
    <w:lvl w:ilvl="3" w:tplc="2206A138" w:tentative="1">
      <w:start w:val="1"/>
      <w:numFmt w:val="bullet"/>
      <w:lvlText w:val=""/>
      <w:lvlJc w:val="left"/>
      <w:pPr>
        <w:tabs>
          <w:tab w:val="num" w:pos="2880"/>
        </w:tabs>
        <w:ind w:left="2880" w:hanging="360"/>
      </w:pPr>
      <w:rPr>
        <w:rFonts w:ascii="Wingdings" w:hAnsi="Wingdings" w:hint="default"/>
      </w:rPr>
    </w:lvl>
    <w:lvl w:ilvl="4" w:tplc="4A0AC9F0" w:tentative="1">
      <w:start w:val="1"/>
      <w:numFmt w:val="bullet"/>
      <w:lvlText w:val=""/>
      <w:lvlJc w:val="left"/>
      <w:pPr>
        <w:tabs>
          <w:tab w:val="num" w:pos="3600"/>
        </w:tabs>
        <w:ind w:left="3600" w:hanging="360"/>
      </w:pPr>
      <w:rPr>
        <w:rFonts w:ascii="Wingdings" w:hAnsi="Wingdings" w:hint="default"/>
      </w:rPr>
    </w:lvl>
    <w:lvl w:ilvl="5" w:tplc="70A4C3A6" w:tentative="1">
      <w:start w:val="1"/>
      <w:numFmt w:val="bullet"/>
      <w:lvlText w:val=""/>
      <w:lvlJc w:val="left"/>
      <w:pPr>
        <w:tabs>
          <w:tab w:val="num" w:pos="4320"/>
        </w:tabs>
        <w:ind w:left="4320" w:hanging="360"/>
      </w:pPr>
      <w:rPr>
        <w:rFonts w:ascii="Wingdings" w:hAnsi="Wingdings" w:hint="default"/>
      </w:rPr>
    </w:lvl>
    <w:lvl w:ilvl="6" w:tplc="5934B322" w:tentative="1">
      <w:start w:val="1"/>
      <w:numFmt w:val="bullet"/>
      <w:lvlText w:val=""/>
      <w:lvlJc w:val="left"/>
      <w:pPr>
        <w:tabs>
          <w:tab w:val="num" w:pos="5040"/>
        </w:tabs>
        <w:ind w:left="5040" w:hanging="360"/>
      </w:pPr>
      <w:rPr>
        <w:rFonts w:ascii="Wingdings" w:hAnsi="Wingdings" w:hint="default"/>
      </w:rPr>
    </w:lvl>
    <w:lvl w:ilvl="7" w:tplc="D0E68BE0" w:tentative="1">
      <w:start w:val="1"/>
      <w:numFmt w:val="bullet"/>
      <w:lvlText w:val=""/>
      <w:lvlJc w:val="left"/>
      <w:pPr>
        <w:tabs>
          <w:tab w:val="num" w:pos="5760"/>
        </w:tabs>
        <w:ind w:left="5760" w:hanging="360"/>
      </w:pPr>
      <w:rPr>
        <w:rFonts w:ascii="Wingdings" w:hAnsi="Wingdings" w:hint="default"/>
      </w:rPr>
    </w:lvl>
    <w:lvl w:ilvl="8" w:tplc="BB8EE4A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6"/>
  </w:num>
  <w:num w:numId="6">
    <w:abstractNumId w:val="1"/>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2A"/>
    <w:rsid w:val="00036808"/>
    <w:rsid w:val="00093E75"/>
    <w:rsid w:val="000962F5"/>
    <w:rsid w:val="000A255C"/>
    <w:rsid w:val="000C6973"/>
    <w:rsid w:val="00101EB4"/>
    <w:rsid w:val="001261B9"/>
    <w:rsid w:val="00133028"/>
    <w:rsid w:val="001675FA"/>
    <w:rsid w:val="0017139C"/>
    <w:rsid w:val="00182461"/>
    <w:rsid w:val="001D2893"/>
    <w:rsid w:val="0020534A"/>
    <w:rsid w:val="00241545"/>
    <w:rsid w:val="00274D0D"/>
    <w:rsid w:val="00296698"/>
    <w:rsid w:val="002A1484"/>
    <w:rsid w:val="002B4B3C"/>
    <w:rsid w:val="00303895"/>
    <w:rsid w:val="00360867"/>
    <w:rsid w:val="00362BD1"/>
    <w:rsid w:val="003757FC"/>
    <w:rsid w:val="003A2321"/>
    <w:rsid w:val="003A4E49"/>
    <w:rsid w:val="003D19AD"/>
    <w:rsid w:val="00437C81"/>
    <w:rsid w:val="00460733"/>
    <w:rsid w:val="004A0359"/>
    <w:rsid w:val="004A5B92"/>
    <w:rsid w:val="004A5D82"/>
    <w:rsid w:val="004A7C0A"/>
    <w:rsid w:val="004B204B"/>
    <w:rsid w:val="00513488"/>
    <w:rsid w:val="00526385"/>
    <w:rsid w:val="00535043"/>
    <w:rsid w:val="005513EF"/>
    <w:rsid w:val="00590C42"/>
    <w:rsid w:val="005B0F7C"/>
    <w:rsid w:val="005B481E"/>
    <w:rsid w:val="00602810"/>
    <w:rsid w:val="0064255D"/>
    <w:rsid w:val="006527DA"/>
    <w:rsid w:val="00682870"/>
    <w:rsid w:val="006A10E5"/>
    <w:rsid w:val="007015CA"/>
    <w:rsid w:val="0072461D"/>
    <w:rsid w:val="00744155"/>
    <w:rsid w:val="00751855"/>
    <w:rsid w:val="00755BDC"/>
    <w:rsid w:val="00792852"/>
    <w:rsid w:val="007A2126"/>
    <w:rsid w:val="00813150"/>
    <w:rsid w:val="008410F3"/>
    <w:rsid w:val="008638B7"/>
    <w:rsid w:val="008C330A"/>
    <w:rsid w:val="008C4E5C"/>
    <w:rsid w:val="008C728E"/>
    <w:rsid w:val="008E7B46"/>
    <w:rsid w:val="00915C7E"/>
    <w:rsid w:val="00921985"/>
    <w:rsid w:val="00953F2B"/>
    <w:rsid w:val="00961ADF"/>
    <w:rsid w:val="009718A2"/>
    <w:rsid w:val="009C184A"/>
    <w:rsid w:val="009D7E4D"/>
    <w:rsid w:val="00A01CCF"/>
    <w:rsid w:val="00AC0F99"/>
    <w:rsid w:val="00AD401E"/>
    <w:rsid w:val="00AD742D"/>
    <w:rsid w:val="00B24508"/>
    <w:rsid w:val="00B24778"/>
    <w:rsid w:val="00B37894"/>
    <w:rsid w:val="00B45FF7"/>
    <w:rsid w:val="00B76179"/>
    <w:rsid w:val="00B97FE4"/>
    <w:rsid w:val="00BC2DB4"/>
    <w:rsid w:val="00BF2C88"/>
    <w:rsid w:val="00BF7A83"/>
    <w:rsid w:val="00C046A5"/>
    <w:rsid w:val="00C0562C"/>
    <w:rsid w:val="00C64A37"/>
    <w:rsid w:val="00CB270F"/>
    <w:rsid w:val="00CC00AC"/>
    <w:rsid w:val="00CD2090"/>
    <w:rsid w:val="00CE4DE7"/>
    <w:rsid w:val="00D75E87"/>
    <w:rsid w:val="00DC1F7B"/>
    <w:rsid w:val="00E17A2A"/>
    <w:rsid w:val="00E25DE3"/>
    <w:rsid w:val="00E26C90"/>
    <w:rsid w:val="00E27AC4"/>
    <w:rsid w:val="00E505E3"/>
    <w:rsid w:val="00E91E25"/>
    <w:rsid w:val="00E96B2B"/>
    <w:rsid w:val="00EB13D9"/>
    <w:rsid w:val="00EC0036"/>
    <w:rsid w:val="00EC69F1"/>
    <w:rsid w:val="00EF65F6"/>
    <w:rsid w:val="00F05EB9"/>
    <w:rsid w:val="00F22BF3"/>
    <w:rsid w:val="00F51419"/>
    <w:rsid w:val="00F63FA0"/>
    <w:rsid w:val="00F7488D"/>
    <w:rsid w:val="00FD1095"/>
    <w:rsid w:val="00FD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8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55C"/>
    <w:pPr>
      <w:ind w:left="720"/>
      <w:contextualSpacing/>
    </w:pPr>
  </w:style>
  <w:style w:type="character" w:styleId="Hyperlink">
    <w:name w:val="Hyperlink"/>
    <w:basedOn w:val="DefaultParagraphFont"/>
    <w:uiPriority w:val="99"/>
    <w:semiHidden/>
    <w:unhideWhenUsed/>
    <w:rsid w:val="00EB13D9"/>
    <w:rPr>
      <w:color w:val="0000FF"/>
      <w:u w:val="single"/>
    </w:rPr>
  </w:style>
  <w:style w:type="paragraph" w:styleId="Header">
    <w:name w:val="header"/>
    <w:basedOn w:val="Normal"/>
    <w:link w:val="HeaderChar"/>
    <w:uiPriority w:val="99"/>
    <w:unhideWhenUsed/>
    <w:rsid w:val="00EB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D9"/>
  </w:style>
  <w:style w:type="paragraph" w:styleId="NoSpacing">
    <w:name w:val="No Spacing"/>
    <w:uiPriority w:val="1"/>
    <w:qFormat/>
    <w:rsid w:val="00EB13D9"/>
    <w:pPr>
      <w:spacing w:after="0" w:line="240" w:lineRule="auto"/>
    </w:pPr>
  </w:style>
  <w:style w:type="paragraph" w:styleId="Footer">
    <w:name w:val="footer"/>
    <w:basedOn w:val="Normal"/>
    <w:link w:val="FooterChar"/>
    <w:uiPriority w:val="99"/>
    <w:unhideWhenUsed/>
    <w:rsid w:val="00E2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E3"/>
  </w:style>
  <w:style w:type="paragraph" w:styleId="BalloonText">
    <w:name w:val="Balloon Text"/>
    <w:basedOn w:val="Normal"/>
    <w:link w:val="BalloonTextChar"/>
    <w:uiPriority w:val="99"/>
    <w:semiHidden/>
    <w:unhideWhenUsed/>
    <w:rsid w:val="0068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70"/>
    <w:rPr>
      <w:rFonts w:ascii="Tahoma" w:hAnsi="Tahoma" w:cs="Tahoma"/>
      <w:sz w:val="16"/>
      <w:szCs w:val="16"/>
    </w:rPr>
  </w:style>
  <w:style w:type="character" w:customStyle="1" w:styleId="Heading1Char">
    <w:name w:val="Heading 1 Char"/>
    <w:basedOn w:val="DefaultParagraphFont"/>
    <w:link w:val="Heading1"/>
    <w:uiPriority w:val="9"/>
    <w:rsid w:val="00682870"/>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8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55C"/>
    <w:pPr>
      <w:ind w:left="720"/>
      <w:contextualSpacing/>
    </w:pPr>
  </w:style>
  <w:style w:type="character" w:styleId="Hyperlink">
    <w:name w:val="Hyperlink"/>
    <w:basedOn w:val="DefaultParagraphFont"/>
    <w:uiPriority w:val="99"/>
    <w:semiHidden/>
    <w:unhideWhenUsed/>
    <w:rsid w:val="00EB13D9"/>
    <w:rPr>
      <w:color w:val="0000FF"/>
      <w:u w:val="single"/>
    </w:rPr>
  </w:style>
  <w:style w:type="paragraph" w:styleId="Header">
    <w:name w:val="header"/>
    <w:basedOn w:val="Normal"/>
    <w:link w:val="HeaderChar"/>
    <w:uiPriority w:val="99"/>
    <w:unhideWhenUsed/>
    <w:rsid w:val="00EB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D9"/>
  </w:style>
  <w:style w:type="paragraph" w:styleId="NoSpacing">
    <w:name w:val="No Spacing"/>
    <w:uiPriority w:val="1"/>
    <w:qFormat/>
    <w:rsid w:val="00EB13D9"/>
    <w:pPr>
      <w:spacing w:after="0" w:line="240" w:lineRule="auto"/>
    </w:pPr>
  </w:style>
  <w:style w:type="paragraph" w:styleId="Footer">
    <w:name w:val="footer"/>
    <w:basedOn w:val="Normal"/>
    <w:link w:val="FooterChar"/>
    <w:uiPriority w:val="99"/>
    <w:unhideWhenUsed/>
    <w:rsid w:val="00E2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E3"/>
  </w:style>
  <w:style w:type="paragraph" w:styleId="BalloonText">
    <w:name w:val="Balloon Text"/>
    <w:basedOn w:val="Normal"/>
    <w:link w:val="BalloonTextChar"/>
    <w:uiPriority w:val="99"/>
    <w:semiHidden/>
    <w:unhideWhenUsed/>
    <w:rsid w:val="0068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70"/>
    <w:rPr>
      <w:rFonts w:ascii="Tahoma" w:hAnsi="Tahoma" w:cs="Tahoma"/>
      <w:sz w:val="16"/>
      <w:szCs w:val="16"/>
    </w:rPr>
  </w:style>
  <w:style w:type="character" w:customStyle="1" w:styleId="Heading1Char">
    <w:name w:val="Heading 1 Char"/>
    <w:basedOn w:val="DefaultParagraphFont"/>
    <w:link w:val="Heading1"/>
    <w:uiPriority w:val="9"/>
    <w:rsid w:val="00682870"/>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701">
      <w:bodyDiv w:val="1"/>
      <w:marLeft w:val="0"/>
      <w:marRight w:val="0"/>
      <w:marTop w:val="0"/>
      <w:marBottom w:val="0"/>
      <w:divBdr>
        <w:top w:val="none" w:sz="0" w:space="0" w:color="auto"/>
        <w:left w:val="none" w:sz="0" w:space="0" w:color="auto"/>
        <w:bottom w:val="none" w:sz="0" w:space="0" w:color="auto"/>
        <w:right w:val="none" w:sz="0" w:space="0" w:color="auto"/>
      </w:divBdr>
    </w:div>
    <w:div w:id="459155631">
      <w:bodyDiv w:val="1"/>
      <w:marLeft w:val="0"/>
      <w:marRight w:val="0"/>
      <w:marTop w:val="0"/>
      <w:marBottom w:val="0"/>
      <w:divBdr>
        <w:top w:val="none" w:sz="0" w:space="0" w:color="auto"/>
        <w:left w:val="none" w:sz="0" w:space="0" w:color="auto"/>
        <w:bottom w:val="none" w:sz="0" w:space="0" w:color="auto"/>
        <w:right w:val="none" w:sz="0" w:space="0" w:color="auto"/>
      </w:divBdr>
    </w:div>
    <w:div w:id="555700625">
      <w:bodyDiv w:val="1"/>
      <w:marLeft w:val="0"/>
      <w:marRight w:val="0"/>
      <w:marTop w:val="0"/>
      <w:marBottom w:val="0"/>
      <w:divBdr>
        <w:top w:val="none" w:sz="0" w:space="0" w:color="auto"/>
        <w:left w:val="none" w:sz="0" w:space="0" w:color="auto"/>
        <w:bottom w:val="none" w:sz="0" w:space="0" w:color="auto"/>
        <w:right w:val="none" w:sz="0" w:space="0" w:color="auto"/>
      </w:divBdr>
      <w:divsChild>
        <w:div w:id="1960984767">
          <w:marLeft w:val="446"/>
          <w:marRight w:val="0"/>
          <w:marTop w:val="0"/>
          <w:marBottom w:val="120"/>
          <w:divBdr>
            <w:top w:val="none" w:sz="0" w:space="0" w:color="auto"/>
            <w:left w:val="none" w:sz="0" w:space="0" w:color="auto"/>
            <w:bottom w:val="none" w:sz="0" w:space="0" w:color="auto"/>
            <w:right w:val="none" w:sz="0" w:space="0" w:color="auto"/>
          </w:divBdr>
        </w:div>
        <w:div w:id="930702663">
          <w:marLeft w:val="446"/>
          <w:marRight w:val="0"/>
          <w:marTop w:val="0"/>
          <w:marBottom w:val="120"/>
          <w:divBdr>
            <w:top w:val="none" w:sz="0" w:space="0" w:color="auto"/>
            <w:left w:val="none" w:sz="0" w:space="0" w:color="auto"/>
            <w:bottom w:val="none" w:sz="0" w:space="0" w:color="auto"/>
            <w:right w:val="none" w:sz="0" w:space="0" w:color="auto"/>
          </w:divBdr>
        </w:div>
        <w:div w:id="220672908">
          <w:marLeft w:val="446"/>
          <w:marRight w:val="0"/>
          <w:marTop w:val="0"/>
          <w:marBottom w:val="120"/>
          <w:divBdr>
            <w:top w:val="none" w:sz="0" w:space="0" w:color="auto"/>
            <w:left w:val="none" w:sz="0" w:space="0" w:color="auto"/>
            <w:bottom w:val="none" w:sz="0" w:space="0" w:color="auto"/>
            <w:right w:val="none" w:sz="0" w:space="0" w:color="auto"/>
          </w:divBdr>
        </w:div>
        <w:div w:id="222954322">
          <w:marLeft w:val="446"/>
          <w:marRight w:val="0"/>
          <w:marTop w:val="0"/>
          <w:marBottom w:val="120"/>
          <w:divBdr>
            <w:top w:val="none" w:sz="0" w:space="0" w:color="auto"/>
            <w:left w:val="none" w:sz="0" w:space="0" w:color="auto"/>
            <w:bottom w:val="none" w:sz="0" w:space="0" w:color="auto"/>
            <w:right w:val="none" w:sz="0" w:space="0" w:color="auto"/>
          </w:divBdr>
        </w:div>
        <w:div w:id="482160306">
          <w:marLeft w:val="446"/>
          <w:marRight w:val="0"/>
          <w:marTop w:val="0"/>
          <w:marBottom w:val="120"/>
          <w:divBdr>
            <w:top w:val="none" w:sz="0" w:space="0" w:color="auto"/>
            <w:left w:val="none" w:sz="0" w:space="0" w:color="auto"/>
            <w:bottom w:val="none" w:sz="0" w:space="0" w:color="auto"/>
            <w:right w:val="none" w:sz="0" w:space="0" w:color="auto"/>
          </w:divBdr>
        </w:div>
        <w:div w:id="578709192">
          <w:marLeft w:val="446"/>
          <w:marRight w:val="0"/>
          <w:marTop w:val="0"/>
          <w:marBottom w:val="120"/>
          <w:divBdr>
            <w:top w:val="none" w:sz="0" w:space="0" w:color="auto"/>
            <w:left w:val="none" w:sz="0" w:space="0" w:color="auto"/>
            <w:bottom w:val="none" w:sz="0" w:space="0" w:color="auto"/>
            <w:right w:val="none" w:sz="0" w:space="0" w:color="auto"/>
          </w:divBdr>
        </w:div>
        <w:div w:id="1665930753">
          <w:marLeft w:val="446"/>
          <w:marRight w:val="0"/>
          <w:marTop w:val="0"/>
          <w:marBottom w:val="120"/>
          <w:divBdr>
            <w:top w:val="none" w:sz="0" w:space="0" w:color="auto"/>
            <w:left w:val="none" w:sz="0" w:space="0" w:color="auto"/>
            <w:bottom w:val="none" w:sz="0" w:space="0" w:color="auto"/>
            <w:right w:val="none" w:sz="0" w:space="0" w:color="auto"/>
          </w:divBdr>
        </w:div>
        <w:div w:id="974412486">
          <w:marLeft w:val="446"/>
          <w:marRight w:val="0"/>
          <w:marTop w:val="0"/>
          <w:marBottom w:val="120"/>
          <w:divBdr>
            <w:top w:val="none" w:sz="0" w:space="0" w:color="auto"/>
            <w:left w:val="none" w:sz="0" w:space="0" w:color="auto"/>
            <w:bottom w:val="none" w:sz="0" w:space="0" w:color="auto"/>
            <w:right w:val="none" w:sz="0" w:space="0" w:color="auto"/>
          </w:divBdr>
        </w:div>
        <w:div w:id="200024219">
          <w:marLeft w:val="446"/>
          <w:marRight w:val="0"/>
          <w:marTop w:val="0"/>
          <w:marBottom w:val="120"/>
          <w:divBdr>
            <w:top w:val="none" w:sz="0" w:space="0" w:color="auto"/>
            <w:left w:val="none" w:sz="0" w:space="0" w:color="auto"/>
            <w:bottom w:val="none" w:sz="0" w:space="0" w:color="auto"/>
            <w:right w:val="none" w:sz="0" w:space="0" w:color="auto"/>
          </w:divBdr>
        </w:div>
        <w:div w:id="291835852">
          <w:marLeft w:val="446"/>
          <w:marRight w:val="0"/>
          <w:marTop w:val="0"/>
          <w:marBottom w:val="120"/>
          <w:divBdr>
            <w:top w:val="none" w:sz="0" w:space="0" w:color="auto"/>
            <w:left w:val="none" w:sz="0" w:space="0" w:color="auto"/>
            <w:bottom w:val="none" w:sz="0" w:space="0" w:color="auto"/>
            <w:right w:val="none" w:sz="0" w:space="0" w:color="auto"/>
          </w:divBdr>
        </w:div>
      </w:divsChild>
    </w:div>
    <w:div w:id="842360973">
      <w:bodyDiv w:val="1"/>
      <w:marLeft w:val="0"/>
      <w:marRight w:val="0"/>
      <w:marTop w:val="0"/>
      <w:marBottom w:val="0"/>
      <w:divBdr>
        <w:top w:val="none" w:sz="0" w:space="0" w:color="auto"/>
        <w:left w:val="none" w:sz="0" w:space="0" w:color="auto"/>
        <w:bottom w:val="none" w:sz="0" w:space="0" w:color="auto"/>
        <w:right w:val="none" w:sz="0" w:space="0" w:color="auto"/>
      </w:divBdr>
      <w:divsChild>
        <w:div w:id="1084717966">
          <w:marLeft w:val="288"/>
          <w:marRight w:val="0"/>
          <w:marTop w:val="106"/>
          <w:marBottom w:val="0"/>
          <w:divBdr>
            <w:top w:val="none" w:sz="0" w:space="0" w:color="auto"/>
            <w:left w:val="none" w:sz="0" w:space="0" w:color="auto"/>
            <w:bottom w:val="none" w:sz="0" w:space="0" w:color="auto"/>
            <w:right w:val="none" w:sz="0" w:space="0" w:color="auto"/>
          </w:divBdr>
        </w:div>
        <w:div w:id="577177565">
          <w:marLeft w:val="288"/>
          <w:marRight w:val="0"/>
          <w:marTop w:val="106"/>
          <w:marBottom w:val="0"/>
          <w:divBdr>
            <w:top w:val="none" w:sz="0" w:space="0" w:color="auto"/>
            <w:left w:val="none" w:sz="0" w:space="0" w:color="auto"/>
            <w:bottom w:val="none" w:sz="0" w:space="0" w:color="auto"/>
            <w:right w:val="none" w:sz="0" w:space="0" w:color="auto"/>
          </w:divBdr>
        </w:div>
      </w:divsChild>
    </w:div>
    <w:div w:id="1003630235">
      <w:bodyDiv w:val="1"/>
      <w:marLeft w:val="0"/>
      <w:marRight w:val="0"/>
      <w:marTop w:val="0"/>
      <w:marBottom w:val="0"/>
      <w:divBdr>
        <w:top w:val="none" w:sz="0" w:space="0" w:color="auto"/>
        <w:left w:val="none" w:sz="0" w:space="0" w:color="auto"/>
        <w:bottom w:val="none" w:sz="0" w:space="0" w:color="auto"/>
        <w:right w:val="none" w:sz="0" w:space="0" w:color="auto"/>
      </w:divBdr>
    </w:div>
    <w:div w:id="1100561567">
      <w:bodyDiv w:val="1"/>
      <w:marLeft w:val="0"/>
      <w:marRight w:val="0"/>
      <w:marTop w:val="0"/>
      <w:marBottom w:val="0"/>
      <w:divBdr>
        <w:top w:val="none" w:sz="0" w:space="0" w:color="auto"/>
        <w:left w:val="none" w:sz="0" w:space="0" w:color="auto"/>
        <w:bottom w:val="none" w:sz="0" w:space="0" w:color="auto"/>
        <w:right w:val="none" w:sz="0" w:space="0" w:color="auto"/>
      </w:divBdr>
    </w:div>
    <w:div w:id="1228607999">
      <w:bodyDiv w:val="1"/>
      <w:marLeft w:val="0"/>
      <w:marRight w:val="0"/>
      <w:marTop w:val="0"/>
      <w:marBottom w:val="0"/>
      <w:divBdr>
        <w:top w:val="none" w:sz="0" w:space="0" w:color="auto"/>
        <w:left w:val="none" w:sz="0" w:space="0" w:color="auto"/>
        <w:bottom w:val="none" w:sz="0" w:space="0" w:color="auto"/>
        <w:right w:val="none" w:sz="0" w:space="0" w:color="auto"/>
      </w:divBdr>
    </w:div>
    <w:div w:id="1528828297">
      <w:bodyDiv w:val="1"/>
      <w:marLeft w:val="0"/>
      <w:marRight w:val="0"/>
      <w:marTop w:val="0"/>
      <w:marBottom w:val="0"/>
      <w:divBdr>
        <w:top w:val="none" w:sz="0" w:space="0" w:color="auto"/>
        <w:left w:val="none" w:sz="0" w:space="0" w:color="auto"/>
        <w:bottom w:val="none" w:sz="0" w:space="0" w:color="auto"/>
        <w:right w:val="none" w:sz="0" w:space="0" w:color="auto"/>
      </w:divBdr>
      <w:divsChild>
        <w:div w:id="1669600460">
          <w:marLeft w:val="720"/>
          <w:marRight w:val="0"/>
          <w:marTop w:val="0"/>
          <w:marBottom w:val="40"/>
          <w:divBdr>
            <w:top w:val="none" w:sz="0" w:space="0" w:color="auto"/>
            <w:left w:val="none" w:sz="0" w:space="0" w:color="auto"/>
            <w:bottom w:val="none" w:sz="0" w:space="0" w:color="auto"/>
            <w:right w:val="none" w:sz="0" w:space="0" w:color="auto"/>
          </w:divBdr>
        </w:div>
        <w:div w:id="1425304149">
          <w:marLeft w:val="720"/>
          <w:marRight w:val="0"/>
          <w:marTop w:val="0"/>
          <w:marBottom w:val="40"/>
          <w:divBdr>
            <w:top w:val="none" w:sz="0" w:space="0" w:color="auto"/>
            <w:left w:val="none" w:sz="0" w:space="0" w:color="auto"/>
            <w:bottom w:val="none" w:sz="0" w:space="0" w:color="auto"/>
            <w:right w:val="none" w:sz="0" w:space="0" w:color="auto"/>
          </w:divBdr>
        </w:div>
        <w:div w:id="1842502592">
          <w:marLeft w:val="720"/>
          <w:marRight w:val="0"/>
          <w:marTop w:val="0"/>
          <w:marBottom w:val="40"/>
          <w:divBdr>
            <w:top w:val="none" w:sz="0" w:space="0" w:color="auto"/>
            <w:left w:val="none" w:sz="0" w:space="0" w:color="auto"/>
            <w:bottom w:val="none" w:sz="0" w:space="0" w:color="auto"/>
            <w:right w:val="none" w:sz="0" w:space="0" w:color="auto"/>
          </w:divBdr>
        </w:div>
        <w:div w:id="2009674711">
          <w:marLeft w:val="720"/>
          <w:marRight w:val="0"/>
          <w:marTop w:val="0"/>
          <w:marBottom w:val="40"/>
          <w:divBdr>
            <w:top w:val="none" w:sz="0" w:space="0" w:color="auto"/>
            <w:left w:val="none" w:sz="0" w:space="0" w:color="auto"/>
            <w:bottom w:val="none" w:sz="0" w:space="0" w:color="auto"/>
            <w:right w:val="none" w:sz="0" w:space="0" w:color="auto"/>
          </w:divBdr>
        </w:div>
        <w:div w:id="2037922476">
          <w:marLeft w:val="720"/>
          <w:marRight w:val="0"/>
          <w:marTop w:val="0"/>
          <w:marBottom w:val="40"/>
          <w:divBdr>
            <w:top w:val="none" w:sz="0" w:space="0" w:color="auto"/>
            <w:left w:val="none" w:sz="0" w:space="0" w:color="auto"/>
            <w:bottom w:val="none" w:sz="0" w:space="0" w:color="auto"/>
            <w:right w:val="none" w:sz="0" w:space="0" w:color="auto"/>
          </w:divBdr>
        </w:div>
        <w:div w:id="1597594726">
          <w:marLeft w:val="720"/>
          <w:marRight w:val="0"/>
          <w:marTop w:val="0"/>
          <w:marBottom w:val="40"/>
          <w:divBdr>
            <w:top w:val="none" w:sz="0" w:space="0" w:color="auto"/>
            <w:left w:val="none" w:sz="0" w:space="0" w:color="auto"/>
            <w:bottom w:val="none" w:sz="0" w:space="0" w:color="auto"/>
            <w:right w:val="none" w:sz="0" w:space="0" w:color="auto"/>
          </w:divBdr>
        </w:div>
        <w:div w:id="378752295">
          <w:marLeft w:val="720"/>
          <w:marRight w:val="0"/>
          <w:marTop w:val="0"/>
          <w:marBottom w:val="40"/>
          <w:divBdr>
            <w:top w:val="none" w:sz="0" w:space="0" w:color="auto"/>
            <w:left w:val="none" w:sz="0" w:space="0" w:color="auto"/>
            <w:bottom w:val="none" w:sz="0" w:space="0" w:color="auto"/>
            <w:right w:val="none" w:sz="0" w:space="0" w:color="auto"/>
          </w:divBdr>
        </w:div>
        <w:div w:id="1740978171">
          <w:marLeft w:val="720"/>
          <w:marRight w:val="0"/>
          <w:marTop w:val="0"/>
          <w:marBottom w:val="40"/>
          <w:divBdr>
            <w:top w:val="none" w:sz="0" w:space="0" w:color="auto"/>
            <w:left w:val="none" w:sz="0" w:space="0" w:color="auto"/>
            <w:bottom w:val="none" w:sz="0" w:space="0" w:color="auto"/>
            <w:right w:val="none" w:sz="0" w:space="0" w:color="auto"/>
          </w:divBdr>
        </w:div>
        <w:div w:id="1945913831">
          <w:marLeft w:val="720"/>
          <w:marRight w:val="0"/>
          <w:marTop w:val="0"/>
          <w:marBottom w:val="40"/>
          <w:divBdr>
            <w:top w:val="none" w:sz="0" w:space="0" w:color="auto"/>
            <w:left w:val="none" w:sz="0" w:space="0" w:color="auto"/>
            <w:bottom w:val="none" w:sz="0" w:space="0" w:color="auto"/>
            <w:right w:val="none" w:sz="0" w:space="0" w:color="auto"/>
          </w:divBdr>
        </w:div>
        <w:div w:id="1409109963">
          <w:marLeft w:val="720"/>
          <w:marRight w:val="0"/>
          <w:marTop w:val="0"/>
          <w:marBottom w:val="40"/>
          <w:divBdr>
            <w:top w:val="none" w:sz="0" w:space="0" w:color="auto"/>
            <w:left w:val="none" w:sz="0" w:space="0" w:color="auto"/>
            <w:bottom w:val="none" w:sz="0" w:space="0" w:color="auto"/>
            <w:right w:val="none" w:sz="0" w:space="0" w:color="auto"/>
          </w:divBdr>
        </w:div>
        <w:div w:id="1595435182">
          <w:marLeft w:val="720"/>
          <w:marRight w:val="0"/>
          <w:marTop w:val="0"/>
          <w:marBottom w:val="40"/>
          <w:divBdr>
            <w:top w:val="none" w:sz="0" w:space="0" w:color="auto"/>
            <w:left w:val="none" w:sz="0" w:space="0" w:color="auto"/>
            <w:bottom w:val="none" w:sz="0" w:space="0" w:color="auto"/>
            <w:right w:val="none" w:sz="0" w:space="0" w:color="auto"/>
          </w:divBdr>
        </w:div>
        <w:div w:id="172569416">
          <w:marLeft w:val="720"/>
          <w:marRight w:val="0"/>
          <w:marTop w:val="0"/>
          <w:marBottom w:val="40"/>
          <w:divBdr>
            <w:top w:val="none" w:sz="0" w:space="0" w:color="auto"/>
            <w:left w:val="none" w:sz="0" w:space="0" w:color="auto"/>
            <w:bottom w:val="none" w:sz="0" w:space="0" w:color="auto"/>
            <w:right w:val="none" w:sz="0" w:space="0" w:color="auto"/>
          </w:divBdr>
        </w:div>
      </w:divsChild>
    </w:div>
    <w:div w:id="1571579019">
      <w:bodyDiv w:val="1"/>
      <w:marLeft w:val="0"/>
      <w:marRight w:val="0"/>
      <w:marTop w:val="0"/>
      <w:marBottom w:val="0"/>
      <w:divBdr>
        <w:top w:val="none" w:sz="0" w:space="0" w:color="auto"/>
        <w:left w:val="none" w:sz="0" w:space="0" w:color="auto"/>
        <w:bottom w:val="none" w:sz="0" w:space="0" w:color="auto"/>
        <w:right w:val="none" w:sz="0" w:space="0" w:color="auto"/>
      </w:divBdr>
    </w:div>
    <w:div w:id="18747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org/images/uploads/pdf/VSE_2012_Sample_Pag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jeffcoatcrider@claflin.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cslaughter@claflin.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6B1A-EAC8-4D11-B7D8-15552FB3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D. Slaughter</dc:creator>
  <cp:lastModifiedBy>Wendy R. Jeffcoat Crider</cp:lastModifiedBy>
  <cp:revision>4</cp:revision>
  <cp:lastPrinted>2014-04-17T12:48:00Z</cp:lastPrinted>
  <dcterms:created xsi:type="dcterms:W3CDTF">2014-04-17T18:56:00Z</dcterms:created>
  <dcterms:modified xsi:type="dcterms:W3CDTF">2014-04-21T20:43:00Z</dcterms:modified>
</cp:coreProperties>
</file>